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February 29, 2016</w:t>
      </w:r>
    </w:p>
    <w:p>
      <w:pPr>
        <w:spacing w:after="0" w:line="243" w:lineRule="exact"/>
        <w:rPr>
          <w:sz w:val="24"/>
          <w:szCs w:val="24"/>
          <w:color w:val="auto"/>
        </w:rPr>
      </w:pPr>
    </w:p>
    <w:p>
      <w:pPr>
        <w:ind w:left="460" w:right="8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492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w w:val="98"/>
              </w:rPr>
              <w:t>Maryland</w:t>
            </w:r>
          </w:p>
        </w:tc>
        <w:tc>
          <w:tcPr>
            <w:tcW w:w="2100" w:type="dxa"/>
            <w:vAlign w:val="bottom"/>
            <w:gridSpan w:val="2"/>
          </w:tcPr>
          <w:p>
            <w:pPr>
              <w:jc w:val="center"/>
              <w:ind w:left="639"/>
              <w:spacing w:after="0"/>
              <w:rPr>
                <w:sz w:val="20"/>
                <w:szCs w:val="20"/>
                <w:color w:val="auto"/>
              </w:rPr>
            </w:pPr>
            <w:r>
              <w:rPr>
                <w:rFonts w:ascii="Arial" w:cs="Arial" w:eastAsia="Arial" w:hAnsi="Arial"/>
                <w:sz w:val="18"/>
                <w:szCs w:val="18"/>
                <w:b w:val="1"/>
                <w:bCs w:val="1"/>
                <w:color w:val="auto"/>
                <w:w w:val="89"/>
              </w:rPr>
              <w:t>20-8700615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780" w:type="dxa"/>
            <w:vAlign w:val="bottom"/>
            <w:gridSpan w:val="5"/>
          </w:tcPr>
          <w:p>
            <w:pPr>
              <w:jc w:val="center"/>
              <w:ind w:right="19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1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780" w:type="dxa"/>
            <w:vAlign w:val="bottom"/>
            <w:gridSpan w:val="5"/>
          </w:tcPr>
          <w:p>
            <w:pPr>
              <w:jc w:val="center"/>
              <w:ind w:right="1900"/>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5"/>
              </w:rPr>
              <w:t>Identification Number)</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535 Madison Avenue</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New York, New York 10022</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440" w:type="dxa"/>
            <w:vAlign w:val="bottom"/>
            <w:gridSpan w:val="4"/>
          </w:tcPr>
          <w:p>
            <w:pPr>
              <w:jc w:val="center"/>
              <w:ind w:left="3995"/>
              <w:spacing w:after="0"/>
              <w:rPr>
                <w:sz w:val="20"/>
                <w:szCs w:val="20"/>
                <w:color w:val="auto"/>
              </w:rPr>
            </w:pPr>
            <w:r>
              <w:rPr>
                <w:rFonts w:ascii="Arial" w:cs="Arial" w:eastAsia="Arial" w:hAnsi="Arial"/>
                <w:sz w:val="18"/>
                <w:szCs w:val="18"/>
                <w:b w:val="1"/>
                <w:bCs w:val="1"/>
                <w:color w:val="auto"/>
                <w:w w:val="90"/>
              </w:rPr>
              <w:t>(212) 906-7800</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500" w:type="dxa"/>
            <w:vAlign w:val="bottom"/>
            <w:gridSpan w:val="4"/>
          </w:tcPr>
          <w:p>
            <w:pPr>
              <w:jc w:val="center"/>
              <w:ind w:right="9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500" w:type="dxa"/>
            <w:vAlign w:val="bottom"/>
            <w:gridSpan w:val="4"/>
          </w:tcPr>
          <w:p>
            <w:pPr>
              <w:jc w:val="center"/>
              <w:ind w:right="89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4920" w:type="dxa"/>
            <w:vAlign w:val="bottom"/>
            <w:gridSpan w:val="4"/>
          </w:tcPr>
          <w:p>
            <w:pPr>
              <w:jc w:val="center"/>
              <w:ind w:right="3780"/>
              <w:spacing w:after="0"/>
              <w:rPr>
                <w:sz w:val="20"/>
                <w:szCs w:val="20"/>
                <w:color w:val="auto"/>
              </w:rPr>
            </w:pPr>
            <w:r>
              <w:rPr>
                <w:rFonts w:ascii="Arial" w:cs="Arial" w:eastAsia="Arial" w:hAnsi="Arial"/>
                <w:sz w:val="14"/>
                <w:szCs w:val="14"/>
                <w:b w:val="1"/>
                <w:bCs w:val="1"/>
                <w:color w:val="auto"/>
                <w:w w:val="91"/>
              </w:rPr>
              <w:t>Title of Each Class</w:t>
            </w:r>
          </w:p>
        </w:tc>
        <w:tc>
          <w:tcPr>
            <w:tcW w:w="30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Name of Each Exchange on Which Registered</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0.001 per share</w:t>
            </w:r>
          </w:p>
        </w:tc>
        <w:tc>
          <w:tcPr>
            <w:tcW w:w="282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0" w:type="dxa"/>
            <w:vAlign w:val="bottom"/>
            <w:gridSpan w:val="2"/>
          </w:tcPr>
          <w:p>
            <w:pPr>
              <w:ind w:left="780"/>
              <w:spacing w:after="0" w:line="191" w:lineRule="exact"/>
              <w:rPr>
                <w:sz w:val="20"/>
                <w:szCs w:val="20"/>
                <w:color w:val="auto"/>
              </w:rPr>
            </w:pPr>
            <w:r>
              <w:rPr>
                <w:rFonts w:ascii="Arial" w:cs="Arial" w:eastAsia="Arial" w:hAnsi="Arial"/>
                <w:sz w:val="18"/>
                <w:szCs w:val="18"/>
                <w:b w:val="1"/>
                <w:bCs w:val="1"/>
                <w:color w:val="auto"/>
                <w:w w:val="93"/>
              </w:rPr>
              <w:t>Common Stock, par value $</w:t>
            </w:r>
          </w:p>
        </w:tc>
        <w:tc>
          <w:tcPr>
            <w:tcW w:w="3780" w:type="dxa"/>
            <w:vAlign w:val="bottom"/>
            <w:gridSpan w:val="3"/>
            <w:vMerge w:val="continue"/>
          </w:tcPr>
          <w:p>
            <w:pPr>
              <w:spacing w:after="0"/>
              <w:rPr>
                <w:sz w:val="16"/>
                <w:szCs w:val="16"/>
                <w:color w:val="auto"/>
              </w:rPr>
            </w:pPr>
          </w:p>
        </w:tc>
        <w:tc>
          <w:tcPr>
            <w:tcW w:w="3000" w:type="dxa"/>
            <w:vAlign w:val="bottom"/>
            <w:gridSpan w:val="5"/>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4"/>
        </w:trPr>
        <w:tc>
          <w:tcPr>
            <w:tcW w:w="6780" w:type="dxa"/>
            <w:vAlign w:val="bottom"/>
            <w:gridSpan w:val="5"/>
          </w:tcPr>
          <w:p>
            <w:pPr>
              <w:jc w:val="center"/>
              <w:ind w:right="1920"/>
              <w:spacing w:after="0"/>
              <w:rPr>
                <w:sz w:val="20"/>
                <w:szCs w:val="20"/>
                <w:color w:val="auto"/>
              </w:rPr>
            </w:pPr>
            <w:r>
              <w:rPr>
                <w:rFonts w:ascii="Arial" w:cs="Arial" w:eastAsia="Arial" w:hAnsi="Arial"/>
                <w:sz w:val="18"/>
                <w:szCs w:val="18"/>
                <w:b w:val="1"/>
                <w:bCs w:val="1"/>
                <w:color w:val="auto"/>
                <w:w w:val="90"/>
              </w:rPr>
              <w:t>7.50% Notes due 2020</w:t>
            </w:r>
          </w:p>
        </w:tc>
        <w:tc>
          <w:tcPr>
            <w:tcW w:w="30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432"/>
        </w:trPr>
        <w:tc>
          <w:tcPr>
            <w:tcW w:w="1860" w:type="dxa"/>
            <w:vAlign w:val="bottom"/>
          </w:tcPr>
          <w:p>
            <w:pPr>
              <w:spacing w:after="0"/>
              <w:rPr>
                <w:sz w:val="24"/>
                <w:szCs w:val="24"/>
                <w:color w:val="auto"/>
              </w:rPr>
            </w:pPr>
          </w:p>
        </w:tc>
        <w:tc>
          <w:tcPr>
            <w:tcW w:w="6640" w:type="dxa"/>
            <w:vAlign w:val="bottom"/>
            <w:gridSpan w:val="5"/>
          </w:tcPr>
          <w:p>
            <w:pPr>
              <w:jc w:val="center"/>
              <w:ind w:left="76"/>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gridSpan w:val="2"/>
            <w:vMerge w:val="restart"/>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446"/>
        </w:trPr>
        <w:tc>
          <w:tcPr>
            <w:tcW w:w="850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8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40" w:space="380"/>
            <w:col w:w="160" w:space="100"/>
            <w:col w:w="5960" w:space="720"/>
            <w:col w:w="1980" w:space="420"/>
            <w:col w:w="160"/>
          </w:cols>
          <w:pgMar w:left="240" w:top="230" w:right="239" w:bottom="0" w:gutter="0" w:footer="0" w:header="0"/>
          <w:type w:val="continuous"/>
        </w:sectPr>
      </w:pPr>
    </w:p>
    <w:bookmarkStart w:id="1" w:name="page2"/>
    <w:bookmarkEnd w:id="1"/>
    <w:p>
      <w:pPr>
        <w:ind w:left="460"/>
        <w:spacing w:after="0" w:line="207" w:lineRule="exact"/>
        <w:tabs>
          <w:tab w:leader="none" w:pos="8040" w:val="left"/>
          <w:tab w:leader="none" w:pos="87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aggregate market value of the voting and non-voting common stock held by non-affiliates of the registrant as of August 31, 2015 was approximately $58.3 million based upon a closing price of $16.32 reported for such date by the New York Stock Exchange.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outstanding common shares of the registrant as of May 16, 2016 was 5,763,780.</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00"/>
          </w:cols>
          <w:pgMar w:left="240" w:top="91" w:right="1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REFERENCES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this Annual Report on Form 10-K (the “Annual Report”), the “Company,” “we,” “us” and “our” refer to Saratoga Investment Corp. and its wholly owned subsidiaries, Saratoga Investment Funding LLC and Saratoga Investment Corp. SBIC, L.P., unless the context otherwise requires. We refer to Saratoga Investment Advisors, LLC, our investment adviser, as “Saratoga Investment Advisors” or the “Investment Adviser.”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of the statements in this Annual Report constitute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“project,” “should,” “will” and “would” or the negative of these terms or other comparable terminology.</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contained in this Annual Report involve risks and uncertainties, including statements as to:</w:t>
      </w:r>
    </w:p>
    <w:p>
      <w:pPr>
        <w:spacing w:after="0" w:line="131"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660" w:right="340" w:hanging="206"/>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 discussion of factors that could cause our actual results to differ from forward-looking statements contained in this Annual Report, please see the discussion under Part I, Item 1A “Risk Factors”.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60" w:type="dxa"/>
            <w:vAlign w:val="bottom"/>
            <w:gridSpan w:val="9"/>
          </w:tcPr>
          <w:p>
            <w:pPr>
              <w:ind w:left="8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gridSpan w:val="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780" w:type="dxa"/>
            <w:vAlign w:val="bottom"/>
            <w:gridSpan w:val="7"/>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10580" w:type="dxa"/>
            <w:vAlign w:val="bottom"/>
            <w:gridSpan w:val="2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898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1B. Unresolved Staff Comments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7"/>
          </w:tcPr>
          <w:p>
            <w:pPr>
              <w:spacing w:after="0"/>
              <w:rPr>
                <w:sz w:val="17"/>
                <w:szCs w:val="17"/>
                <w:color w:val="auto"/>
              </w:rPr>
            </w:pPr>
          </w:p>
        </w:tc>
        <w:tc>
          <w:tcPr>
            <w:tcW w:w="78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Item 3. Legal Proceedings</w:t>
              </w:r>
            </w:hyperlink>
          </w:p>
        </w:tc>
        <w:tc>
          <w:tcPr>
            <w:tcW w:w="86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Item 4. Mine Safety Disclosures</w:t>
              </w:r>
            </w:hyperlink>
          </w:p>
        </w:tc>
        <w:tc>
          <w:tcPr>
            <w:tcW w:w="824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PART II</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w:t>
              </w:r>
            </w:hyperlink>
          </w:p>
        </w:tc>
        <w:tc>
          <w:tcPr>
            <w:tcW w:w="10160" w:type="dxa"/>
            <w:vAlign w:val="bottom"/>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5. Market for Registrant’s Common Equity, Related Stockholder Matters and Issuer Purchases of Equity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6. Selected Consolidated Financial Data</w:t>
              </w:r>
            </w:hyperlink>
          </w:p>
        </w:tc>
        <w:tc>
          <w:tcPr>
            <w:tcW w:w="19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w:t>
              </w:r>
            </w:hyperlink>
          </w:p>
        </w:tc>
        <w:tc>
          <w:tcPr>
            <w:tcW w:w="1016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7. 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7A. Quantitative and Qualitative Disclosures about Market Risk</w:t>
              </w:r>
            </w:hyperlink>
          </w:p>
        </w:tc>
        <w:tc>
          <w:tcPr>
            <w:tcW w:w="35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0" w:type="dxa"/>
            <w:vAlign w:val="bottom"/>
            <w:tcBorders>
              <w:top w:val="single" w:sz="8" w:color="0000EE"/>
            </w:tcBorders>
            <w:gridSpan w:val="20"/>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Item 8. Consolidated Financial Statements and Supplementary Data</w:t>
              </w:r>
            </w:hyperlink>
          </w:p>
        </w:tc>
        <w:tc>
          <w:tcPr>
            <w:tcW w:w="55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w:t>
              </w:r>
            </w:hyperlink>
          </w:p>
        </w:tc>
        <w:tc>
          <w:tcPr>
            <w:tcW w:w="1016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9. Changes in and Disagreements with Accountants on Accounting and Financial Disclosure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Item 9A. Controls and Procedures</w:t>
              </w:r>
            </w:hyperlink>
          </w:p>
        </w:tc>
        <w:tc>
          <w:tcPr>
            <w:tcW w:w="4600" w:type="dxa"/>
            <w:vAlign w:val="bottom"/>
            <w:tcBorders>
              <w:top w:val="single" w:sz="8" w:color="0000EE"/>
            </w:tcBorders>
            <w:gridSpan w:val="9"/>
          </w:tcPr>
          <w:p>
            <w:pPr>
              <w:spacing w:after="0"/>
              <w:rPr>
                <w:sz w:val="17"/>
                <w:szCs w:val="17"/>
                <w:color w:val="auto"/>
              </w:rPr>
            </w:pPr>
          </w:p>
        </w:tc>
        <w:tc>
          <w:tcPr>
            <w:tcW w:w="35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Item 9B. Other Information</w:t>
              </w:r>
            </w:hyperlink>
          </w:p>
        </w:tc>
        <w:tc>
          <w:tcPr>
            <w:tcW w:w="858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PART III</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10. Directors, Executive Officers and Corporate Governance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Item 11. Executive Compensation</w:t>
              </w:r>
            </w:hyperlink>
          </w:p>
        </w:tc>
        <w:tc>
          <w:tcPr>
            <w:tcW w:w="234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w:t>
              </w:r>
            </w:hyperlink>
          </w:p>
        </w:tc>
        <w:tc>
          <w:tcPr>
            <w:tcW w:w="75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12. 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w:t>
              </w:r>
            </w:hyperlink>
          </w:p>
        </w:tc>
        <w:tc>
          <w:tcPr>
            <w:tcW w:w="1016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13. Certain Relationships and Related Transactions, and Director Independence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Item 14. Principal Accountant Fees and Services</w:t>
              </w:r>
            </w:hyperlink>
          </w:p>
        </w:tc>
        <w:tc>
          <w:tcPr>
            <w:tcW w:w="2620" w:type="dxa"/>
            <w:vAlign w:val="bottom"/>
            <w:tcBorders>
              <w:top w:val="single" w:sz="8" w:color="0000EE"/>
            </w:tcBorders>
            <w:gridSpan w:val="4"/>
          </w:tcPr>
          <w:p>
            <w:pPr>
              <w:spacing w:after="0"/>
              <w:rPr>
                <w:sz w:val="17"/>
                <w:szCs w:val="17"/>
                <w:color w:val="auto"/>
              </w:rPr>
            </w:pPr>
          </w:p>
        </w:tc>
        <w:tc>
          <w:tcPr>
            <w:tcW w:w="44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PART IV</w:t>
              </w:r>
            </w:hyperlink>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15. Exhibits and Consolidated Financial Statement Schedules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Signatures</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5"/>
          </w:tcPr>
          <w:p>
            <w:pPr>
              <w:ind w:left="488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are a specialty finance company that invests primarily in leveraged loans and mezzanine debt issued by private U.S. middle-market companies, which we define as companies having annual EBITDA (earnings before interest, taxes, depreciation and amortization) of between $2 million and $50 million, both through direct lending and through participation in loan syndicates. Our investment objective is to generate current income and, to a lesser extent, capital appreciation from our investments. Our investment activities are externally managed and advised by Saratoga Investment Advisors, LLC, a New York-based investment firm affiliated with Saratoga Partners, a middle market private equity investment firm.</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portfolio is comprised primarily of investments in leveraged loans (both first and second lien term loans) issued by middle market companies. Leveraged loans are generally senior debt instruments that rank ahead of subordinated debt of the portfolio company. Leveraged loans also have the benefit of security interests on the assets of the portfolio company, which may rank ahead of, or be junior to, other security interests. Term loans are loans that do not allow the borrowers to repay all or a portion of the loans prior to maturity and then re-borrow such repaid amounts under the loan again. We also purchase mezzanine debt and make equity investments in middle market companies. Mezzanine debt is typically unsecured and subordinated to senior debt of the portfolio company.</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While our primary focus is to generate current income and capital appreciation from our debt and equity investments in middle market companies, we may invest up to 30.0% of our portfolio in opportunistic investments in order to seek to enhance returns to stockholders. Such investments may include investments in distressed debt, including securities of companies in bankruptcy, foreign debt, private equity, securities of public companies that are not thinly traded and structured finance vehicles such as collateralized loan obligation funds.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February 29, 2016, we had total assets of $295.0 million and investments in 34 portfolio companies and an additional investment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subordinated notes of one collateralized loan obligation fund, Saratoga Investment Corp. CLO 2013-1, Ltd. (“Saratoga CLO”), which had a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 million as of February 29, 2016. The overall portfolio composition as of February 29, 2016 consisted of 50.9% of first lien term loans, 31.1% of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lien term loans, 4.2% of syndicated loans, 4.5% of subordinated notes of Saratoga CLO and 9.3% of common equity. As of February 29, 2016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average yield on all of our debt investments, including our investment in the subordinated notes of Saratoga CLO, was approximately 11.1%.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2016, approximately 99.9% of our first lien debt investments were fully collateralized in the sense that the portfolio companies in which we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investments had an enterprise value or our investment had an asset coverage equal to or greater than the principal amount of the related debt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investment in the subordinated notes of Saratoga CLO represents a first loss position in a portfolio that, at February 29, 2016, was composed of $302.7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aggregate principal amount of predominantly senior secured first lien term loans. A first loss position means that we will suffer the first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if losses are incurred on loans held by the Saratoga CLO. As a result, this investment is subject to unique risks. See Part I, Item 1A. “Risk Factors—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investment in Saratoga CLO constitutes a leveraged investment in a portfolio of predominantly senior secured first lien term loans and is subject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risks and volatility.”</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business development company (“BDC”) under the Investment Company Act of 1940 (“1940 Act”). As a BDC, we are required to comply with various regulatory requirements, including limitations on our use of debt. We finance our investments through borrowings. However, as a BDC, we are only generally allowed to borrow amounts such that our asset coverage, as defined in the 1940 Act, equals at least 200.0% after such borrowing. Pursuant to the 200.0% asset coverage ratio limitation, we are permitted to borrow one dollar to make investments for every dollar we have in assets less all liabilities and indebtedness not represented by preferred stock or debt securities issued by us or loans obtained by us so that for every one dollar of outstanding indebtedness we have two dollars of assets.</w:t>
      </w:r>
    </w:p>
    <w:p>
      <w:pPr>
        <w:spacing w:after="0" w:line="18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Subchapter M of the Internal Revenue Code of 1986 (the “Code”). As a RIC, we generally will not have to pay corporate-level federal income taxes on any net ordinary income or capital gains that we distribute to our stockholders if we meet certain source-of-income, distribution and asset diversification requirements.</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we have a wholly-owned subsidiary that is licensed as a small business investment company (“SBIC”) and regulated by the Small Business Administration (“SBA”). See “Item 1. Business—Small Business Investment Company Regulations.” The SBIC license allows us, through our wholly-owned subsidiary, to issue SBA-guaranteed debentures. We received exemptive relief from the Securities and Exchange Commission (“SEC”) to permit us to exclude the debt of our SBIC subsidiary guaranteed by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SBA from the 200.0% asset coverage ratio we are required to maintain under the 1940 Act. This allows us increased flexibility under the 200.0% asset coverage test by permitting us to borrow up to $150.0 million more than we would otherwise be able to absent the receipt of this exemptive relief.</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we engaged Saratoga Investment Advisors (“SIA”) to replace GSCP (NJ), L.P. as our investment adviser and changed our name to Saratoga Investment Corp.</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recapitalization transaction consisted of (i) the private sale of 986,842 shares of our common stock for $15.0 million in aggregate purchase price to Saratoga Investment Advisors and certain of its affiliates and (ii) the entry into a $40.0 million senior secured revolving credit facility with Madison Capital Funding LLC (the “Credit Facility”). We used the net proceeds from the private sale of shares of our common stock and a portion of the funds available to us under the Credit Facility to pay the full amount of principal and accrued interest, including default interest, outstanding under our revolving securitized credit facility with Deutsche Bank AG, New York Branch. Specifically, in July 2009, we had exceeded permissible borrowing limits under the revolving securitized credit facility with Deutsche Bank, which resulted in an event of default under the revolving securitized credit facility. As a result of the event of default, Deutsche Bank had the right to accelerate repayment of the outstanding indebtedness under the revolving securitized credit facility and to foreclose and liquidate the collateral pledged under the revolving securitized credit facility. The revolving securitized credit facility with Deutsche Bank was terminated in connection with our payment of all amounts outstanding thereunder on July 30, 2010. In January 2011, we registered for public resale by Saratoga Investment Advisors and certain of its affiliates the 986,842 shares of our common stock issued to them in the recapitalization.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28, 2012, our wholly-owned subsidiary, Saratoga Investment Corp. SBIC, LP (“SBIC LP”), received an SBIC license from the SBA.</w:t>
      </w:r>
    </w:p>
    <w:p>
      <w:pPr>
        <w:spacing w:after="0" w:line="23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corporate offices are located at 535 Madison Avenue, New York, New York 10022. Our telephone number is (212) 906-7800. We maintain a website on the Internet at www.saratogainvestmentcorp.com. Information contained on our website is not incorporated by reference into this Annual Report, and you should not consider that information to be part of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Saratoga Investment 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investment adviser was formed in 2010 as a Delaware limited liability company and became our investment adviser in July 2010. Our investment adviser is led by four principals, Christian L. Oberbeck, Michael J. Grisius, Thomas V. Inglesby, and Charles G. Phillips, with 28, 26, 29 and 19 years of experience in leveraged finance, respectively. Our investment adviser is affiliated with Saratoga Partners, a middle market private equity investment firm. Saratoga Partners was established in 1984 to be the middle market private investment arm of Dillon Read &amp; Co. Inc. and has been independent of Dillon Read since 1998. Saratoga Partners has a 29-year history of private investments in middle market companies and focuses on public and private equity, preferred stock, and senior and mezzanine debt investments.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Relationship with Saratoga Investment Advisors</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utilize the personnel, infrastructure, relationships and experience of Saratoga Investment Advisors to enhance the growth of our business. We currently have no employees and each of our executive officers is also an officer of Saratoga Investment Advisors.</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have entered into an investment advisory and management agreement (the “Management Agreement”) with Saratoga Investment Advisors. Pursuant to the 1940 Act, the initial term of the Management Agreement was for two years from its effective date of July 30, 2010, with automatic, one-year renewals, subject to approval by our board of directors, a majority of whom must be our independent directors. On July 8, 2015, our board of directors approved the renewal of the Management Agreement for an additional one-year term at an in-person meeting. Pursuant to the Management Agreement, Saratoga Investment Advisors implements our business strategy on a day-to-day basis and performs certain services for us under the direction of our board of directors. Saratoga Investment Advisors is responsible for, among other duties, performing all of our day-to-day functions, determining investment criteria, sourcing, analyzing and executing investments, asset sales, financings and performing asset management duties.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Saratoga Investment Advisors has formed an investment committee to advise and consult with its senior management team with respect to our investment policies, investment portfolio holdings, financing and leveraging strategies and investment guidelines. We believe that the collective experience of the investment committee members across a variety of fixed income asset classes will benefit us. The investment committee must unanimously approve all investments in excess of $1.0 million made by us. In addition, all sales of our investments must be approved by all four of our investment committee members. The current members of the investment committee are Messrs. Oberbeck, Grisius, Inglesby, and Phillips.</w:t>
      </w:r>
    </w:p>
    <w:p>
      <w:pPr>
        <w:spacing w:after="0" w:line="17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pay Saratoga Investment Advisors a fee for investment advisory and management services consisting of two components—a base management fee and an incentive fee. The base management fee is calculated at an annual rate of 1.75% of our gross assets, which includes assets purchased with borrowed funds but excludes cash and cash equivalents. As a result, Saratoga Investment Advisors will benefit as we incur debt or use leverage to purchase assets. Our board of directors will monitor the conflicts presented by this compensation structure by approving the amount of leverage that we may incur.</w:t>
      </w:r>
    </w:p>
    <w:p>
      <w:pPr>
        <w:spacing w:after="0" w:line="154"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In addition to the base management fee, we pay Saratoga Investment Advisors an incentive fee, which consists of two parts. First, we pay Saratoga Investment Advisors an incentive fee with respect to our pre-incentive fee net investment income in each calendar quarter as follows:</w:t>
      </w:r>
    </w:p>
    <w:p>
      <w:pPr>
        <w:spacing w:after="0" w:line="52" w:lineRule="exact"/>
        <w:rPr>
          <w:sz w:val="20"/>
          <w:szCs w:val="20"/>
          <w:color w:val="auto"/>
        </w:rPr>
      </w:pPr>
    </w:p>
    <w:p>
      <w:pPr>
        <w:ind w:left="660" w:right="22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income does not exceed a fixed “hurdle rate” of 1.875% per quarter (7.5% annualized); and</w:t>
      </w:r>
    </w:p>
    <w:p>
      <w:pPr>
        <w:spacing w:after="0" w:line="75" w:lineRule="exact"/>
        <w:rPr>
          <w:rFonts w:ascii="Arial" w:cs="Arial" w:eastAsia="Arial" w:hAnsi="Arial"/>
          <w:sz w:val="18"/>
          <w:szCs w:val="18"/>
          <w:color w:val="auto"/>
        </w:rPr>
      </w:pPr>
    </w:p>
    <w:p>
      <w:pPr>
        <w:ind w:left="660" w:hanging="206"/>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 of our pre-incentive fee net investment income with respect to that portion of such pre-incentive fee net investment income, if any, that exceeds the hurdle rate but is less than or equal to 2.344% in any fiscal quarter (9.376% annualized) is payable to the investment adviser. We refer to this portion of our pre-incentive fee net investment income (which exceeds the hurdle rate but is less than or equal to 2.344%) as the “catch-up.” The “catch-up” provision is intended to provide our investment adviser with an incentive fee of 20.0% on all of our pre-incentive fee net investment income as if a hurdle rate did not apply when our pre-incentive fee net investment income exceeds 2.344% in any fiscal quarter. Notwithstanding the foregoing, with respect to any period ending on or prior to December 31, 2010, our investment adviser was only entitled to 20.0% of the amount of our pre-incentive fee net investment income, if any, that exceeded 1.875% in any fiscal quarter (7.5% annualized) without any catch-up provision; and</w:t>
      </w:r>
    </w:p>
    <w:p>
      <w:pPr>
        <w:spacing w:after="0" w:line="97" w:lineRule="exact"/>
        <w:rPr>
          <w:rFonts w:ascii="Arial" w:cs="Arial" w:eastAsia="Arial" w:hAnsi="Arial"/>
          <w:sz w:val="18"/>
          <w:szCs w:val="18"/>
          <w:color w:val="auto"/>
        </w:rPr>
      </w:pPr>
    </w:p>
    <w:p>
      <w:pPr>
        <w:ind w:left="660" w:right="340" w:hanging="20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2.344% in any fiscal quarter (9.376% annualized) is payable to the investment adviser (once the hurdle is reached and the catch-up is achieved, 20.0% of all pre-incentive fee net investment income thereafter is allocated to the investment adviser).</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Pre-incentive fee net investment income means interest income, dividend income and other income (including any other fees, such as commitment, origination, structuring, diligence, managerial and consulting fees or other fees that we receive from portfolio companies) earned during the calendar quarter, minus our operating expenses for the quarter.</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fiscal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also entered into a separate administration agreement with Saratoga Investment Advisors pursuant to which Saratoga Investment Advisors furnishes us with office facilities, equipment and clerical, bookkeeping and record keeping services. The administration agreement has an initial term of two years from its effective date of July 30, 2010, with automatic one-year renewals, subject to approval by our board of directors, a majority of whom must be our independent directors. On July 8, 2015, our board of directors approved the renewal of the Administration Agreement for an additional one-year term and determined to increase the cap on the payment or reimbursement of expenses by us thereunder to $1.3 million for the additional one-year term. Under the administration agreement, Saratoga Investment Advisors also performs, or oversees the performance of our required administrative services, which include, among other things, being responsible for the financial records which we are required to maintain, preparing reports for our stockholders and reports required to be filed with the SEC. Payments under the administration agreement will be equal to an amount based upon the allocable portion of Saratoga Investment Advisors’ overhead in performing its obligations under the administration agreement, including rent and the allocable portion of the cost of our officers and their respective staffs relating to the performance of services under the administration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portfolio is comprised primarily of investments in leveraged loans (both first and second lien term loans) issued by middle market companies. Investments in middle market companies are generally less liquid than equivalent investments in companies with larger capitalizations. These investments are sourced in both the primary and secondary markets through a network of relationships with commercial and investment banks, commercial finance companies and financial sponsors. The leveraged loans that we purchase are generally used to finance buyouts, acquisitions, growth, recapitalizations and other types of transactions. Leveraged loans are generally senior debt instruments that rank ahead of subordinated debt of the portfolio company. Leveraged loans also have the benefit of security interests on the assets of the portfolio company, which may rank ahead of, or be junior to, other security interests. For a discussion of the risks pertaining to our secured investments, see Part I, Item 1A. “Risk Factors—Our investments may be risky, and you could lose all or part of your investment.”</w:t>
      </w:r>
    </w:p>
    <w:p>
      <w:pPr>
        <w:spacing w:after="0" w:line="19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part of our long-term strategy, we also purchase mezzanine debt and make equity investments in middle market companies. Mezzanine debt is typically unsecured and subordinated to senior debt of the portfolio company. See Part I, Item 1A. “Risk Factors—If we make unsecured debt investments, we may lack adequate protection in the event our portfolio companies become distressed or insolvent and will likely experience a lower recovery than more senior debtholders in the event our portfolio companies defaults on their indebtedness.”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Substantially all of the debt investments held in our portfolio hold a non-investment grade rating by one or more rating agencies or, if not rated, would be rated below investment grade if rated, which are often referred to as “junk.” As of February 29, 2016, 40.0% of our debt portfolio at fair value consisted of debt securities for which issuers were not required to make principal payments until the maturity of such debt securities, which could result in a substantial loss to us if such issuers are unable to refinance or repay their debt at maturity. In addition, 60.0% of our debt investments at February 29, 2016, had variable interest rates that reset periodically based on benchmarks such as LIBOR and the prime rate. As a result, significant increases in such benchmarks in the future may make it more difficult for these borrowers to service their obligations under the debt investments that we hold.</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a BDC, we are required to comply with certain regulatory requirements. For instance, we have to invest at least 70.0% of our total assets in assets of the type listed in section 55(a) of the 1940 Act, including securities of U.S. operating companies whose securities are not listed on a national securities exchange (i.e., New York Stock Exchange, NYSE MKT and The NASDAQ Stock Market), U.S. operating companies with listed securities that have market capitalizations of less than $250.0 million, cash, cash equivalents, U.S. government securities and high-quality debt investments that mature in one year or less, which we refer to as “qualifying assets”.</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While our primary focus is to generate current income and capital appreciation from our debt and equity investments in middle market companies, we may invest up to 30.0% of the portfolio in opportunistic investments in order to seek to enhance returns to stockholders. Such investments may include investments in distressed debt, private equity, securities of public companies that are not thinly traded and structured finance vehicles such as collateralized loan obligation funds.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Leveraged loans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leveraged loan portfolio is comprised primarily of first lien and second lien term loans. First lien term loans are secured by a first priority perfected security interest on all or substantially all of the assets of the borrower and typically include a first priority pledge of the capital stock of the borrower. First lien term loans hold a first priority with regard to right of payment. Generally, first lien term loans offer floating rate interest payments, have a stated maturity of five to seven years, and have a fixed amortization schedule. First lien term loans generally have restrictive financial and negative covenants. Second lien term loans are secured by a second priority perfected security interest on all or substantially all of the assets of the borrower and typically include a second priority pledge of the capital stock of the borrower. Second lien term loans hold a second priority with regard to right of payment. Second lien term loans offer either floating rate or fixed rate interest payments, generally have a stated maturity of five to eight years, and may or may not have a fixed amortization schedule. Second lien term loans that do not have fixed amortization schedules require payment of the principal amount of the loan upon the maturity date of the loan. Second lien term loans have less restrictive financial and negative covenants than those that govern first lien term loans.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Mezzanine debt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Mezzanine debt usually ranks subordinate in priority of payment to senior debt and is often unsecured. However, mezzanine debt ranks senior to common and preferred equity in a borrowers’ capital structure. Mezzanine debt typically has fixed rate interest payments and a stated maturity of six to eight years and does not have fixed amortization schedules.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some cases, our debt investments may provide for a portion of the interest payable to be paid-in-kind interest (“PIK”). To the extent interest is paid-in-kind, it will be payable through the increase of the principal amount of the obligation by the amount of interest due on the then-outstanding aggregate principal amount of such obligation.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Equity investments may consist of preferred equity that is expected to pay dividends on a current basis or preferred equity that does not pay current dividends. Preferred equity generally has a preference over common equity as to distributions on liquidation and dividends. In some cases, we may acquire common equity. In general, our equity investments are not control-oriented investments and we expect that in many cases we will acquire equity securities as part of a group of private equity investors in which we are not the lead investor.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Opportunistic Investments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Opportunistic investments may include investments in distressed debt, which may include securities of companies in bankruptcy, debt and equity securities of public companies that are not thinly traded, emerging market debt, structured finance vehicles such as collateralized loan obligation funds and debt of middle market companies located outside the United States.</w:t>
      </w:r>
    </w:p>
    <w:p>
      <w:pPr>
        <w:spacing w:after="0" w:line="18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January 2008, we purchased for $30.0 million all of the outstanding subordinated notes of Saratoga CLO, a collateralized loan obligation fund managed by us that invests primarily in leveraged loans. As of February 29, 2016, the Saratoga CLO portfolio consisted of $302.7 million in aggregate principal amount of primarily senior secured first lien term loans to 168 obligors with an average obligor exposure of $1.7 million and $2.3 million in uninvested cash. The weighted average maturity of the portfolio is 4.59 years.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Prospective portfolio company characteristics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 generally selects portfolio companies with one or more of the following characteristics:</w:t>
      </w:r>
    </w:p>
    <w:p>
      <w:pPr>
        <w:spacing w:after="0" w:line="131"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history of generating stable earnings and strong free cash flow;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well-constructed balance sheets, supported by sustainable enterprise values;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reasonable debt-to-cash flow multiples;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industry leadership with competitive advantages and sustainable market shares and growth prospects in attractive and healthy sectors;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structures that provide appropriate terms and reasonable covenants.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selection</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managing us, Saratoga Investment Advisors employs the same investment philosophy and portfolio management methodologies used by Saratoga Partners. Through this investment selection process, based on quantitative and qualitative analysis, Saratoga Investment Advisors seeks to identify portfolio companies with superior fundamental risk-reward profiles and strong, defensible business franchises with the goal of minimizing principal losses while maximizing risk-adjusted returns. Saratoga Investment Advisors’ investment process emphasizes the following:</w:t>
      </w:r>
    </w:p>
    <w:p>
      <w:pPr>
        <w:spacing w:after="0" w:line="7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bottoms-up, company-specific research and analysis;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preservation, low volatility and minimization of downside risk;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with experienced management teams that hold meaningful equity ownership in their businesses.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adviser’s investment process generally includes the following steps:</w:t>
      </w:r>
    </w:p>
    <w:p>
      <w:pPr>
        <w:spacing w:after="0" w:line="131" w:lineRule="exact"/>
        <w:rPr>
          <w:sz w:val="20"/>
          <w:szCs w:val="20"/>
          <w:color w:val="auto"/>
        </w:rPr>
      </w:pPr>
    </w:p>
    <w:p>
      <w:pPr>
        <w:jc w:val="both"/>
        <w:ind w:left="660" w:hanging="206"/>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Initial screening. A brief analysis identifies the investment opportunity and reviews the merits of the transaction. The initial screening memorandum provides a brief description of the company, its industry, competitive position, capital structure, financials, equity sponsor and deal economics. If the deal is determined to be attractive by the senior members of the deal team, the opportunity is fully analyzed.</w:t>
      </w:r>
    </w:p>
    <w:p>
      <w:pPr>
        <w:spacing w:after="0" w:line="70" w:lineRule="exact"/>
        <w:rPr>
          <w:rFonts w:ascii="Arial" w:cs="Arial" w:eastAsia="Arial" w:hAnsi="Arial"/>
          <w:sz w:val="17"/>
          <w:szCs w:val="17"/>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analysis. A full analysis includes:</w:t>
      </w:r>
    </w:p>
    <w:p>
      <w:pPr>
        <w:spacing w:after="0" w:line="130" w:lineRule="exact"/>
        <w:rPr>
          <w:rFonts w:ascii="Arial" w:cs="Arial" w:eastAsia="Arial" w:hAnsi="Arial"/>
          <w:sz w:val="18"/>
          <w:szCs w:val="18"/>
          <w:color w:val="auto"/>
        </w:rPr>
      </w:pPr>
    </w:p>
    <w:p>
      <w:pPr>
        <w:ind w:left="1480" w:right="40" w:hanging="446"/>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Business and Industry analysis—a review of the company’s business position, competitive dynamics within its industry, cost and growth drivers and technological and geographic factors. Business and industry research often includes meetings with industry experts, consultants, other investors, customers and competitors.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hanging="446"/>
        <w:spacing w:after="0" w:line="34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Company analysis—a review of the company’s historical financial performance, future projections, cash flow characteristics, balance sheet strength, liquidation value, legal, financial and accounting risks, contingent liabilities, market share analysis and growth prospects.</w:t>
      </w:r>
    </w:p>
    <w:p>
      <w:pPr>
        <w:spacing w:after="0" w:line="29" w:lineRule="exact"/>
        <w:rPr>
          <w:rFonts w:ascii="Arial" w:cs="Arial" w:eastAsia="Arial" w:hAnsi="Arial"/>
          <w:sz w:val="16"/>
          <w:szCs w:val="16"/>
          <w:color w:val="auto"/>
        </w:rPr>
      </w:pPr>
    </w:p>
    <w:p>
      <w:pPr>
        <w:ind w:left="1480" w:right="360" w:hanging="446"/>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Structural/security analysis—a thorough legal document analysis including but not limited to an assessment of financial and negative covenants, events of default, enforceability of liens and voting rights.</w:t>
      </w:r>
    </w:p>
    <w:p>
      <w:pPr>
        <w:spacing w:after="0" w:line="75"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the investment committee. The investment is then presented to the investment committee for approval. The investment committee must unanimously approve all investments in excess of $1 million made by us. In addition, all sales of our investments must be approved by all four of our investment committee members. The members of our investment committee are Christian L. Oberbeck, Michael J. Grisius, Thomas V. Inglesby, and Charles G. Phillips.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general, our Investment Adviser intends to select investments with financial covenants and terms that reduce leverage over time, thereby enhancing credit quality. These methods include:</w:t>
      </w:r>
    </w:p>
    <w:p>
      <w:pPr>
        <w:spacing w:after="0" w:line="76"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leverage covenants requiring a decreasing ratio of debt to cash flow;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maintenance cash flow covenants requiring an increasing ratio of cash flow to the sum of interest expense and capital expenditures;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incurrence prohibitions, limiting a company’s ability to re-lever.</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addition, limitations on asset sales and capital expenditures should prevent a company from changing the nature of its business or capitalization without our consent.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 seeks, where appropriate, to limit the downside potential of our investments by:</w:t>
      </w:r>
    </w:p>
    <w:p>
      <w:pPr>
        <w:spacing w:after="0" w:line="13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and potential equity appreciation) that compensates us for credit risk;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companies to use a portion of their excess cash flow to repay debt;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investments with covenants that incorporate call protection as part of the investment structure; and</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investments with affirmative and negative covenants, default penalties, lien protection, change of control provisions and board rights, including either observation or participation rights.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process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account for our investments at fair value in accordance with the 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 approved in good faith using written policies and procedures adopted by our board of directors. Investments for which market quotations are readily available are recorded in our consolidated financial statements at such market quotations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Advisors, our audit committee and an independent valuation firm engaged by our board of directors. Determinations of fair value may involve subjective judgments and estimates. The types of factors that may be considered in determining the fair value of our investments include the nature and realizable value of any collateral, the portfolio company’s ability to make payments, the markets in which the portfolio company does business, market yield trend analysis, comparison to publicly traded companies, discounted cash flow and other relevant factors.</w:t>
      </w:r>
    </w:p>
    <w:p>
      <w:pPr>
        <w:spacing w:after="0" w:line="16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Our investment in the subordinated notes of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similar collateralized loan obligation fund subordinated notes or equity, when available. Specifically, we use Intex cash flow models, or an appropriate substitute, to form the basis for Saratoga CLO’s valuation. The Intex cash flow models use a set of assumptions including projected default rates, recovery rates, reinvestment rate and prepayment rates in order to arrive at estimated cash flows. The assumptions are based on available market data and projections provided by third parties as well as management estimates. We use the output from the Intex models (i.e., the estimated cash flows from our investment in Saratoga CLO) to perform a discounted cash flow analysis on expected future cash flows from our investment in Saratoga CLO to determine a valuation for the subordinated notes of Saratoga CLO held by 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660" w:right="78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independently values at least one quarter of our investments each quarter so that the valuation of each investment for which market quotes are not readily available is independently valued by an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660" w:right="420" w:hanging="206"/>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our investment adviser and independent valuation firm (if applicable) will supplement the preliminary valuation to reflect any comments provided by the audit committee; and</w:t>
      </w:r>
    </w:p>
    <w:p>
      <w:pPr>
        <w:spacing w:after="0" w:line="51" w:lineRule="exact"/>
        <w:rPr>
          <w:rFonts w:ascii="Arial" w:cs="Arial" w:eastAsia="Arial" w:hAnsi="Arial"/>
          <w:sz w:val="17"/>
          <w:szCs w:val="17"/>
          <w:color w:val="auto"/>
        </w:rPr>
      </w:pPr>
    </w:p>
    <w:p>
      <w:pPr>
        <w:ind w:left="660" w:right="360" w:hanging="20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investment adviser, independent valuation firm (to the extent applicable) and the audit committee of our board of directors.</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relationships with and monitoring of portfolio companies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Saratoga Investment Advisors will closely monitor each investment we make and, when appropriate, will conduct a regular dialogue with both the management team and other debtholders and seek specifically tailored financial reporting. In addition, in certain circumstances, senior investment professionals of Saratoga Investment Advisors may take board seats or board observation seats.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distributions, if any, will be determined by our board of directors and paid out of assets legally available for distribution. Any such distributions generally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thereafter paid five annual dividend distributions (December 2013, 2012, 2011, 2010 and 2009) to our stockholders since such time, which distributions were made with a combination of cash and the issuance of shares of our common stock as discussed more fully below.</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September 24, 2014, we announced the recommencement of quarterly dividends to our stockholders, and have subsequently made distributions under this new policy. 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17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ind w:right="60" w:firstLine="8"/>
        <w:spacing w:after="0" w:line="271"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2015 calendar year, we made distributions sufficient such that we did not incur any federal excise taxes. We may elect to withhold from distribution a portion of our ordinary income for the 2016 calendar year and/or portion of the capital gains in excess of capital losses realized during the one year period ending October 31, 2016, if any, and, if we do so, we would expect to incur federal excise taxes as a result.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primary competitors in providing financing to private middle market companies include public and private investment funds (including private equity funds, mezzanine funds, BDCs and SBICs), commercial and investment banks and commercial financing companies. Additionally, alternative investment vehicles, such as hedge funds, frequently invest in middle-market companies. As a result, competition for investment opportunities at middle-market companies can be intense. However, we continue to believe that there has been an overall reduction in the amount of debt capital available on average since the downturn in the credit markets, which began in mid-2007, and that this has resulted in a somewhat less competitive environment for making new investments. While many middle-market companies were previously able to raise senior debt financing through traditional large financial institutions, we believe this approach to financing is more difficult as implementation of U.S. and international financial reforms, such as Basel 3, limits the capacity of large financial institutions to hold non-investment grade leveraged loans on their balance sheets. We believe that many of these financial institutions have de-emphasized their service and product offerings to middle-market companies in particular.</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Many of our competitors are substantially larger and have considerably greater financial and marketing resources than us. For example, some competitors may have access to funding sources that are not available to us. In addition, some of our competitors may have higher risk tolerances or different risk assessments, which may allow them to consider a wider variety of investments and establish more relationship than us. Furthermore, many of our competitors are not subject to the regulatory restrictions that the 1940 Act imposes on us as a BDC. We use the industry information available to the investment professionals of Saratoga Investment Advisors to assess investment risks and determine appropriate pricing for our investments in portfolio companies. In addition, we believe that the investment professionals of our investment adviser enable us to learn about, and compete effectively for, financing opportunities with attractive leveraged companies in the industries in which we seek to invest.</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additional information concerning the competitive risks we face, please see Part I. Item 1A. “Risk Factors—We operate in a highly competitive market for investment opportunities.”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do not currently have any employees and do not expect to have any employees in the future. Services necessary for our business are provided by individuals who are employees of Saratoga Investment Advisors, pursuant to the terms of the Management Agreement and the administration agreement. For a discussion of the Management Agreement, see “Business—Investment Advisory and Management Agreement” below. We reimburse Saratoga Investment Advisors for our allocable portion of expenses incurred by it in performing its obligations under the administration agreement, including rent and our allocable portion of the cost of our officers and their respective staffs, subject to certain limitations. For a discussion of the administration agreement, see “Business—Administration Agreement” below.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Saratoga Investment Advisors serves as our investment adviser. Our investment adviser was formed in 2010 as a Delaware limited liability company and became our investment advisor in July 2010. Subject to the overall supervision of our board of directors, Saratoga Investment Advisors manages our day-to-day operations and provides investment advisory and management services to us. Under the terms of the Management Agreement, Saratoga Investment Advisors:</w:t>
      </w:r>
    </w:p>
    <w:p>
      <w:pPr>
        <w:spacing w:after="0" w:line="9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53" w:lineRule="exact"/>
        <w:rPr>
          <w:rFonts w:ascii="Arial" w:cs="Arial" w:eastAsia="Arial" w:hAnsi="Arial"/>
          <w:sz w:val="16"/>
          <w:szCs w:val="16"/>
          <w:color w:val="auto"/>
        </w:rPr>
      </w:pPr>
    </w:p>
    <w:p>
      <w:pPr>
        <w:ind w:left="660" w:right="50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purchase, retain or sell.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Saratoga Investment Advisors services under the Management Agreement are not exclusive, and it is free to furnish similar services to other entities.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Fee and Incentive Fee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Management Agreement with Saratoga Investment Advisors, we pay Saratoga Investment Advisors a fee for investment advisory and management services consisting of two components—a base management fee and an incentive fee.</w:t>
      </w:r>
    </w:p>
    <w:p>
      <w:pPr>
        <w:spacing w:after="0" w:line="17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base management fee is paid quarterly in arrears, and equals 1.75% per annum of our gross assets (other than cash or cash equivalents but including assets purchased with borrowed funds) and calculated at the end of each fiscal quarter based on the average value of our gross assets (other than cash or cash equivalents but including assets purchased with borrowed funds) as of the end of such fiscal quarter and the end of the immediate prior fiscal quarter. Base management fees for any partial month or quarter are appropriately pro-rated.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the following two parts:</w:t>
      </w:r>
    </w:p>
    <w:p>
      <w:pPr>
        <w:spacing w:after="0" w:line="117"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The first part is calculated and payable quarterly in arrears based on our pre-incentive fee net investment income for the immediately preceding fiscal quarter. Pre-incentive fee net investment income means interest income, dividend income and any other income (including any other fees such as commitment, origination, structuring, diligence, managerial and consulting fees or other fees that we receive from portfolio companies) accrued during the fiscal quarter, minus our operating expenses for the quarter (including the base management fee, expenses payable under the administration agreement, and any interest expense and dividends paid on any issued and outstanding preferred stock or debt security, but excluding the incentive fee). Pre-incentive fee net investment income includes, in the case of investments with a deferred interest feature (such as market discount, debt instruments with payment-in-kind interest, preferred stock with payment-in-kind dividends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(defined as total assets less liabilities) at the end of the immediately preceding fiscal quarter, is compared to a “hurdle rate” of 1.875% per quarter (7.5% annualized), subject to a “catch up” provision. The base management fee is calculated prior to giving effect to the payment of any incentive fees.</w:t>
      </w:r>
    </w:p>
    <w:p>
      <w:pPr>
        <w:spacing w:after="0" w:line="65" w:lineRule="exact"/>
        <w:rPr>
          <w:sz w:val="20"/>
          <w:szCs w:val="20"/>
          <w:color w:val="auto"/>
        </w:rPr>
      </w:pPr>
    </w:p>
    <w:p>
      <w:pPr>
        <w:ind w:left="460" w:right="20" w:firstLine="438"/>
        <w:spacing w:after="0" w:line="284" w:lineRule="auto"/>
        <w:rPr>
          <w:sz w:val="20"/>
          <w:szCs w:val="20"/>
          <w:color w:val="auto"/>
        </w:rPr>
      </w:pPr>
      <w:r>
        <w:rPr>
          <w:rFonts w:ascii="Arial" w:cs="Arial" w:eastAsia="Arial" w:hAnsi="Arial"/>
          <w:sz w:val="16"/>
          <w:szCs w:val="16"/>
          <w:color w:val="auto"/>
        </w:rPr>
        <w:t>We pay Saratoga Investment Advisors an incentive fee with respect to our pre-incentive fee net investment income in each fiscal quarter as follows: (A) no incentive fee in any fiscal quarter in which our pre-incentive fee net investment income does not exceed the hurdle rate; (B) 100.0% of our pre-incentive fee net investment income with respect to that portion of such pre-incentive fee net investment income, if any, that exceeds the hurdle rate but is less than or equal to 2.344% in any fiscal quarter (9.376% annualized) is payable to Saratoga Investment Advisors; and (C) 20.0% of the amount of our pre-incentive fee net investment income, if any, that exceeds 2.344% in any fiscal quarter (9.376% annualized). We refer to the amount specified in clause (B) as the “catch-up.” The “catch-up” provision is intended to provide Saratoga Investment Advisors with an incentive fee of 20.0% on all of our pre-incentive fee net investment income as if a hurdle rate did not apply when our pre-incentive fee net investment income exceeds</w:t>
      </w:r>
    </w:p>
    <w:p>
      <w:pPr>
        <w:spacing w:after="0" w:line="3"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2.344% in any fiscal quarter. Notwithstanding the foregoing, with respect to any period ending on or prior to December 31, 2010, Saratoga Investment Advisors was only entitled to 20.0% of the amount of our pre-incentive fee net investment income, if any, that exceeded 1.875% in any fiscal quarter (7.5% annualized) without any catch-up provision. These calculations are appropriately pro-rated when such calculations are applicable for any period of less than three months.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graphical representation of the calculation of the income-related portion of the incentive fee subsequent to any period ending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11" w:lineRule="exact"/>
        <w:rPr>
          <w:sz w:val="20"/>
          <w:szCs w:val="20"/>
          <w:color w:val="auto"/>
        </w:rPr>
      </w:pPr>
    </w:p>
    <w:p>
      <w:pPr>
        <w:jc w:val="center"/>
        <w:ind w:left="420" w:right="2620"/>
        <w:spacing w:after="0" w:line="264" w:lineRule="auto"/>
        <w:rPr>
          <w:sz w:val="20"/>
          <w:szCs w:val="20"/>
          <w:color w:val="auto"/>
        </w:rPr>
      </w:pPr>
      <w:r>
        <w:rPr>
          <w:rFonts w:ascii="Arial" w:cs="Arial" w:eastAsia="Arial" w:hAnsi="Arial"/>
          <w:sz w:val="18"/>
          <w:szCs w:val="18"/>
          <w:b w:val="1"/>
          <w:bCs w:val="1"/>
          <w:i w:val="1"/>
          <w:iCs w:val="1"/>
          <w:color w:val="auto"/>
        </w:rPr>
        <w:t xml:space="preserve">Quarterly Incentive Fee Based on “Pre-Incentive Fee Net Investment Income” </w:t>
      </w:r>
      <w:r>
        <w:rPr>
          <w:rFonts w:ascii="Arial" w:cs="Arial" w:eastAsia="Arial" w:hAnsi="Arial"/>
          <w:sz w:val="18"/>
          <w:szCs w:val="18"/>
          <w:b w:val="1"/>
          <w:bCs w:val="1"/>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141605</wp:posOffset>
            </wp:positionV>
            <wp:extent cx="4382135" cy="1269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8213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Percentage of Pre-Incentive Fee Net Investment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Income allocated to income-related portion of incentive fee</w:t>
      </w:r>
    </w:p>
    <w:p>
      <w:pPr>
        <w:spacing w:after="0" w:line="103"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The second part of the incentive fee, the capital gains fee, is determined and payable in arrears as of the end of each fiscal year (or, upon termination of the Management Agreement), and is calculated at the end of each applicable fiscal year by subtracting (1) the sum of our cumulative aggregate realized capital losses and aggregate unrealized capital depreciation from (2) our cumulative aggregate realized capital gains, in each case calculated from May 31, 2010. If such amount is positive at the end of such year, then the capital gains fee for such year is equal to 20.0% of such amount, less the cumulative aggregate amount of capital gains fees paid in all prior years. If such amount is negative, then there is no capital gains fee for such year.</w:t>
      </w:r>
    </w:p>
    <w:p>
      <w:pPr>
        <w:spacing w:after="0" w:line="85" w:lineRule="exact"/>
        <w:rPr>
          <w:sz w:val="20"/>
          <w:szCs w:val="20"/>
          <w:color w:val="auto"/>
        </w:rPr>
      </w:pPr>
    </w:p>
    <w:p>
      <w:pPr>
        <w:ind w:left="460" w:right="160" w:firstLine="438"/>
        <w:spacing w:after="0" w:line="257" w:lineRule="auto"/>
        <w:rPr>
          <w:sz w:val="20"/>
          <w:szCs w:val="20"/>
          <w:color w:val="auto"/>
        </w:rPr>
      </w:pPr>
      <w:r>
        <w:rPr>
          <w:rFonts w:ascii="Arial" w:cs="Arial" w:eastAsia="Arial" w:hAnsi="Arial"/>
          <w:sz w:val="18"/>
          <w:szCs w:val="18"/>
          <w:color w:val="auto"/>
        </w:rPr>
        <w:t>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net capital gains that arise after May 31, 2010. In addition, the cost basis for computing our realized gains and losses on investments held by us as of May 31, 2010 equals the fair value of such investments as of such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 1: Income Related Portion of Incentive Fee(1):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Hurdle rate(2) = 1.875%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fee(3) = 0.4375%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expenses (legal, accounting, custodian, transfer agent, etc.)(4) = 0.33%</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Assumptions</w:t>
      </w:r>
    </w:p>
    <w:p>
      <w:pPr>
        <w:spacing w:after="0" w:line="131"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1.25%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0.4825%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Assumptions</w:t>
      </w:r>
    </w:p>
    <w:p>
      <w:pPr>
        <w:spacing w:after="0" w:line="131"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3.0%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2.2325%</w:t>
      </w:r>
    </w:p>
    <w:p>
      <w:pPr>
        <w:sectPr>
          <w:pgSz w:w="11900" w:h="16838" w:orient="portrait"/>
          <w:cols w:equalWidth="0" w:num="1">
            <w:col w:w="11260"/>
          </w:cols>
          <w:pgMar w:left="240" w:top="459" w:right="39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240" w:top="459" w:right="3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Pre-incentive fee net investment income exceeds hurdle rate, but does not fully satisfy the “catch-up” provision, therefore the income related portion of the incentive fee is 0.3575%.</w:t>
      </w:r>
    </w:p>
    <w:p>
      <w:pPr>
        <w:spacing w:after="0" w:line="197" w:lineRule="exact"/>
        <w:rPr>
          <w:sz w:val="20"/>
          <w:szCs w:val="20"/>
          <w:color w:val="auto"/>
        </w:rPr>
      </w:pPr>
    </w:p>
    <w:p>
      <w:pPr>
        <w:spacing w:after="0"/>
        <w:tabs>
          <w:tab w:leader="none" w:pos="1280" w:val="left"/>
          <w:tab w:leader="none" w:pos="15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(100.0% × (pre-incentive fee net investment income–1.875%)</w:t>
      </w:r>
    </w:p>
    <w:p>
      <w:pPr>
        <w:spacing w:after="0" w:line="23" w:lineRule="exact"/>
        <w:rPr>
          <w:sz w:val="20"/>
          <w:szCs w:val="20"/>
          <w:color w:val="auto"/>
        </w:rPr>
      </w:pPr>
    </w:p>
    <w:p>
      <w:pPr>
        <w:ind w:left="1600" w:hanging="302"/>
        <w:spacing w:after="0"/>
        <w:tabs>
          <w:tab w:leader="none" w:pos="16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100.0%(2.2325%–1.875%)</w:t>
      </w:r>
    </w:p>
    <w:p>
      <w:pPr>
        <w:spacing w:after="0" w:line="9" w:lineRule="exact"/>
        <w:rPr>
          <w:rFonts w:ascii="Arial" w:cs="Arial" w:eastAsia="Arial" w:hAnsi="Arial"/>
          <w:sz w:val="18"/>
          <w:szCs w:val="18"/>
          <w:color w:val="auto"/>
        </w:rPr>
      </w:pPr>
    </w:p>
    <w:p>
      <w:pPr>
        <w:ind w:left="1600" w:hanging="302"/>
        <w:spacing w:after="0"/>
        <w:tabs>
          <w:tab w:leader="none" w:pos="16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100.0%(0.3575%)</w:t>
      </w:r>
    </w:p>
    <w:p>
      <w:pPr>
        <w:spacing w:after="0" w:line="9" w:lineRule="exact"/>
        <w:rPr>
          <w:rFonts w:ascii="Arial" w:cs="Arial" w:eastAsia="Arial" w:hAnsi="Arial"/>
          <w:sz w:val="18"/>
          <w:szCs w:val="18"/>
          <w:color w:val="auto"/>
        </w:rPr>
      </w:pPr>
    </w:p>
    <w:p>
      <w:pPr>
        <w:ind w:left="1600" w:hanging="302"/>
        <w:spacing w:after="0"/>
        <w:tabs>
          <w:tab w:leader="none" w:pos="16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0.3575%</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7.5% annualized hurdle rate.</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1.75% annualized management fee. For the purposes of this example, we have assumed that we have not incurred any indebtedness and that we maintain no cash or cash equivalents.</w:t>
      </w:r>
    </w:p>
    <w:p>
      <w:pPr>
        <w:ind w:left="46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“catch-up” provision is intended to provide our investment adviser with an incentive fee of 20.0% on all pre-incentive fee net investment income as if a hurdle rate did not apply when our net investment income exceeds 2.344% in any fiscal quarter.</w:t>
      </w:r>
    </w:p>
    <w:p>
      <w:pPr>
        <w:spacing w:after="0" w:line="291" w:lineRule="exact"/>
        <w:rPr>
          <w:rFonts w:ascii="Arial" w:cs="Arial" w:eastAsia="Arial" w:hAnsi="Arial"/>
          <w:sz w:val="18"/>
          <w:szCs w:val="18"/>
          <w:color w:val="auto"/>
        </w:rPr>
      </w:pPr>
    </w:p>
    <w:p>
      <w:pPr>
        <w:ind w:left="460" w:right="9240"/>
        <w:spacing w:after="0" w:line="431"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Alternative 3 </w:t>
      </w:r>
      <w:r>
        <w:rPr>
          <w:rFonts w:ascii="Arial" w:cs="Arial" w:eastAsia="Arial" w:hAnsi="Arial"/>
          <w:sz w:val="16"/>
          <w:szCs w:val="16"/>
          <w:i w:val="1"/>
          <w:iCs w:val="1"/>
          <w:color w:val="auto"/>
        </w:rPr>
        <w:t>Additional Assumptions</w:t>
      </w:r>
    </w:p>
    <w:p>
      <w:pPr>
        <w:ind w:left="660" w:hanging="206"/>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3.5%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2.7325%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-1819910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0.5467%.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91"/>
              </w:rPr>
              <w:t>100.0%</w:t>
            </w:r>
          </w:p>
        </w:tc>
        <w:tc>
          <w:tcPr>
            <w:tcW w:w="5580" w:type="dxa"/>
            <w:vAlign w:val="bottom"/>
          </w:tcPr>
          <w:p>
            <w:pPr>
              <w:ind w:left="20"/>
              <w:spacing w:after="0"/>
              <w:rPr>
                <w:sz w:val="20"/>
                <w:szCs w:val="20"/>
                <w:color w:val="auto"/>
              </w:rPr>
            </w:pPr>
            <w:r>
              <w:rPr>
                <w:rFonts w:ascii="Arial" w:cs="Arial" w:eastAsia="Arial" w:hAnsi="Arial"/>
                <w:sz w:val="18"/>
                <w:szCs w:val="18"/>
                <w:color w:val="auto"/>
              </w:rPr>
              <w:t>× pre-incentive fee net investment income (subject to “catch-up”)(4)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91"/>
              </w:rPr>
              <w:t>100.0%</w:t>
            </w:r>
          </w:p>
        </w:tc>
        <w:tc>
          <w:tcPr>
            <w:tcW w:w="5580" w:type="dxa"/>
            <w:vAlign w:val="bottom"/>
          </w:tcPr>
          <w:p>
            <w:pPr>
              <w:ind w:left="20"/>
              <w:spacing w:after="0"/>
              <w:rPr>
                <w:sz w:val="20"/>
                <w:szCs w:val="20"/>
                <w:color w:val="auto"/>
              </w:rPr>
            </w:pPr>
            <w:r>
              <w:rPr>
                <w:rFonts w:ascii="Arial" w:cs="Arial" w:eastAsia="Arial" w:hAnsi="Arial"/>
                <w:sz w:val="18"/>
                <w:szCs w:val="18"/>
                <w:color w:val="auto"/>
                <w:w w:val="91"/>
              </w:rPr>
              <w:t>× “catch-up” + (20.0% × (Pre-incentive fee net investment income–2.344%))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Catch up</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2.344%–1.875%</w:t>
            </w:r>
          </w:p>
        </w:tc>
      </w:tr>
      <w:tr>
        <w:trPr>
          <w:trHeight w:val="216"/>
        </w:trPr>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91"/>
              </w:rPr>
              <w:t>0.469%</w:t>
            </w:r>
          </w:p>
        </w:tc>
        <w:tc>
          <w:tcPr>
            <w:tcW w:w="55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(100.0% × 0.469%) +(20.0% ×(2.7325%–2.344%))</w:t>
            </w:r>
          </w:p>
        </w:tc>
      </w:tr>
      <w:tr>
        <w:trPr>
          <w:trHeight w:val="216"/>
        </w:trPr>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91"/>
              </w:rPr>
              <w:t>0.469%</w:t>
            </w:r>
          </w:p>
        </w:tc>
        <w:tc>
          <w:tcPr>
            <w:tcW w:w="5580" w:type="dxa"/>
            <w:vAlign w:val="bottom"/>
          </w:tcPr>
          <w:p>
            <w:pPr>
              <w:ind w:left="20"/>
              <w:spacing w:after="0"/>
              <w:rPr>
                <w:sz w:val="20"/>
                <w:szCs w:val="20"/>
                <w:color w:val="auto"/>
              </w:rPr>
            </w:pPr>
            <w:r>
              <w:rPr>
                <w:rFonts w:ascii="Arial" w:cs="Arial" w:eastAsia="Arial" w:hAnsi="Arial"/>
                <w:sz w:val="18"/>
                <w:szCs w:val="18"/>
                <w:color w:val="auto"/>
              </w:rPr>
              <w:t>+(20.0% × 0.3885%)</w:t>
            </w:r>
          </w:p>
        </w:tc>
      </w:tr>
      <w:tr>
        <w:trPr>
          <w:trHeight w:val="216"/>
        </w:trPr>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91"/>
              </w:rPr>
              <w:t>0.469%</w:t>
            </w:r>
          </w:p>
        </w:tc>
        <w:tc>
          <w:tcPr>
            <w:tcW w:w="5580" w:type="dxa"/>
            <w:vAlign w:val="bottom"/>
          </w:tcPr>
          <w:p>
            <w:pPr>
              <w:ind w:left="20"/>
              <w:spacing w:after="0"/>
              <w:rPr>
                <w:sz w:val="20"/>
                <w:szCs w:val="20"/>
                <w:color w:val="auto"/>
              </w:rPr>
            </w:pPr>
            <w:r>
              <w:rPr>
                <w:rFonts w:ascii="Arial" w:cs="Arial" w:eastAsia="Arial" w:hAnsi="Arial"/>
                <w:sz w:val="18"/>
                <w:szCs w:val="18"/>
                <w:color w:val="auto"/>
              </w:rPr>
              <w:t>+ 0.0777%</w:t>
            </w:r>
          </w:p>
        </w:tc>
      </w:tr>
      <w:tr>
        <w:trPr>
          <w:trHeight w:val="230"/>
        </w:trPr>
        <w:tc>
          <w:tcPr>
            <w:tcW w:w="1120" w:type="dxa"/>
            <w:vAlign w:val="bottom"/>
          </w:tcPr>
          <w:p>
            <w:pPr>
              <w:spacing w:after="0"/>
              <w:rPr>
                <w:sz w:val="20"/>
                <w:szCs w:val="20"/>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0.5467%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Assumptions(1)</w:t>
      </w:r>
    </w:p>
    <w:p>
      <w:pPr>
        <w:spacing w:after="0" w:line="131"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Year 1: $20.0 million investment made in Company A (“Investment A”), and $30.0 million investment made in Company B (“Investment B”)</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2: Investment A is sold for $50.0 million and fair market value (“FMV”) of Investment B determined to be $32.0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3: FMV of Investment B determined to be $25.0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4: Investment B sold for $31.0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calculated under the cumulative method would be:</w:t>
      </w:r>
    </w:p>
    <w:p>
      <w:pPr>
        <w:spacing w:after="0" w:line="131"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2: $6 million (20.0% multiplied by $30.0 million realized capital gains on sale of Investment A)</w:t>
      </w:r>
    </w:p>
    <w:p>
      <w:pPr>
        <w:spacing w:after="0" w:line="130"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3: None; $5 million (20.0% multiplied by ($30.0 million realized cumulative capital gains less $5.0 million cumulative capital depreciation)) less $6.0 million (capital gains incentive fee paid in Year 2)</w:t>
      </w:r>
    </w:p>
    <w:p>
      <w:pPr>
        <w:spacing w:after="0" w:line="75"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 $200,000; $6.2 million (20.0% multiplied by $31.0 million cumulative realized capital gains) less $6.0 million (capital gains incentive fee paid in Year 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right="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examples assume that Investment A and Investment B were acquired by us subsequent to May 31, 2010. If Investment A and B were acquired by us prior to May 31, 2010, then the cost basis for computing our realized gains and losses on such investments would equal the fair value of such investments as of May 31, 2010.</w:t>
      </w:r>
    </w:p>
    <w:p>
      <w:pPr>
        <w:spacing w:after="0" w:line="86" w:lineRule="exact"/>
        <w:rPr>
          <w:rFonts w:ascii="Arial" w:cs="Arial" w:eastAsia="Arial" w:hAnsi="Arial"/>
          <w:sz w:val="18"/>
          <w:szCs w:val="18"/>
          <w:color w:val="auto"/>
        </w:rPr>
      </w:pPr>
    </w:p>
    <w:p>
      <w:pPr>
        <w:ind w:left="660" w:right="400" w:hanging="206"/>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1: $20.0 million investment made in Company A (“Investment A”), $30.0 million investment made in Company B (“Investment B”) and $25.0 million investment made in Company C (“Investment C”)</w:t>
      </w:r>
    </w:p>
    <w:p>
      <w:pPr>
        <w:spacing w:after="0" w:line="75" w:lineRule="exact"/>
        <w:rPr>
          <w:rFonts w:ascii="Arial" w:cs="Arial" w:eastAsia="Arial" w:hAnsi="Arial"/>
          <w:sz w:val="18"/>
          <w:szCs w:val="18"/>
          <w:color w:val="auto"/>
        </w:rPr>
      </w:pPr>
    </w:p>
    <w:p>
      <w:pPr>
        <w:ind w:left="660" w:right="320" w:hanging="206"/>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2: Investment A sold for $50.0 million, FMV of Investment B determined to be $25.0 million and FMV of Investment C determined to be $25.0 million</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3: FMV of Investment B determined to be $27.0 million and Investment C sold for $30.0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4: FMV of Investment B determined to be $35.0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5: Investment B sold for $20.0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calculated under the cumulative method would be:</w:t>
      </w:r>
    </w:p>
    <w:p>
      <w:pPr>
        <w:spacing w:after="0" w:line="13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2: $5.0 million (20.0% multiplied by $25.0 million ($30.0 million realized capital gains on Investment A less $5.0 million unrealized capital depreciation on Investment B))</w:t>
      </w:r>
    </w:p>
    <w:p>
      <w:pPr>
        <w:spacing w:after="0" w:line="75"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3: $1.4 million ($6.4 million (20.0% multiplied by $32.0 million ($35.0 million cumulative realized capital gains less $3.0 million unrealized capital depreciation)) less $5.0 million (capital gains incentive fee paid in Year 2))</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30"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5: None ($5.0 million (20.0% multiplied by $25.0 million (cumulative realized capital gains of $35.0 million less realized capital losses of $10.0 million)) less $6.4 million (cumulative capital gains incentive fee paid in Year 2 and Year 3))</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Management Agreement with Saratoga Investment Advisors was approved by our board of directors at an in-person meeting of the directors, including a majority of our independent directors, and was approved by our stockholders at the special meeting of stockholders held on July 30, 2010. On July 8, 2015, our board of directors approved the renewal of the Management Agreement for an additional one-year term at an in-person meeting.</w:t>
      </w:r>
    </w:p>
    <w:p>
      <w:pPr>
        <w:spacing w:after="0" w:line="14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approving this Management Agreement, the directors considered, among other things, (i) the nature, extent and quality of the advisory and other services to be provided to us by Saratoga Investment Advisors; (ii) our investment performance and the investment performance of Saratoga Investment Advisors; (iii) the expected costs of the services to be provided by Saratoga Investment Advisors (including management fees, advisory fees and expense ratios) and the profits expected to be realized by Saratoga Investment Advisors; (iv) the limited potential for economies of scale in investment management associated with managing us; and (v) Saratoga Investment Advisors estimated pro forma profitability with respect to managing us.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Management Agreement provides that all investment professionals of Saratoga Investment Advisors and its staff, when and to the extent engaged in providing investment advisory services required to be provided by Saratoga Investment Advisors, and the compensation and routine overhead expenses of such personnel allocable to such services, will be provided and paid for by Saratoga Investment Advisors and not by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costs and expenses of our operations and transactions, including those relating to:</w:t>
      </w:r>
    </w:p>
    <w:p>
      <w:pPr>
        <w:spacing w:after="0" w:line="131"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660" w:right="20" w:hanging="20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expenses incurred by Saratoga Investment Advisors payable to third parties, including agents, consultants or other advisors, in monitoring financial and legal affairs for us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advisors, relating to, or associated with, evaluating and making investments;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the administration agreement, including rent and the allocable portion of the cost of our officers and their respective staffs (including travel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Management Agreement will remain in effect continuously, unless terminated under the termination provisions of the agreement. The Management Agreement provides that it may be terminated at any time, without the payment of any penalty, upon 60 days written notice, by the vote of stockholders holding a majority of our outstanding voting securities, or by the vote of our directors or by Saratoga Investment Advisors.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Agreement will, unless terminated as described above, continue in effect from year to year so long as it is approved at least annually by (i) the vote of the board of directors, or by the vote of stockholders holding a majority of our outstanding voting securities, and (ii) the vote of a majority of our directors who are not parties to the Management Agreement or “interested persons” (as such term is defined in Section 2(a)(19) of the 1940 Act) of any party to such agreement, in accordance with the requirements of the 1940 Act.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Under the Management Agreement, Saratoga Investment Advisors and certain of its affiliates are not liable to us for any action taken or omitted to be taken by Saratoga Investment Advisors in connection with the performance of any of its duties or obligations under the agreement or otherwise as an investment adviser to us, except to the extent specified in Section 36(b) of the 1940 Act concerning loss resulting from a breach of fiduciary duty (as the same is finally determined by judicial proceedings) with respect to the receipt of compensation for services and except to the extent such action or omission constitutes gross negligence, willful misfeasance, bad faith or reckless disregard of its duties and obligations under the agreement.</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investment adviser to us. However, we would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Saratoga Investment Advisors is registered as an investment adviser under the Investment Advisers Act of 1940. The principal executive offices of Saratoga Investment Advisors are located at 535 Madison Avenue, New York, New York 10022.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a separate administration agreement, Saratoga Investment Advisors, who also serves as our administrator, furnishes us with office facilities, equipment and clerical, book-keeping and record keeping services. Under the administration agreement, our administrator also performs, or oversees the performance of, our required administrative services, which include, among other things, being responsible for the financial records which we are required to maintain, preparing reports for our stockholders and reports required to be filed with the SEC.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equal an amount based upon our allocable portion of our administrator’s overhead in performing its obligations under the administration agreement, including rent and our allocable portion of the cost of our officers and their respective staffs relating to the performance of services under this agreement (including travel expenses). Our allocable portion is based on the proportion that our total assets bears to the total assets administered or managed by our administrator. Under the administration agreement, our administrator also provides managerial assistance, on our behalf, to those portfolio companies who accept our offer of assistance. The administration agreement may be terminated by either party without penalty upon 60 days written notice to the other party. The amount payable by us under the administration agreement was initially capped at $1.0 million for each annual term of the agreement. On July 8, 2015, our board of directors approved the renewal of the administration agreement for an additional one-year term and determined to increase the cap on the payment or reimbursement of expenses by us thereunder to $1.3 million for the additional one-year term.</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Under the administration agreement, Saratoga Investment Advisors and certain of its affiliates are not liable to us for any action taken or omitted to be taken by Saratoga Investment Advisors in connection with the performance of any of its duties or obligations under the agreement.</w:t>
      </w:r>
    </w:p>
    <w:p>
      <w:pPr>
        <w:spacing w:after="0" w:line="14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administrator to us. However, we do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entered into a trademark license agreement with Saratoga Investment Advisors, pursuant to which Saratoga Investment Advisors grants us a non-exclusive, royalty-free license to use the name “Saratoga.” Under this agreement, we have a right to use the “Saratoga” name, for so long as Saratoga Investment Advisors or one of its affiliates remains our investment adviser. Other than with respect to this limited license, we have no legal right to the “Saratoga” name. Saratoga Investment Advisors has the right to terminate the license agreement if it is no longer acting as our investment adviser. In the event the Management Agreement is terminated, we would be required to change our name to eliminate the use of the name “Saratoga.”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Company Regulations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elected to be treated as a BDC under the 1940 Act.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67.0% or more of such company’s stock present at a meeting if more than 50.0% of the outstanding stock of such company is present and represented by proxy or (ii) more than 50.0% of the outstanding stock of such company.</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 BDC must have been organized and have its principal place of business in the United States and must be operated for the purpose of making investments in the types of securities described in (1), (2) or (3) below. Under the 1940 Act, a BDC may not acquire any asset other than assets of the type listed in Section 55(a) of the 1940 Act, which are referred to as qualifying assets, unless,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the time the acquisition is made, qualifying assets represent at least 70.0% of the company’s total assets. The principal categories of qualifying assets relevant to our business are the following:</w:t>
      </w:r>
    </w:p>
    <w:p>
      <w:pPr>
        <w:spacing w:after="0" w:line="76" w:lineRule="exact"/>
        <w:rPr>
          <w:sz w:val="20"/>
          <w:szCs w:val="20"/>
          <w:color w:val="auto"/>
        </w:rPr>
      </w:pPr>
    </w:p>
    <w:p>
      <w:pPr>
        <w:ind w:left="900" w:right="1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right="160" w:hanging="440"/>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$250.0 million;</w:t>
      </w:r>
    </w:p>
    <w:p>
      <w:pPr>
        <w:spacing w:after="0" w:line="75" w:lineRule="exact"/>
        <w:rPr>
          <w:rFonts w:ascii="Arial" w:cs="Arial" w:eastAsia="Arial" w:hAnsi="Arial"/>
          <w:sz w:val="18"/>
          <w:szCs w:val="18"/>
          <w:color w:val="auto"/>
        </w:rPr>
      </w:pPr>
    </w:p>
    <w:p>
      <w:pPr>
        <w:ind w:left="1920" w:right="320" w:hanging="440"/>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spacing w:after="0" w:line="75" w:lineRule="exact"/>
        <w:rPr>
          <w:rFonts w:ascii="Arial" w:cs="Arial" w:eastAsia="Arial" w:hAnsi="Arial"/>
          <w:sz w:val="18"/>
          <w:szCs w:val="18"/>
          <w:color w:val="auto"/>
        </w:rPr>
      </w:pPr>
    </w:p>
    <w:p>
      <w:pPr>
        <w:ind w:left="1920" w:right="840" w:hanging="440"/>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a small and solvent company having total assets of not more than $4.0 million and capital and surplus of not less than $2.0 million;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meets such other criteria as may established by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at least 60.0% of the outstanding equity of the eligible portfolio company.</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options,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managerial assistance to portfolio companies</w:t>
      </w:r>
    </w:p>
    <w:p>
      <w:pPr>
        <w:spacing w:after="0" w:line="11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Business development companies generally must offer to make available to the issuer of the securities in which we invest significant managerial assistance, except in circumstances where either (i) the business development company controls such issuer of securities or (ii) the business development company purchases such securities in conjunction with one or more other persons acting together and one of the other persons in the group makes available such managerial assistance. As a BDC we offer, and must provide upon request, managerial assistance to our portfolio companies. Making available significant managerial assistance means, among other things, any arrangement whereby the BDC, through its directors, officers or employees or those of its investment adviser, offers to provide, and, if accepted, does so provide, significant guidance and counsel concerning the management, operations or business objectives and policies of a portfolio company. This assistance could involve, among other things, monitoring the operations of our portfolio companies, participating in board and management meetings, consulting with and advising officers of portfolio companies and providing other organizational and financial guidance. Pursuant to a separate administration agreement, our investment adviser provides such managerial assistance on our behalf to portfolio companies that request this assistance, recognizing that our involvement with each investment will vary based on factors including the size of the company, the nature of our investment, the company’s overall stage of development and our relative position in the capital structure. We may receive fees for these services.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 BDC, 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70.0% of our assets are qualifying assets. Typically, we will invest in U.S. Treasury bills or in repurchase agreements, provided that such agreements are fully collateralized by cash or securities issued</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we would not meet the asset diversification requirements in order to qualify as a RIC for U.S.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Indebtedness and senior securities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of stock, senior to our common stock, if our asset coverage, as defined in the 1940 Act, is at least equal to 200.0% immediately after each such issuance. In addition, while any indebtedness and senior securities remain outstanding, we must generally make provisions to prohibit any distribution to our stockholders or the repurchase of such securities or stock unless we meet the applicable asset coverage ratios at the time of the distribution or repurchase. We may also borrow amounts up to 5.0% of the value of our total assets for temporary or emergency purposes without regard to asset coverage.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We may, however, sell our common stock, warrants, options or rights to acquire our common stock, at a price below the current net asset value of the common stock if our board of directors determines that such sale is in our best interests and that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a BDC, we and Saratoga Investment Advisors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SEC registered investment advisers that have the authority to vote (client) proxies (which authority may be implied from a general grant of investment discretion) are required to adopt policies and procedures reasonably designed to ensure that the adviser votes proxies in the best interests of its clients. Registered investment advisers also must maintain certain records on proxy voting. In most cases, we will invest in securities that do not generally entitle us to voting rights in our portfolio companies. When we do have voting rights, we will delegate the exercise of such rights to our investment adviser.</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Saratoga Investment Advisors has particular proxy voting policies and procedures in place. In determining how to vote, officers of Saratoga Investment Advisors will consult with each other, taking into account our interests and the interests of our investors, as well as any potential conflicts of interest. Saratoga Investment Advisors will consult with legal counsel to identify potential conflicts of interest. Where a potential conflict of interest exists, Saratoga Investment Advisors may, if it so elects, resolve it by following the recommendation of a disinterested third party, by seeking the direction of our independent directors or, in extreme cases, by abstaining from voting. While Saratoga Investment Advisors may retain an outside service to provide voting recommendations and to assist in analyzing votes, it will not delegate its voting authority to any third party.</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 officer of Saratoga Investment Advisors will keep a written record of how all such proxies are voted. It will retain records of (1) proxy voting policies and procedures, (2) all proxy statements received (or it may rely on proxy statements filed on the SEC’s EDGAR system in lieu thereof), (3) all votes cast, (4) investor requests for voting information, and (5) any specific documents prepared or received in connection with a decision on a proxy vote. If it uses an outside service, Saratoga Investment Advisors may rely on such service to maintain copies of proxy statements and records, so long as such service will provide a copy of such documents promptly upon request.</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Saratoga Investment Advisors’ proxy voting policies are not exhaustive and are designed to be responsive to the wide range of issues that may be subject to a proxy vote. In general, Saratoga Investment Advisors will vote our proxies in accordance with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guidelines unless: (1) it has determined otherwise due to the specific and unusual facts and circumstances with respect to a particular vote, (2) the subject matter of the vote is not covered by these guidelines, (3) a material conflict of interest is present, or (4) it finds it necessary to vote contrary to its general guidelines to maximize stockholder value or our best interests.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reviewing proxy issues, Saratoga Investment Advisors generally will use the following guidelines:</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Elections of Directors: </w:t>
      </w:r>
      <w:r>
        <w:rPr>
          <w:rFonts w:ascii="Arial" w:cs="Arial" w:eastAsia="Arial" w:hAnsi="Arial"/>
          <w:sz w:val="16"/>
          <w:szCs w:val="16"/>
          <w:color w:val="auto"/>
        </w:rPr>
        <w:t>In general, Saratoga Investment Advisors will vote in favor of the management-proposed slate of directors. If there is a proxy</w:t>
      </w:r>
      <w:r>
        <w:rPr>
          <w:rFonts w:ascii="Arial" w:cs="Arial" w:eastAsia="Arial" w:hAnsi="Arial"/>
          <w:sz w:val="16"/>
          <w:szCs w:val="16"/>
          <w:i w:val="1"/>
          <w:iCs w:val="1"/>
          <w:color w:val="auto"/>
        </w:rPr>
        <w:t xml:space="preserve"> </w:t>
      </w:r>
      <w:r>
        <w:rPr>
          <w:rFonts w:ascii="Arial" w:cs="Arial" w:eastAsia="Arial" w:hAnsi="Arial"/>
          <w:sz w:val="16"/>
          <w:szCs w:val="16"/>
          <w:color w:val="auto"/>
        </w:rPr>
        <w:t>fight for seats on a portfolio company’s board of directors, or Saratoga Investment Advisors determines that there are other compelling reasons for withholding our vote, it will determine the appropriate vote on the matter. It may withhold votes for directors that fail to act on key issues, such as failure to:</w:t>
      </w:r>
    </w:p>
    <w:p>
      <w:pPr>
        <w:ind w:right="18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 proposals to declassify a board, (2) implement a majority vote requirement, (3) submit a rights plan to a stockholder vote or (4) act on tender offers where a majority of stockholders have tendered their shares. Finally, Saratoga Investment Advisors may withhold votes for directors of non-U.S. issuers where there is insufficient information about the nominees disclosed in the proxy statement.</w:t>
      </w:r>
    </w:p>
    <w:p>
      <w:pPr>
        <w:spacing w:after="0" w:line="19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Appointment of Auditors: </w:t>
      </w:r>
      <w:r>
        <w:rPr>
          <w:rFonts w:ascii="Arial" w:cs="Arial" w:eastAsia="Arial" w:hAnsi="Arial"/>
          <w:sz w:val="18"/>
          <w:szCs w:val="18"/>
          <w:color w:val="auto"/>
        </w:rPr>
        <w:t>We believe that a portfolio company remains in the best position to choose its independent auditors and Saratoga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will generally support management’s recommendation in this regard.</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Changes in Capital Structure: </w:t>
      </w:r>
      <w:r>
        <w:rPr>
          <w:rFonts w:ascii="Arial" w:cs="Arial" w:eastAsia="Arial" w:hAnsi="Arial"/>
          <w:sz w:val="17"/>
          <w:szCs w:val="17"/>
          <w:color w:val="auto"/>
        </w:rPr>
        <w:t>Changes in a portfolio company’s organizational documents may be required by state or federal regulation. In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Saratoga Investment Advisors will cast our votes in accordance with the management on such proposals. However, Saratoga Investment Advisors will consider carefully any proposal regarding a change in corporate structure that is not required by state or federal regulation.</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Corporate Restructurings, Mergers and Acquisitions: </w:t>
      </w:r>
      <w:r>
        <w:rPr>
          <w:rFonts w:ascii="Arial" w:cs="Arial" w:eastAsia="Arial" w:hAnsi="Arial"/>
          <w:sz w:val="18"/>
          <w:szCs w:val="18"/>
          <w:color w:val="auto"/>
        </w:rPr>
        <w:t>We believe proxy votes dealing with corporate reorganizations are an extension of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Accordingly, Saratoga Investment Advisors will analyze such proposals on a case-by-case basis and vote in accordance with its perception of our interests.</w:t>
      </w:r>
    </w:p>
    <w:p>
      <w:pPr>
        <w:spacing w:after="0" w:line="18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i w:val="1"/>
          <w:iCs w:val="1"/>
          <w:color w:val="auto"/>
        </w:rPr>
        <w:t xml:space="preserve">Proposals Affecting Stockholder Rights: </w:t>
      </w:r>
      <w:r>
        <w:rPr>
          <w:rFonts w:ascii="Arial" w:cs="Arial" w:eastAsia="Arial" w:hAnsi="Arial"/>
          <w:sz w:val="17"/>
          <w:szCs w:val="17"/>
          <w:color w:val="auto"/>
        </w:rPr>
        <w:t>We will generally vote in favor of proposals that give stockholders a greater voice in the affairs of a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oppose any measure that seeks to limit such rights. However, when analyzing such proposals, Saratoga Investment Advisors will balance the financial impact of the proposal against any impairment of stockholder rights as well as of our investment in the portfolio company.</w:t>
      </w:r>
    </w:p>
    <w:p>
      <w:pPr>
        <w:spacing w:after="0" w:line="166"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i w:val="1"/>
          <w:iCs w:val="1"/>
          <w:color w:val="auto"/>
        </w:rPr>
        <w:t xml:space="preserve">Corporate Governance: </w:t>
      </w:r>
      <w:r>
        <w:rPr>
          <w:rFonts w:ascii="Arial" w:cs="Arial" w:eastAsia="Arial" w:hAnsi="Arial"/>
          <w:sz w:val="18"/>
          <w:szCs w:val="18"/>
          <w:color w:val="auto"/>
        </w:rPr>
        <w:t>We recognize the importance of good corporate governance. Accordingly, Saratoga Investment Advisors will generally favor</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 that promote transparency and accountability within a portfolio company.</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 xml:space="preserve">Anti-Takeover Measures: </w:t>
      </w:r>
      <w:r>
        <w:rPr>
          <w:rFonts w:ascii="Arial" w:cs="Arial" w:eastAsia="Arial" w:hAnsi="Arial"/>
          <w:sz w:val="18"/>
          <w:szCs w:val="18"/>
          <w:color w:val="auto"/>
        </w:rPr>
        <w:t>Saratoga Investment Advisors will evaluate, on a case-by-case basis, any proposals regarding anti-takeover measures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likely effect on stockholder value dilution.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Share Splits: </w:t>
      </w:r>
      <w:r>
        <w:rPr>
          <w:rFonts w:ascii="Arial" w:cs="Arial" w:eastAsia="Arial" w:hAnsi="Arial"/>
          <w:sz w:val="18"/>
          <w:szCs w:val="18"/>
          <w:color w:val="auto"/>
        </w:rPr>
        <w:t>Saratoga Investment Advisors will generally vote with management on share split matters.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Limited Liability of Directors: </w:t>
      </w:r>
      <w:r>
        <w:rPr>
          <w:rFonts w:ascii="Arial" w:cs="Arial" w:eastAsia="Arial" w:hAnsi="Arial"/>
          <w:sz w:val="18"/>
          <w:szCs w:val="18"/>
          <w:color w:val="auto"/>
        </w:rPr>
        <w:t>Saratoga Investment Advisors will generally vote with management on matters that could adversely affect the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directors.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Social and Corporate Responsibility: </w:t>
      </w:r>
      <w:r>
        <w:rPr>
          <w:rFonts w:ascii="Arial" w:cs="Arial" w:eastAsia="Arial" w:hAnsi="Arial"/>
          <w:sz w:val="18"/>
          <w:szCs w:val="18"/>
          <w:color w:val="auto"/>
        </w:rPr>
        <w:t>Saratoga Investment Advisors will review proposals related to social, political and environmental issues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they may adversely affect stockholder value. It may abstain from voting on such proposals where they do not have a readily determinable financial impact on stockholder value.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are committed to protecting the privacy of our stockholders. The following explains the privacy policies of Saratoga Investment Corp., Saratoga Investment Advisors and their affiliated companies.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will safeguard, according to strict standards of security and confidentiality, all information we receive about our stockholders. The only information we collect from stockholders is the holder’s name, address, number of shares and social security number. This information is used only so that we can send annual reports and other information about us to the stockholder, and send the stockholder proxy statements or other information required by law.</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share this information with any non-affiliated third party except as described below.</w:t>
      </w:r>
    </w:p>
    <w:p>
      <w:pPr>
        <w:spacing w:after="0" w:line="131" w:lineRule="exact"/>
        <w:rPr>
          <w:sz w:val="20"/>
          <w:szCs w:val="20"/>
          <w:color w:val="auto"/>
        </w:rPr>
      </w:pPr>
    </w:p>
    <w:p>
      <w:pPr>
        <w:ind w:left="660" w:right="12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Authorized Employees of Saratoga Investment Advisors. </w:t>
      </w:r>
      <w:r>
        <w:rPr>
          <w:rFonts w:ascii="Arial" w:cs="Arial" w:eastAsia="Arial" w:hAnsi="Arial"/>
          <w:sz w:val="18"/>
          <w:szCs w:val="18"/>
          <w:color w:val="auto"/>
        </w:rPr>
        <w:t>It is our policy that only authorized employees of Saratoga Investment Advisors who need</w:t>
      </w:r>
      <w:r>
        <w:rPr>
          <w:rFonts w:ascii="Arial" w:cs="Arial" w:eastAsia="Arial" w:hAnsi="Arial"/>
          <w:sz w:val="18"/>
          <w:szCs w:val="18"/>
          <w:i w:val="1"/>
          <w:iCs w:val="1"/>
          <w:color w:val="auto"/>
        </w:rPr>
        <w:t xml:space="preserve"> </w:t>
      </w:r>
      <w:r>
        <w:rPr>
          <w:rFonts w:ascii="Arial" w:cs="Arial" w:eastAsia="Arial" w:hAnsi="Arial"/>
          <w:sz w:val="18"/>
          <w:szCs w:val="18"/>
          <w:color w:val="auto"/>
        </w:rPr>
        <w:t>to know a stockholder’s personal information will have access to 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206"/>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Service Providers. </w:t>
      </w:r>
      <w:r>
        <w:rPr>
          <w:rFonts w:ascii="Arial" w:cs="Arial" w:eastAsia="Arial" w:hAnsi="Arial"/>
          <w:sz w:val="18"/>
          <w:szCs w:val="18"/>
          <w:color w:val="auto"/>
        </w:rPr>
        <w:t>We may disclose your personal information to companies that provide services on our behalf, such as recordkeeping, processing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trades, and mailing stockholder information. These companies are required to protect our stockholders’ information and use it solely for the purpose for which they received it.</w:t>
      </w:r>
    </w:p>
    <w:p>
      <w:pPr>
        <w:spacing w:after="0" w:line="86"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Courts and Government Officials. </w:t>
      </w:r>
      <w:r>
        <w:rPr>
          <w:rFonts w:ascii="Arial" w:cs="Arial" w:eastAsia="Arial" w:hAnsi="Arial"/>
          <w:sz w:val="18"/>
          <w:szCs w:val="18"/>
          <w:color w:val="auto"/>
        </w:rPr>
        <w:t>If required by law, we may disclose a stockholder’s personal information in accordance with a court order 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of government regulators. Only that information required by law, subpoena, or court order will be disclosed.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Compliance with applicable laws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periodically examined by the SEC for compliance with the 1940 Act.</w:t>
      </w:r>
    </w:p>
    <w:p>
      <w:pPr>
        <w:spacing w:after="0" w:line="225"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6"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and Saratoga Investment Advisors are each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Co-investment</w:t>
      </w:r>
    </w:p>
    <w:p>
      <w:pPr>
        <w:spacing w:after="0" w:line="11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may be prohibited under the 1940 Act from knowingly participating in certain transactions with our affiliates without the prior approval of our board of directors who are not interested persons and, in some cases, prior approval by the SEC. Thus, based on current SEC interpretations, co-investment transactions involving a BDC like us and an entity that is advised by Saratoga Investment Advisors or an affiliated adviser generally could not be effected without SEC relief. The staff of the SEC has, however, granted no-action relief permitting for purchases of a single class of privately-placed securities provided that the adviser negotiates no term other than price and certain other conditions are met. As a result, currently we only expect to co-invest on a concurrent basis with affiliates of Saratoga Investment Advisors when each of us will own the same securities of the issuer and when no term is negotiated other than price. Any such investment would be made, subject to compliance with existing regulatory guidance, applicable regulations and our allocation procedures.</w:t>
      </w:r>
    </w:p>
    <w:p>
      <w:pPr>
        <w:spacing w:after="0" w:line="19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in the future submit an application for exemptive relief to the SEC to permit greater flexibility to negotiate the terms of co-investments because we believe that it will be advantageous for us to co-invest with affiliates of Saratoga Investment Advisors where such investment is consistent with the investment objective, investment positions, investment policies, investment strategies, investment restrictions, regulatory requirements and other pertinent factors applicable to us. However, there is no assurance that any application for exemptive relief, if made, would be granted by the SEC.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28, 2012, our wholly-owned subsidiary, SBIC LP, received an SBIC license from the SBA.</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SBIC license allows our SBIC LP subsidiary to obtain leverage by issuing SBA-guaranteed debentures, subject to the satisfaction of certain customary procedures.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of SBA-guaranteed debentures that an SBIC may issue to $150.0 million when it has at least $75.0 million in regulatory capital. Affiliated SBICs are permitted to issue up to a combined maximum amount of $350.0 million in SBA-guaranteed debentures when they have at least $175.0 million in combined regulatory capital.</w:t>
      </w:r>
    </w:p>
    <w:p>
      <w:pPr>
        <w:spacing w:after="0" w:line="188"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On April 2, 2015, the SBA issued a “green light” or “go forth” letter inviting us to continue our application process to obtain a license to form and operate our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February 29, 2016, our SBIC LP subsidiary had $75.0 million in regulatory capital and $103.7 million of SBA-guaranteed debentures outstanding. The SBA restricts the ability of SBICs to repurchase their capital stock. SBA regulations also include restrictions on a “change of control” or transfer of an SBIC and require that SBICs invest idle funds in accordance with SBA regulations. In addition, our SBIC LP subsidiary may also be limited in its ability to make distributions to us if it does not have sufficient capital, in accordance with SBA regulations.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SBIC LP subsidiary is subject to regulation and oversight by the SBA, including requirements with respect to maintaining certain minimum financial ratios and other covenants. The SBA, as a creditor, will have a superior claim to our SBIC LP subsidiary’s assets over our stockholders in the event we liquidate our SBIC LP subsidiary or the SBA exercises its remedies under the SBA-guaranteed debentures issued by our SBIC LP subsidiary upon an event of default.</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received exemptive relief from the SEC to permit us to exclude the debt of our SBIC LP guaranteed by the SBA from the definition of senior securities in the 200.0% asset coverage test under the 1940 Act. This allows us increased flexibility under the 200.0% asset coverage test by permitting us to borrow up to $150.0 million more than we would otherwise be able to absent the receipt of this exemptive relief.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file with or submit to the SEC annual, quarterly and current periodic reports, proxy statements and other information meeting the informational requirements of the Securities Exchange of 1934, as amended (the “Exchange Act”). You may inspect and copy these reports, proxy statements and other information at the Public Reference Room of the SEC at 100 F Street, N.E., Washington, D.C. 20549. You may obtain information on the operation of the Public Reference Room by calling the SEC at 1-800-SEC-0330. Copies of these reports, proxy and information statements and other information may be obtained, after paying a duplicating fee, by electronic request at the following e-mail address: publicinfo@sec.gov, or by writing the SEC’s Public Reference Section, Washington, D.C. 20549-0102. In addition, the SEC maintains an Internet website that contains reports, proxy and information statements and other information filed electronically by us with the SEC at http://www.sec.gov. Our Internet address is http://www.saratogainvestmentcorp.com. We make available free of charge on our Internet website our Annual Report on Form 10-K, quarterly reports on Form 10-Q, current reports on Form 8-K, and amendments to those reports as soon as reasonably practicable after we electronically file such material with, or furnish it to, the SEC. Information contained on our website is not incorporated by reference into this Annual Report, and you should not consider that information to be part of this Annual Report.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Investing in our securities involves a number of significant risks. In addition to other information contained in this Annual Report on Form 10-K, you should consider carefully the following information before making an investment in our securities. The risks set forth below are the principal risks with respect to the Company generally and with respect to business development companies, they may not be the only risks we face. If any of the risks occur, our business, financial condition and results of operations could be materially adversely affected. In such case, our net asset value and the trading price of our securities could decline and you may lose all or part of your investment.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volatility and the condition of the debt and equity capital markets could negatively impact our financial condition and stock price.</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in 2007, global credit and other financial markets began to suffer substantial stress, volatility, illiquidity and disruption. These forces reached extraordinary levels in 2008, resulting in the bankruptcy of, the acquisition of, or government intervention in the affairs of several major domestic and international financial institutions. In particular, the financial services sector was negatively impacted by significant write-offs as the value of the assets held by financial firms declined, impairing their capital positions and abilities to lend and invest. We believe that such value declines were exacerbated by widespread forced liquidations as leveraged holders of financial assets, faced with declining prices, were compelled to sell to meet margin requirements and maintain compliance with applicable capital standards. Such forced liquidations also impaired or eliminated many investors and investment vehicles, leading to a decline in the supply of capital for investment and depressed pricing levels for many assets. These events significantly diminished overall confidence in the debt and equity markets, engendered unprecedented declines in the values of certain assets, and caused extreme economic uncertainty. If market conditions similar to these were to recur, our assets could experience a similar decline in value, among other negative impacts to the company.</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Since 2009, the global credit and other financial market conditions have improved as stability has increased throughout the international financial system and many public market indices have experienced positive total returns. However, the global macroeconomic environment and recovery from the downturn has been challenging and inconsistent. Instability in the global credit markets, the impact of periodic uncertainty regarding the U.S. federal budget, the instability in the geopolitical environment in many parts of the world, sovereign debt conditions in Europe and other disruptions may continue to put pressure on economic conditions in the U.S. and abroad.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obligated to pay Saratoga Investment Advisors incentive fees even if we incur a net loss, or there is a decline in the value of our portfolio.</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Saratoga Investment Advisors is entitled to incentive fees for each fiscal quarter in an amount equal to a percentage of the excess of our investment income for that quarter (before deducting incentive compensation, but net of operating expenses and certain other items) above a threshold return for that quarter. Our pre-incentive fee net investment income, for incentive compensation purposes, excludes realized and unrealized capital gains or losses that we may incur in the fiscal quarter, even if such capital gains or losses result in a net gain or loss on our consolidated statements of operations for that quarter. Thus, we may be required to pay Saratoga Investment Advisors incentive fees for a fiscal quarter even if there is a decline in the value of our portfolio or we incur a net loss for that quarter.</w:t>
      </w:r>
    </w:p>
    <w:p>
      <w:pPr>
        <w:spacing w:after="0" w:line="301"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Under the terms of the Management Agreement, we may have to pay incentive fees to Saratoga Investment Advisors in connection with the sale of an investment that is sold at a price higher than the fair value of such investment on May 31, 2010, even if we incur a loss on the sale of such investment.</w:t>
      </w:r>
    </w:p>
    <w:p>
      <w:pPr>
        <w:spacing w:after="0" w:line="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Incentive fees on capital gains paid to Saratoga Investment Advisors under the Management Agreement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the incentive fee capital gains that arise after May 31, 2010. In addition, the cost basis for computing realized gains and losses on investments held by us as of May 31, 2010 will equal the fair value of such investments as of such date. See our Form 10-Q for the quarter ended May 31, 2010 that was filed with the SEC on July 15, 2010 for the fair value and other information related to our investments as of such date. As a result, we may be required to pay incentive fees to Saratoga Investment Advisors on the sale of an investment even if we incur a realized loss on such investment, so long as the investment is sold for an amount greater than its fair value as of May 31, 2010.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way in which the base management and incentive fees under the Management Agreement is determined may encourage Saratoga Investment Advisors to take actions that may not be in our best interests.</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incentive fee payable by us to our investment adviser may create an incentive for it to make investments on our behalf that are risky or more speculative than would be the case in the absence of such compensation arrangement, which could result in higher investment losses, particularly during cyclical economic downturns. The way in which the incentive fee payable to our investment adviser is determined, which is calculated separately in two components as a percentage of the income (subject to a hurdle rate) and as a percentage of the realized gain on invested capital, may encourage our investment adviser to use leverage to increase the return on our investments or otherwise manipulate our income so as to recognize income in quarters where the hurdle rate is exceeded. Moreover, we pay Saratoga Investment Advisors a base management fee based on our total assets, including any investments made with borrowings, which may create an incentive for it to cause us to incur more leverage than is prudent, or not to repay our outstanding indebtedness when it may be advantageous for us to do so, in order to maximize its compensation. Under certain circumstances, the use of leverage may increase the likelihood of default, which would disfavor the holders of our securities.</w:t>
      </w:r>
    </w:p>
    <w:p>
      <w:pPr>
        <w:spacing w:after="0" w:line="18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incentive fee payable by us to our investment adviser also may create an incentive for our investment adviser to invest on our behalf in instruments that have a deferred interest feature. Under these investments, we would accrue the interest over the life of the investment but would not receive the cash income from the investment until the end of the investment’s term, if at all. Our net investment income used to calculate the income portion of our incentive fee, however, includes accrued interest. Thus, a portion of the incentive fee would be based on income that we have not yet received in cash and may never receive in cash if the portfolio company is unable to satisfy such interest payment obligation to us. Consequently, while we may make incentive fee payments on income accruals that we may not collect in the future and with respect to which we do not have a “claw back” right against our investment adviser per se, the amount of accrued income written off in any period will reduce the income in the period in which such write-off was taken and may thereby reduce such period’s incentive fee payment.</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Saratoga Investment Advisors receives a quarterly income incentive fee based, in part, on our pre-incentive fee net investment income, if any, for the immediately preceding calendar quarter. This income incentive fee is subject to a fixed quarterly hurdle rate before providing an income incentive fee return to Saratoga Investment Advisors. This fixed hurdle rate was determined when then current interest rates were relatively low on a historical basis. Thus, if interest rates rise, it would become easier for our investment income to exceed the hurdle rate and, as a result, more likely that Saratoga Investment Advisors will receive an income incentive fee than if interest rates on our investments remained constant or decreased. In addition, if we repurchase our outstanding debt securities, including our 7.50% Notes due 2020 (the “Notes”) and such repurchase results in our recording a net gain on the extinguishment of debt for financial reporting and tax purposes, such net gain will be included in our pre-incentive fee net investment income for purposes of determining the income incentive fee payable to our investment adviser under the Management Agreement.</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Moreover, our investment adviser receives the incentive fee based, in part, upon net capital gains realized on our investments. Unlike the portion of the incentive fee based on income, there is no performance threshold applicable to the portion of the incentive fee based on net capital gains. As a result, our investment adviser may have a tendency to invest more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board of directors will seek to ensure that Saratoga Investment Advisors is acting in our best interests and that any conflict of interest faced by Saratoga Investment Advisors in its capacity as our investment adviser does not negatively impact us.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base management fee we pay to Saratoga Investment Advisors may induce it to increase our leverage, which may be contrary to our interest.</w:t>
      </w:r>
    </w:p>
    <w:p>
      <w:pPr>
        <w:spacing w:after="0" w:line="14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pay Saratoga Investment Advisors a quarterly base management fee based on the value of our total assets (including any assets acquired with leverage). Accordingly, Saratoga Investment Advisors has an economic incentive to increase our leverage. Our board of directors monitors the conflicts presented by this compensation structure by approving the amount of leverage that we incur. If our leverage is increased, we will be exposed to increased risk of loss, bear the increase cost of issuing and servicing such senior indebtedness, and will be subject to any additional covenant restrictions imposed on us in an indenture or other instrument or by the applicable lender.</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employ leverage, which magnifies the potential for gain or loss on amounts invested and may increase the risk of investing in us.</w:t>
      </w:r>
    </w:p>
    <w:p>
      <w:pPr>
        <w:spacing w:after="0" w:line="1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Borrowings, also known as leverage, magnify the potential for gain or loss on amounts invested and, therefore, increase the risks associated with investing in us. We borrow from and issue senior debt securities to banks and other lenders that is secured by a lien on our assets. Holders of these senior securities have fixed dollar claims on our assets that are superior to the claims of the holders of our securities.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common stock distributions or scheduled debt payments, including with respect to the Notes. There can be no assurance that our leveraging strategy will be successful.</w:t>
      </w:r>
    </w:p>
    <w:p>
      <w:pPr>
        <w:sectPr>
          <w:pgSz w:w="11900" w:h="16838" w:orient="portrait"/>
          <w:cols w:equalWidth="0" w:num="1">
            <w:col w:w="11380"/>
          </w:cols>
          <w:pgMar w:left="240" w:top="459" w:right="27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459" w:right="2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As of February 29, 2016, there was no outstanding balance under the Credit Facility. As of February 29, 2016, we had issued $103.7 million SBA-guaranteed debentures and $61.8 million of the Notes. We may incur additional indebtedness in the future, including, but not limited to, up to an additional $45.0 million under the Credit Facility or the issuance of additional debt securities in one or more public or private offerings, although there can be no assurance that we will be successful in doing so. Our ability to service our debt depends largely on our financial performance and is subject to prevailing economic conditions and competitive pressures. The amount of leverage that we employ at any particular time will depend on our management’s and our Board of Directors’ assessment of market and other factors at the time of any proposed borrowing.</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28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Saratoga Investment Advisors’ liability is limited under the Management Agreement and we will indemnify Saratoga Investments Advisors against certain liabilities, which may lead it to act in a riskier manner on our behalf than it would when acting for its own account.</w:t>
      </w:r>
    </w:p>
    <w:p>
      <w:pPr>
        <w:spacing w:after="0" w:line="3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Saratoga Investment Advisors has not assumed any responsibility to us other than to render the services described in the Management Agreement. Pursuant to the Management Agreement, Saratoga Investment Advisors and its officers and employees are not liable to us for their acts under the Management Agreement absent willful misfeasance, bad faith, gross negligence or reckless disregard in the performance of their duties. We have agreed to indemnify, defend and protect Saratoga Investment Advisors and its officers and employees with respect to all damages, liabilities, costs and expenses resulting from acts of Saratoga Investment Advisors not arising out of willful misfeasance, bad faith, gross negligence or reckless disregard in the performance of their duties under the Management Agreement. These protections may lead Saratoga Investment Advisors to act in a riskier manner when acting on our behalf than it would when acting for its own account.</w:t>
      </w:r>
    </w:p>
    <w:p>
      <w:pPr>
        <w:spacing w:after="0" w:line="286"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Substantially all of our assets are subject to security interests under our Credit Facility or claims of the SBA with respect to SBA-guaranteed debentures we may issue and if we default on our obligations thereunder, we may suffer adverse consequences, including the foreclosure on our assets.</w:t>
      </w:r>
    </w:p>
    <w:p>
      <w:pPr>
        <w:spacing w:after="0" w:line="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Substantially all of our assets are pledged as collateral under the Credit Facility or are subject to a superior claim over the holders of our common stock or the Notes by the SBA pursuant to the SBA-guaranteed debentures. If we default on our obligations under the Credit Facility or the SBA-guaranteed debentures, Madison Capital Funding and/or the SBA may have the right to foreclose upon and sell, or otherwise transfer, the collateral subject to their security interests or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have historically operated.</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if Madison Capital Funding exercises its right to sell the assets pledged under the Credit Facility, such sales may be completed at distressed sale prices, thereby diminishing or potentially eliminating the amount of cash available to us after repayment of the amounts outstanding under the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risks associated with changes in interest rates including potential effects on our cost of capital and net investment income.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In addition, an increase in interest rates would make it more expensive to use debt to finance our investments. Decreases in credit spreads on debt that pays a floating rate of return would have an impact on the income generation of our floating rate assets. Trading prices for debt that pays a fixed rate of return tend to fall as interest rates rise. Trading prices tend to fluctuate more for fixed rate securities that have longer maturities. Although we have no policy governing the maturities of our investments, under current market conditions we expect that we will invest in a portfolio of debt generally having maturities of up to ten years. This means that we will be subject to greater risk (other things being equal) than an entity investing solely in shorter-term securities.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Because we may borrow to fund our investments, a portion of our net investment income may be dependent upon the difference between the interest rate at which we borrow funds and the interest rate at which we invest these funds. A portion of our investments will have fixed interest rates, while a portion of our borrowings will likely have floating interest rates. As a result, a significant change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market interest rates could have a material adverse effect on our net investment income. In periods of rising interest rates, our cost of funds could increase, which would reduce our net investment income. We may hedge against such interest rate fluctuations by using standard hedging instruments such as futures, options and forward contracts, subject to applicable legal requirements, including without limitation, all necessary registrations (or exemptions from registration) with the Commodity Futures Trading Commission. These activities may limit our ability to participate in the benefits of lower interest rates with respect to the hedged borrowings. Adverse developments resulting from changes in interest rates or hedging transactions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adversely impact our investment returns.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executive officers and directors, and the members of our investment adviser, serve or may serve as officers, directors or principals of entities that operate in the same or a related line of business as we do or of investment funds managed by our affiliates. Accordingly, they may have obligations to investors in those entities, the fulfillment of which might not be in the best interests of us or our stockholders. For example, Christian L. Oberbeck, our chief executive officer and managing member of our investment adviser, is the managing partner of Saratoga Partners, a middle market private equity investment firm. In addition, the principals of our investment adviser may manage other funds which may from time to time have overlapping investment objectives with those of us and accordingly invest in, whether principally or secondarily, asset classes similar to those targeted by us. If this should occur, the principals of our investment adviser will face conflicts of interest in the allocation of investment opportunities to us and such other funds. Although our investment professionals will endeavor to allocate investment opportunities in a fair and equitable manner, we and our common stockholders could be adversely affected in the event investment opportunities are allocated among us and other investment vehicles managed or sponsored by, or affiliated with, our executive officers, directors and investment adviser, and the members of our investment adviser.</w:t>
      </w:r>
    </w:p>
    <w:p>
      <w:pPr>
        <w:spacing w:after="0" w:line="28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governing our operations, or changes in the interpretation thereof, and any failure by us to comply with laws or regulations governing our operations may adversely affect our business.</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subject to regulation at the local, state and federal levels. These laws and regulations, as well as their interpretation, may be changed from time to time. Any change in these laws or regulations, or their interpretation, or any failure by us to comply with these laws or regulations may adversely affect our business.</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business is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60"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cyber-security risks.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depend heavily upon secure information technology systems to perform necessary business functions. Despite careful security and controls design, implementation and updating, our information technology systems could become subject to cyber-attacks and unauthorized access such as physical and electronic break-ins or unauthorized tampering. Like other companies, we may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Network, system, application and data breaches could result in operational disruptions or information misappropriation, which could have a material adverse effect on our business, results of operations and financial condition.</w:t>
      </w:r>
    </w:p>
    <w:p>
      <w:pPr>
        <w:spacing w:after="0" w:line="30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are unable to maintain the availability of our electronic data systems and safeguard the security of our data, our ability to conduct business may be compromised, which could impair our liquidity, disrupt our business, damage our reputation and cause losses.</w:t>
      </w:r>
    </w:p>
    <w:p>
      <w:pPr>
        <w:spacing w:after="0" w:line="3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Cybersecurity refers to the combination of technologies, processes, and procedures established to protect information technology systems and data from unauthorized access, attack, or damage. We are subject to cybersecurity risks. Information cyber security risks have significantly increased in recent years and, while we have not experienced any material losses relating to cyber attacks or other information security breaches, we could suffer such losses in the future. Our computer systems, software and networks may be vulnerable to unauthorized access, computer viruses or other malicious code and other events that could have a security impact. If one or more of such events occur, this potentially could jeopardize confidential and other information, including nonpublic personal information and sensitive business data, processed and stored in, and transmitted through, our computer systems and networks, or otherwise cause interruptions or malfunctions in our operations or the operations of our customers or counterparties, which could result in significant losses or reputational damage. This could result in significant losses, reputational damage, litigation, regulatory fines or penalties, or otherwise adversely affect our business, financial condition or results of operations. 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 We currently do not maintain insurance coverage relating to cybersecurity risks, and we may be required to expend significant additional resources to modify our protective measures or to investigate and remediate vulnerabilities or other exposures, and we may be subject to litigation and financial losses that are not fully insured.</w:t>
      </w:r>
    </w:p>
    <w:p>
      <w:pPr>
        <w:spacing w:after="0" w:line="18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Third parties with which we do business may also be sources of cybersecurity or other technological risks. We outsource certain functions and these relationships allow for the storage and processing of our information, as well as customer,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raise additional capital.</w:t>
      </w:r>
    </w:p>
    <w:p>
      <w:pPr>
        <w:spacing w:after="0" w:line="11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Our business requires a substantial amount of additional capital. We may acquire additional capital from the issuance of senior securities or other indebtedness or the issuance of additional shares of our common stock.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provisions of the 1940 Act, we are permitted, as a BDC, to incur indebtedness or issue senior securities only in amounts such that our asset coverage, as defined in the 1940 Act, equals at least 200.0% after such incurrence or issuance. Our ability to issue different types of securities is also limited. Compliance with these requirements may unfavorably limit our investment opportunities and reduce our ability in comparison to other companies to profit from favorable spreads between the rates at which we can borrow and the rates at which we can lend. As a business development company, therefore, we may need to issue equity more frequently than our privately owned competitors, which may lead to greater stockholder dilution.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If that happens, we may be required to liquidate a portion of our investments and repay a portion of our indebtedness at a time when such sales may be disadvantageous in order to make dividend distributions or repurchase certain of our securities.</w:t>
      </w:r>
    </w:p>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or warrants, options or rights to acquire our common stock, at a price below the current net asset value of the common stock if our board of directors determines that such sale is in our best interests and the best interests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commission or discount). If our common stock trades at a discount to net asset value, this restriction could adversely affect our ability to raise capital.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As a business development company, we are generally not permitted to incur indebtedness unless immediately after such borrowing we have an asset coverage for total borrowings of at least 200% (i.e., the amount of debt may not exceed 50% of the value of our assets). We have agreed in the covenant in the indenture governing the Notes not to violate this section of the 1940 Act, whether or not we continue to be subject to such provision, but giving effect, in either case, to any exemptive relief granted to us by the SEC. Recent legislation, if passed, would modify this section of the 1940 Act and increase the amount of debt that business development companies may incur. As a result, we may be able to incur additional indebtedness in the future.</w:t>
      </w:r>
    </w:p>
    <w:p>
      <w:pPr>
        <w:spacing w:after="0" w:line="2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agreement governing our Credit Facility contains various covenants that, among other things, limits our discretion in operating our business and provides for certain minimum financial covenants.</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agreement governing the Credit Facility contains customary default provisions such as the termination or departure of certain “key persons” of Saratoga Investment Advisors, a material adverse change in our business and the failure to maintain certain minimum loan quality and performance standards. An event of default under the facility would result, among other things, in termination of the availability of further funds under the facility and an accelerated maturity date for all amounts outstanding under the facility, which would likely disrupt our business and, potentially, the portfolio companies whose loans we financed through the facility. This could reduce our revenues and, by delaying any cash payment allowed to us under the facility until the lender has been paid in full, reduce our liquidity and cash flow and impair our ability to grow our business and maintain our status as a RIC.</w:t>
      </w:r>
    </w:p>
    <w:p>
      <w:pPr>
        <w:spacing w:after="0" w:line="16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Each loan origination under the facility is subject to the satisfaction of certain conditions. We cannot assure you that we will be able to borrow funds under the facility at any particular time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corporate-level income tax if we fail to qualify as a RIC.</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We intend to maintain our qualification as a RIC under the Code. As a RIC, we do not pay federal income taxes on our income (including realized gains) that is distributed to our stockholders, provided that we satisfy certain source of income, distribution and asset diversification requirements.</w:t>
      </w:r>
    </w:p>
    <w:p>
      <w:pPr>
        <w:spacing w:after="0" w:line="124"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source of income requirement is satisfied if we derive at least 90.0% of our annual gross income from interest, dividends, payments with respect to certain securities loans, gains from the sale or other disposition of securities or options thereon or foreign currencies, or other income derived with respect to our business of investing in such securities or currencies, and net income from interests in “qualified publicly traded partnerships,” as defined in the Code.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annual distribution requirement is satisfied if we distribute to our stockholders on an annual basis an amount equal to at least 90.0% of our ordinary net taxable income and realized net short-term capital gains in excess of realized net long-term capital losses, if any, reduced by deductible expenses. We are subject to certain asset coverage ratio requirements under the 1940 Act and covenants under our borrowing agreements that could, under certain circumstances, restrict us from making distributions necessary to qualify as a RIC. In such case, if we are unable to obtain cash from other sources, we may fail to qualify as a RIC and, thus, may be subject to corporate-level income tax.</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diversification requirements will be satisfied if we diversify our holdings so that at the end of each quarter of the taxable year: (i) at least 50.0% of the value of our assets consists of cash, cash equivalents, U.S. government securities, securities of other regulated investment companies, and other securities if such other securities of any one issuer do not represent more than 5.0% of the value of our assets or more than 10% of the outstanding voting securities of the issuer; and (ii) no more than 25.0% of the value of our assets is invested in the securities, other than U.S. government securities or securities of other regulated investment companies, of one issuer or of two or more issuers that are controlled, as determined under applicable tax rules, by us and that are engaged in the same or similar or related trades or businesses or in certain publicly traded partnerships.</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Failure to meet these tests may result in our having to (i) dispose of certain investments quickly or (ii) raise additional capital to prevent the loss of our RIC qualification. Because most of our investments will be in private companies, any such dispositions could be made at disadvantageous prices and may result in substantial losses. If we raise additional capital to satisfy the asset diversification requirements, it could take us time to invest such capital. During this period, we will invest the additional capital in temporary investments, such as cash and cash equivalents, which we expect will earn yields substantially lower than the interest income that we anticipate receiving in respect of investments in leveraged loans and mezzanine debt.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fail to qualify as a RIC for any reason, all of our taxable income will be subject to U.S. federal income tax at regular corporate rates. The resulting corporate taxes could substantially reduce our net assets, the amount of income available for distribution to our common stockholders or payment of our outstanding indebtedness including the Notes. Such a failure would have a material adverse effect on our results of operations and financial condition.</w:t>
      </w:r>
    </w:p>
    <w:p>
      <w:pPr>
        <w:spacing w:after="0" w:line="25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between 90% and 100% of our income to our stockholders in connection with our election to be treated as a RIC, we will continue to need additional capital to finance our growth. If additional funds are unavailable or not available on favorable terms, our ability to grow will be impaired.</w:t>
      </w:r>
    </w:p>
    <w:p>
      <w:pPr>
        <w:spacing w:after="0" w:line="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order to qualify for the tax benefits available to RICs and to minimize corporate-level taxes, we intend to distribute to our stockholders between 90% and 100% of our annual taxable income, except that we may retain certain net capital gains for investment, and treat such amounts as deemed distributions to our stockholders. If we elect to treat any amounts as deemed distributions, we must pay income taxes at the corporate rate on such deemed distributions on behalf of our stockholders. As a result of these requirements, we will likely need to raise capital from other sources to grow our business. As a BDC, we generally are required to meet a coverage ratio of total assets, less liabilities and indebtedness not represented by senior securities, to total senior securities, which includes all of our borrowings and any outstanding preferred stock, of at least 200%. These requirements limit the amount that we may borrow. Because we will continue to need capital to grow our investment portfolio, these limitations may prevent us from incurring debt and require us to raise additional equity at a time when it may be disadvantageous to do so.</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While we expect to be able to borrow and to issue additional debt and equity securities, we cannot assure you that debt and equity financing will be available to us on favorable terms, or at all. Also, as a BDC, we generally are not permitted to issue equity securities priced below net asset value without stockholder approval. If additional funds are not available to us, we could be forced to curtail or cease new investment activities, and our net asset value and share price could decline.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paying our required distributions if we recognize income before or without receiving cash in respect of such income.</w:t>
      </w:r>
    </w:p>
    <w:p>
      <w:pPr>
        <w:spacing w:after="0" w:line="1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federal income tax purposes, we may be required to recognize taxable income in circumstances in which we do not receive a corresponding payment in cash. For example, we may on occasion hold debt obligations that are treated under applicable tax rules as having original issue discount (such as debt instruments with PIK or, in certain cases, increasing interest rates or issued with warrants) and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In addition, we may be required to accrue for federal income tax purposes amounts attributable to our investment in Saratoga CLO, a collateralized loan obligation fund, that may differ from the distributions paid in respect of our investment in the subordinated notes of such collateralized loan obligation fund because of the factors set forth above or because distributions on the subordinated notes are contractually required to be diverted for reinvestment or to pay down outstanding indebtedness.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Because we have elected to be treated as a BDC, we are prohibited under the 1940 Act from participating in certain transactions with certain of our affiliates without the prior approval of our independent directors and, in some cases, the SEC. Any person that owns, directly or indirectly, 5.0%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without prior approval of our independent directors and, in some cases, the SEC. If a person acquires more than 25.0% of our voting securities, we are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directors or investment adviser or their affiliates. As a result of these restrictions, we may be prohibited from buying or selling any security (other than any security of which we are the issuer) from or to any portfolio company of a private equity fund managed by our investment adviser without the prior approval of the SEC, which may limit the scope of investment opportunities that would otherwise be available to 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number of entities compete with us to make the types of investments that we make in private middle market companies. We compete with other BDCs, public and private funds (including SBICs), commercial and investment banks, commercial financing companies, insurance companies, high-yield investors, hedge funds, and, to the extent they provide an alternative form of financing, private equity funds. Many of our competitors are substantially larger and have considerably greater financial, technical and marketing resources than us. Some competitors may have a lower cost of funds and access to funding sources that are not available to us. In addition, some of our competitors may have higher risk tolerances or different risk assessments that could allow them to consider a wider variety of investments and establish more relationships than us. Furthermore, many of our competitors are not subject to the regulatory restrictions that the 1940 Act imposes on us as a BDC. As a result of this competition, we may not be able to take advantage of attractive investment opportunities from time to time, and we cannot assure you that we will be able to identify and make investments that meet our investment objective.</w:t>
      </w:r>
    </w:p>
    <w:p>
      <w:pPr>
        <w:spacing w:after="0" w:line="16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do not seek to compete primarily based on the interest rates we offer and we believe that some of our competitors may make loans with interest rates that are comparable to or lower than the rates we offer.</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may lose investment opportunities if we do not match our competitors’ pricing, terms and structure. If we match our competitors’ pricing, terms and structure, we may experience decreased net interest income and increased risk of credit loss. As a result of operating in such a competitive environment, we may make investments that are on better terms to our portfolio companies than we originally anticipated, which may impact our return on these investments.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recessions or downturns could impair the ability of our portfolio companies to repay loans and harm our operating results.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debt investments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adding to our investment portfolio, cause us to receive a reduced level of interest income from our portfolio companies and/or reduce the fair market value of our investments. Any of the foregoing events could adversely affect our distributable income and have a material adverse effect on our operating results.</w:t>
      </w:r>
    </w:p>
    <w:p>
      <w:pPr>
        <w:spacing w:after="0" w:line="3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6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Although we seek to maintain a diversified portfolio in accordance with our business strategies,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RIC asset diversification requirements, we do not have fixed guidelines for diversification, and our investments could be concentrated in relatively few portfolio companies.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depend on our ability to manage future investments effectively.</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ability to achieve our investment objective depends on our ability to acquire suitable investments and monitor and administer those investments, which depends, in turn, on Saratoga Investment Advisors’ ability to identify, invest in and monitor companies that meet our investment criteria.</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Accomplishing this result on a cost-effective basis is largely a function of Saratoga Investment Advisors’ structuring of the investment process and its ability to provide competent, attentive and efficient service to us. Our executive officers and the officers and employees of Saratoga Investment Advisors have substantial responsibilities in connection with their roles at Saratoga Partners as well as responsibilities under the Management Agreement. They may also be called upon to provide managerial assistance to our portfolio companies. These demands on their time, which will increase as the number of investments grow, may distract them or slow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rate of investment. In order to grow, Saratoga Investment Advisors may need to hire, train, supervise and manage new employees. However, we cannot assure you that any such employees will contribute to the work of Saratoga Investment Advisors. Any failure to manage our future growth effectively could have a material adverse effect on our business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investments we make, the default rate on such investments, the level of our expenses, variations in and the timing of the recognition of realized and unrealized gains or losses, changes in our portfolio composition, the degree to which we encounter competition in our markets and general economic conditions. As a result of these factors, results for any period should not be relied upon as being indicative of performance in future periods. In addition, any of these factors could negatively impact our ability to achieve our investment objectives, which may cause the net asset value of our common stock to decline.</w:t>
      </w:r>
    </w:p>
    <w:p>
      <w:pPr>
        <w:spacing w:after="0" w:line="2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Substantially all of our portfolio investments are recorded at fair value as approved in good faith by our board of directors; such valuations are inherently uncertain and may be materially higher or lower than the values that we ultimately realize upon the disposal of such investments.</w:t>
      </w:r>
    </w:p>
    <w:p>
      <w:pPr>
        <w:spacing w:after="0" w:line="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Substantially all of our portfolio is, and we expect will continue to be, comprised of investments that are not publicly traded. The value of investments that are not publicly traded may not be readily determinable. We value these investments quarterly at fair value as approved in good faith by our board of directors. Where appropriate, Saratoga Investment Advisers may utilize the services of an independent valuation firm to aid it in determining fair value. The types of factors that may be considered in valuing our investments include the nature and realizable value of any collateral, the portfolio company’s ability to make payments and its earnings, the markets in which the portfolio company does business, market yield trend analysis, comparison to publicly traded companies, discounted cash flow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30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make unsecured debt investments, we may lack adequate protection in the event our portfolio companies become distressed or insolvent and will likely experience a lower recovery than more senior debtholders in the event our portfolio companies defaults on their indebtedness.</w:t>
      </w:r>
    </w:p>
    <w:p>
      <w:pPr>
        <w:spacing w:after="0" w:line="1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make unsecured debt investments in portfolio companies. Unsecured debt investments are unsecured and junior to other indebtedness of the portfolio company. As a consequence, the holder of an unsecured debt investment may lack adequate protection in the event the portfolio company becomes distressed or insolvent and will likely experience a lower recovery than more senior debtholders in the event the portfolio company defaults on its indebtedness. In addition, unsecured debt investments of middle-market companies are often highly illiquid and in adverse market conditions may experience steep declines in valuation even if they are fully performing.</w:t>
      </w:r>
    </w:p>
    <w:p>
      <w:pPr>
        <w:spacing w:after="0" w:line="29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invest in the securities and other obligations of distressed or bankrupt companies, such investments may be subject to significant risks, including lack of income, extraordinary expenses, uncertainty with respect to satisfaction of debt, lower-than expected investment values or income potentials and resale restrictions.</w:t>
      </w:r>
    </w:p>
    <w:p>
      <w:pPr>
        <w:spacing w:after="0" w:line="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authorized to invest in the securities and other obligations of distressed or bankrupt companies. At times, distressed debt obligations may not produce income and may require us to bear certain extraordinary expenses (including legal, accounting, valuation and transaction expenses) in order to protect and recover our investment. Therefore, to the extent we invest in distressed debt, our ability to achieve current income may be diminished which may affect our ability to make distributions on our common stock or make interest and principal payments of the Notes.</w:t>
      </w:r>
    </w:p>
    <w:p>
      <w:pPr>
        <w:spacing w:after="0" w:line="17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also will be subject to significant uncertainty as to when and in what manner and for what value the distressed debt we invest in will eventually be satisfied (e.g., through a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held by us, there can be no assurance that the securities or other assets received by us in connection with such exchange offer or plan of reorganization will not have a lower value or income potential than may have been anticipated when the investment was made.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Moreover, any securities received by us upon completion of an exchange offer or plan of reorganization may be restricted as to resale. As a result of our participation in negotiations with respect to any exchange offer or plan of reorganization with respect to an issuer of distressed debt, we may be restricted from disposing of such securities if we are in possession of material non-public information relating to the issuer.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Certain loans that we make to portfolio companies will be secured on a second priority basis by the same collateral securing senior secured debt of such companies. The first priority liens on the collateral will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the loans we make to our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that may be taken with respect to the collateral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primarily make investments in private companies. A portion of these securities may be subject to legal and other restrictions on resale, transfer, pledge or other disposition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business entity to the extent that we or our investment adviser has or could be deemed to have material non-public information regarding such business entity.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debt securities in which we invest are subject to credit risk and prepayment risk.</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An issuer of a debt security may be unable to make interest payments and repay principal. We could lose money if the issuer of a debt obligation is, or is perceived to be, unable or unwilling to make timely principal and/or interest payments, or to otherwise honor its obligations. The downgrade of a security by rating agencies may further decrease its value.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debt instruments may contain call or redemption provisions which would allow the issuer thereof to prepay principal prior to the debt instrument’s stated maturity. This is known as prepayment risk. Prepayment risk is greater during a falling interest rate environment as issuers can reduce their cost of capital by refinancing higher interest debt instruments with lower interest debt instruments. An issuer may also elect to refinance their debt instruments with lower interest debt instruments if the credit standing of the issuer improves. To the extent debt securities in our portfolio are called or redeemed, we may receive less than we paid for such security and we may be forced to reinvest in lower yielding securities or debt securities of issuers of lower credit quality.</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Uncertainty relating to the LIBOR calculation process may adversely affect the value of our portfolio of the LIBOR-indexed, floating-rate debt securities.</w:t>
      </w:r>
    </w:p>
    <w:p>
      <w:pPr>
        <w:spacing w:after="0" w:line="152" w:lineRule="exact"/>
        <w:rPr>
          <w:sz w:val="20"/>
          <w:szCs w:val="20"/>
          <w:color w:val="auto"/>
        </w:rPr>
      </w:pPr>
    </w:p>
    <w:p>
      <w:pPr>
        <w:ind w:right="360" w:firstLine="456"/>
        <w:spacing w:after="0" w:line="273" w:lineRule="auto"/>
        <w:rPr>
          <w:sz w:val="20"/>
          <w:szCs w:val="20"/>
          <w:color w:val="auto"/>
        </w:rPr>
      </w:pPr>
      <w:r>
        <w:rPr>
          <w:rFonts w:ascii="Arial" w:cs="Arial" w:eastAsia="Arial" w:hAnsi="Arial"/>
          <w:sz w:val="17"/>
          <w:szCs w:val="17"/>
          <w:color w:val="auto"/>
        </w:rPr>
        <w:t>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derivatives positions or to avoid an appearance of capital insufficiency or adverse reputational or other consequences that may have resulted from reporting inter-bank lending rates higher than those they actually submitted. A number of BBA member banks have entered into settlements with their regulators and law enforcement agencies with respect to alleged manipulation of LIBOR, and investigations by regulators and governmental authorities in various jurisdictions are ongoing.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Actions by the BBA, regulators or law enforcement agencies may result in changes to the manner in which LIBOR is determined. Uncertainty as to the nature of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investment in Saratoga CLO constitutes a leveraged investment in a portfolio of predominantly senior secured first lien term loans and is subject to additional risks and volatility.</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February 29, 2016, our investment in the subordinated notes of Saratoga CLO, a collateralized loan obligation fund, had a fair value of $12.8 million and constituted 4.5% of our portfolio. This investment constitutes a first loss position in a portfolio that, as of February 29, 2016, was composed of</w:t>
      </w:r>
    </w:p>
    <w:p>
      <w:pPr>
        <w:ind w:right="100"/>
        <w:spacing w:after="0" w:line="268" w:lineRule="auto"/>
        <w:rPr>
          <w:sz w:val="20"/>
          <w:szCs w:val="20"/>
          <w:color w:val="auto"/>
        </w:rPr>
      </w:pPr>
      <w:r>
        <w:rPr>
          <w:rFonts w:ascii="Arial" w:cs="Arial" w:eastAsia="Arial" w:hAnsi="Arial"/>
          <w:sz w:val="17"/>
          <w:szCs w:val="17"/>
          <w:color w:val="auto"/>
        </w:rPr>
        <w:t>$302.7 million in aggregate principal amount of primarily senior secured first lien term loans and $2.3 million in uninvested cash. A first loss position means that we will suffer the first economic losses if the value of Saratoga CLO decreases. First loss positions typically carry a higher risk and earn a higher yield. Interest payments generated from this portfolio will be used to pay the administrative expenses of Saratoga CLO and interest on the debt issued by Saratoga CLO before paying a return on the subordinated notes. Principal payments will be similarly applied to pay administrative expenses of Saratoga CLO and for reinvestment or repayment of Saratoga CLO debt before paying a return on, or repayment of, the subordinated notes. In addition, 80.0% of our fixed management fee and 100.0% our incentive management fee for acting as the collateral manager of Saratoga CLO is subordinated to the payment of interest and principal on Saratoga CLO debt. Any losses on the portfolio will accordingly reduce the cash flow available to pay these management fees and provide a return on, or repayment of, our investment. Depending on the amount and timing of such losses, we may experience smaller than expected returns and, potentially, the loss of our entire investment.</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the manager of the portfolio of Saratoga CLO, we will have some ability to direct the composition of the portfolio, but our discretion is limited by the terms of the debt issued by Saratoga CLO which may limit our ability to make investments that we feel are in the best interests of the subordinated notes, and the availability of suitable investments. The performance of Saratoga CLO’s portfolio is also subject to many of the same risks sets forth in this Annual Report with respect to portfolio investments in leveraged loans.</w:t>
      </w: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Saratoga CLO, the creditors of Saratoga CLO, including the holders of $302.7 million aggregate principal amount of debt, as of February 29, 2016 issued by Saratoga CLO, would have claims against the consolidated bankruptcy estate, which would include our assets.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we have observed and will observe certain formalities and operating procedures that are generally recognized requirements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maintaining our separate existence and that our assets and liabilities can be readily identified as distinct from those of Saratoga CLO. However, we cannot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assure you that a bankruptcy court would agree in the event that we or Saratoga CLO became a debtor in connection with a bankruptcy proceeding. If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bankruptcy court concludes that substantive consolidation of us with Saratoga CLO is warranted, the creditors of Saratoga CLO, including the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$302.7 million aggregate principal amount of debt, as of February 29, 2016 issued by Saratoga CLO, would have claims against the consolidated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estate. Substantive consolidation means that our assets are placed in a single bankruptcy estate with those of Saratoga CLO, rather than kept separate, and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creditors of Saratoga CLO have a claim against that single estate (including our assets), as opposed to retaining their claims against only Saratoga CLO.</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 about privately held companies is limited.</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invest primarily in privately-held companies. Generally, little public information exists about these companies, and we are required to rely on the ability of our investment adviser’s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investments.</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When we are a debt or minority equity investor in a portfolio company, we may not be in a position to control the entity, and its management may make decisions that could decrease the value of our investment.</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make both debt and minority equity investments;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portfolio companies may incur debt or issue equity securities that rank equally with, or senior to, our investments in such companies.</w:t>
      </w:r>
    </w:p>
    <w:p>
      <w:pPr>
        <w:spacing w:after="0" w:line="1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portfolio companies usually will have, or may be permitted to incur, other debt, or issue other equity securities that rank equally with, or senior to, our investments. By their terms, such instruments may provide that the holders are entitled to receive payment of dividends, interest or principal on or before the dates on which we are entitled to receive payments in respect of our investments. These debt instruments will usually prohibit the portfolio companies from paying interest on or repaying our investments in the event and during the continuance of a default under such debt. Also, in the event of insolvency, liquidation, dissolution, reorganization or bankruptcy of a portfolio company, holders of securities ranking senior to our investment in that portfolio company would typically be entitled to receive payment in full before we receive any distribution in respect of our investment. After repaying such holders, the portfolio company may not have any remaining assets to use for repaying its obligation to us. In the case of debtor ranking equally with our investments, we would have to share on an equal basis any distributions with other holders in the event of an insolvency, liquidation, dissolution, reorganization or bankruptcy of the relevant portfolio company.</w:t>
      </w:r>
    </w:p>
    <w:p>
      <w:pPr>
        <w:spacing w:after="0" w:line="2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if we actually render significant managerial assistance.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equity securities involve a substantial degree of risk.</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purchase common stock and other equity securities. Although equity securities have historically generated higher average total returns than fixed-income securities over the long-term, equity securities also have experienced significantly more volatility in those returns and in recent years have significantly underperformed relative to fixed-income securities. The equity securities we acquire may fail to appreciate and may decline in value or become worthless and our ability to recover our investment will depend on our portfolio company’s success. Investments in equity securities involve a number of significant risks, including:</w:t>
      </w:r>
    </w:p>
    <w:p>
      <w:pPr>
        <w:spacing w:after="0" w:line="94" w:lineRule="exact"/>
        <w:rPr>
          <w:sz w:val="20"/>
          <w:szCs w:val="20"/>
          <w:color w:val="auto"/>
        </w:rPr>
      </w:pPr>
    </w:p>
    <w:p>
      <w:pPr>
        <w:ind w:left="660" w:hanging="206"/>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equity investment we make in a portfolio company could be subject to further dilution as a result of the issuance of additional equity interests and to serious risks as a junior security that will be subordinate to all indebtedness or senior securities in the event that the issuer is unable to meet its obligations or becomes subject to a bankruptcy process;</w:t>
      </w:r>
    </w:p>
    <w:p>
      <w:pPr>
        <w:spacing w:after="0" w:line="86"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that the portfolio company requires additional capital and is unable to obtain it, we may not recover our investment in equity securities; and</w:t>
      </w:r>
    </w:p>
    <w:p>
      <w:pPr>
        <w:spacing w:after="0" w:line="75" w:lineRule="exact"/>
        <w:rPr>
          <w:rFonts w:ascii="Arial" w:cs="Arial" w:eastAsia="Arial" w:hAnsi="Arial"/>
          <w:sz w:val="18"/>
          <w:szCs w:val="18"/>
          <w:color w:val="auto"/>
        </w:rPr>
      </w:pPr>
    </w:p>
    <w:p>
      <w:pPr>
        <w:ind w:left="660" w:right="20" w:hanging="206"/>
        <w:spacing w:after="0" w:line="29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some cases, equity securities in which we invest will not pay current dividends, and our ability to realize a return on our investment, as well as to recover our investment, will be dependent on the success of our portfolio companies. Even if the portfolio companies are successful, our ability to realize the value of our investment may be dependent on the occurrence of a liquidity event, such as a public offering or the sale of the portfolio company. It is likely to take a significant amount of time before a liquidity event occurs or we can sell our equity investments. In addition, the equity securities we receive or invest in may be subject to restrictions on resale during periods in which it could be advantageous to sell.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special risks associated with investing in preferred securities, including:</w:t>
      </w:r>
    </w:p>
    <w:p>
      <w:pPr>
        <w:spacing w:after="0" w:line="131" w:lineRule="exact"/>
        <w:rPr>
          <w:sz w:val="20"/>
          <w:szCs w:val="20"/>
          <w:color w:val="auto"/>
        </w:rPr>
      </w:pPr>
    </w:p>
    <w:p>
      <w:pPr>
        <w:ind w:left="660" w:right="280" w:hanging="206"/>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tax purposes even though we have not received any cash payments in respect of such income;</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preferred securities are subordinated with respect to corporate income and liquidation payments, and are therefore subject to greater risk than debt;</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preferred securities may be substantially less liquid than many other securities, such as common securities or U.S. government securities;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security holders generally have no voting rights with respect to the issuing company, subject to limited exceptions.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investments in foreign debt, including that of emerging market issuers, may involve significant risks in addition to the risks inherent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there are limitations on our ability to invest in foreign debt, we may, from time to time, invest in debt of foreign companies, including the debt of emerging market issuers.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Investments in the debt of emerging market issuers may subject us to additional risks such as inflation, wage and price controls, and the imposition of trade barriers. Furthermore, economic conditions in emerging market countries are, to some extent, influenced by economic and securities market conditions in other emerging market countries. Although economic conditions are different in each country, investors’ reaction to developments in one country can have effects on the debt of issuers in other countries.</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we will fully hedge against these risks or that such strategies will be effective. As a result, a change in currency exchange rates may adversely affect our profitability.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may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expose us to counter-party credit risk.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portfolio positions should increase. Moreover, it may not be possible to hedge against an exchange rate or interest rate fluctuation that is generally anticipated at an acceptable price.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success of our hedging transactions will depend on our ability to correctly predict movements in currencies and interest rates. Therefore, 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entirely related to currency fluctuations. To the extent we engage in hedging transactions, we also face the risk that counterparties to the derivative instruments we hold may default, which may expose us to unexpected losses from positions where we believed that our risk had been appropriately hedged.</w:t>
      </w:r>
    </w:p>
    <w:p>
      <w:pPr>
        <w:spacing w:after="0" w:line="28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board of directors has the authority to modify or waive our current investment objective, operating policies and strategies without prior notice and without stockholder approval. We cannot predict the effect any changes to our current operating policies and strategies would have on our business, financial condition, and value of our common stock. However, the effects might be adverse, which could negatively impact our ability to pay dividends and cause you to lose all or part of your investment.</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limited experience in managing an SBIC and any failure to comply with SBA regulations, resulting from our lack of experience or otherwise, could have an adverse effect on our operations.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received a license from the SBA to operate as an SBIC under Section 301(c) of the Small Business Investment Act of 1958 and is regulated by the SBA.</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SBA places certain limitations on the financing terms of investments by SBICs in portfolio companies and prohibits SBICs from providing funds for certain purposes or to businesses in a few prohibited industries. Compliance with SBIC requirements may cause our SBIC subsidiary to forego attractive investment opportunities that are not permitted under SBA regulations.</w:t>
      </w:r>
    </w:p>
    <w:p>
      <w:pPr>
        <w:sectPr>
          <w:pgSz w:w="11900" w:h="16838" w:orient="portrait"/>
          <w:cols w:equalWidth="0" w:num="1">
            <w:col w:w="11380"/>
          </w:cols>
          <w:pgMar w:left="240" w:top="459" w:right="279" w:bottom="144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459" w:right="2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 SBA regulations require that an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 or more of a class of capital stock of an SBIC.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wholly-owned subsidiary. We do not have any prior experience managing an SBIC. Our lack of experience in complying with SBA regulations may hinder our ability to take advantage of our SBIC subsidiary’s access to SBA-guaranteed debentures.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failure to comply with SBA regulations could have an adverse effect on our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may be risky, and you could lose all or part of your investment.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Substantially all of our debt investments hold a non-investment grade rating by one or more rating agencies or, where not rated by any rating agency, would be below investment grade, if rated. A below investment grade rating means that, in the rating agency’s view, there is an increased risk that the obligor on such debt will be unable to pay interest and repay principal on its debt in full. We also invest in debt that defers or pays PIK interest. To the extent interest payments associated with such debt are deferred, such debt will be subject to greater fluctuations in value based on changes in interest rates, such debt could produce taxable income without a corresponding cash payment to us, and since we generally do not receive any cash prior to maturity of the debt, the investment will be of greater risk.</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private middle market companies in which we invest are exposed to a number of significant risks, including:</w:t>
      </w:r>
    </w:p>
    <w:p>
      <w:pPr>
        <w:spacing w:after="0" w:line="131" w:lineRule="exact"/>
        <w:rPr>
          <w:sz w:val="20"/>
          <w:szCs w:val="20"/>
          <w:color w:val="auto"/>
        </w:rPr>
      </w:pPr>
    </w:p>
    <w:p>
      <w:pPr>
        <w:ind w:left="660" w:right="6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limited financial resources and an inability to meet their obligations, which may be accompanied by a deterioration in the value of any collateral and a reduction in the likelihood of us realizing any guarantees we may have obtained in connection with our investment;</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75"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dependence on the management talents and efforts of a small group of persons; the death, disability, resignation or termination of one or more of which could have a material adverse impact on the company and, in turn, on us;</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predictable operating results and, possibly, substantial additional capital requirements to support their operations, finance expansion or maintain their competitive position;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accessing the capital markets to meet future capital needs.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our executive officers, directors and our investment adviser may, in the ordinary course of business, be named as defendants in litigation arising from our investments in the portfolio companies.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independent auditors have not assessed our internal control over financial reporting. If our internal control over financial reporting is not effective, it could have a material adverse effect on our stock price and our ability to raise capital.</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we are a “non-accelerated filer” within the meaning of Rule 12b-2 under the Securities Exchange Act of 1934, our independent auditors are not required to assess our internal control over financial reporting or to provide a report thereon. Although our management determined that our internal control over financial reporting was effective at February 29, 2016 (the last date that such determination was required to be made by us), there can be no assurance that our independent auditors would agree with our management’s conclusion. Furthermore, if our market capitalization, excluding affiliated stockholders, at August 31 of any fiscal year is greater than $75 million, then we will be required to obtain independent auditor certification on the adequacy of our internal control over financial reporting for that fiscal year. If our internal control over financial reporting is determined in the future to not be effective, whether by our management or by our independent auditors, there could be an adverse reaction in the financial markets due to a loss of confidence in the reliability of our consolidated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continue to choose to pay dividends in our own stock, in which case you may be required to pay tax in excess of the cash you receive.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in the past, and may continue to, distribute taxable dividends that are payable to our stockholders in part through the issuance of shares of our common stock. For example, on October 30, 2013, our board of directors declared a dividend of $2.65 per share to shareholders payable in cash or shares of our common stock. Under certain applicable provisions of the Code and the Treasury regulations, distributions payable in cash or in shares of stock at the election of stockholders are treated as taxable dividends. The Internal Revenue Service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24, 2014, we announced the recommencement of quarterly dividends to our stockholders. 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market price and liquidity of the market for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660" w:right="4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policies, accounting pronouncements or tax rules, particularly with respect to RICs, BDCs or SBICs;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RIC qualification;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 of any of Saratoga Investment Advisors’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distributions or that our distributions may not grow over time.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BDC for 1940 Act purposes and a RIC for U.S. federal income tax purposes, we intend to make distributions out of assets legally available for distribution to our stockholders once such distributions are authorized by our board of directors and declared by us. We cannot assure you that we will achieve investment results that will allow us to make a specified level of cash distributions or periodically increase our dividend rate. In addition, due to the asset coverage test that is applicable to us as a BDC, and provisions contained in the agreements governing our borrowings, we may be limited in our ability to make distributions. Further, if we invest a greater amount of assets in equity securities that do not pay current dividends, it could reduce the amount available for distribution.</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Provisions of our governing documents and the Maryland General Corporation Law could deter future takeover attempts and have an adverse impact on the price of our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governed by our charter and bylaws, which we refer to as our “governing documents.”</w:t>
      </w:r>
    </w:p>
    <w:p>
      <w:pPr>
        <w:spacing w:after="0" w:line="22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governing documents and the Maryland General Corporation Law contain provisions that may have the effect of delaying, deferring or preventing a future transaction or change in control of us that might involve a premium price for our stockholders or otherwise be in their best interest.</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charter provides for the classification of our board of directors into three classes of directors, serving staggered three-year terms, which may render a change of control of us or removal of our incumbent management more difficult. Furthermore, any and all vacancies on our board of directors will be filled generally only by the affirmative vote of a majority of the remaining directors in office, even if the remaining directors do not constitute a quorum, and any director elected to fill a vacancy will serve for the remainder of the full term until a successor is elected and qualifies.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board of directors is authorized to create and issue new series of shares, to classify or reclassify any unissued shares of stock into one or more classes or series, including preferred stock and, without stockholder approval, to amend our charter to increase or decrease the number of shares of stock that we have authority to issue, which could have the effect of diluting a stockholder’s ownership interest. Prior to the issuance of shares of stock of each class or series, including any reclassified series, our board of directors is required by our governing documents to set the terms, preferences, conversion or other rights, voting powers, restrictions, limitations as to dividends or other distributions, qualifications and terms or conditions of redemption for each class or series of shares of stock.</w:t>
      </w:r>
    </w:p>
    <w:p>
      <w:pPr>
        <w:spacing w:after="0" w:line="19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governing documents also provide that our board of directors has the exclusive power to adopt, alter or repeal any provision of our bylaws, and to make new bylaws. The Maryland General Corporation Law also contains certain provisions that may limit the ability of a third party to acquire control of us, such as:</w:t>
      </w:r>
    </w:p>
    <w:p>
      <w:pPr>
        <w:spacing w:after="0" w:line="87" w:lineRule="exact"/>
        <w:rPr>
          <w:sz w:val="20"/>
          <w:szCs w:val="20"/>
          <w:color w:val="auto"/>
        </w:rPr>
      </w:pPr>
    </w:p>
    <w:p>
      <w:pPr>
        <w:ind w:left="660" w:right="2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Maryland Business Combination Act, which, subject to certain limitations, prohibits certain business combinations between us and an “interested stockholder” (defined generally as any person who beneficially owns 10% or more of the voting power of the common stock or an affiliate thereof) for five years after the most recent date on which the stockholder becomes an interested stockholder and, thereafter, imposes special minimum price provisions and special stockholder voting requirements on these combinations; and</w:t>
      </w:r>
    </w:p>
    <w:p>
      <w:pPr>
        <w:spacing w:after="0" w:line="92"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Maryland Control Share Acquisition Act, which provides that “control shares” of a Maryland corporation (defined as shares of common stock which, when aggregated with other shares of common stock controlled by the stockholder, entitles the stockholder to exercise one of three increasing ranges of voting power in electing directors) acquired in a “control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64" w:lineRule="auto"/>
        <w:rPr>
          <w:sz w:val="20"/>
          <w:szCs w:val="20"/>
          <w:color w:val="auto"/>
        </w:rPr>
      </w:pPr>
      <w:r>
        <w:rPr>
          <w:rFonts w:ascii="Arial" w:cs="Arial" w:eastAsia="Arial" w:hAnsi="Arial"/>
          <w:sz w:val="18"/>
          <w:szCs w:val="18"/>
          <w:color w:val="auto"/>
        </w:rPr>
        <w:t>acquisition” (defined as the direct or indirect acquisition of ownership or control of “control shares”) have no voting rights except to the extent approved by stockholders by the affirmative vote of at least two-thirds of all the votes entitled to be cast on the matter, excluding all interested shares of common stock.</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provisions of the Maryland Business Combination Act will not apply, however, if our board of directors adopts a resolution that any business combination between us and any other person will be exempt from the provisions of the Maryland Business Combination Act. Although our board of directors has adopted such a resolution, there can be no assurance that this resolution will not be altered or repealed in whole or in part at any time. If the resolution is altered or repealed, the provisions of the Maryland Business Combination Act may discourage others from trying to acquire control of us.</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permitted by Maryland law, our bylaws contain a provision exempting from the Maryland Control Share Acquisition Act any and all acquisitions by any person of our common stock. Although our bylaws include such a provision, such a provision may also be amended or eliminated by our board of directors at any time in the future, subject to obtaining confirmation from the SEC that it does not object to us being subject to the Maryland Control Share Acquisition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trade at a discount to our net asset value per share.</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Common stock of BDCs, as closed-end investment companies, frequently trade at a discount to net asset value. Our common stock has traded at a discount to our net asset value since shortly after our initial public offering. The risk that our common stock may continue to trade at a discount to our net asset value is separate and distinct from the risk that our net asset value per share may decline.</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Stockholders may incur dilution if we sell shares of our common stock in one or more offerings at prices below the then current net asset value per share of our common stock.</w:t>
      </w:r>
    </w:p>
    <w:p>
      <w:pPr>
        <w:spacing w:after="0" w:line="6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1940 Act prohibits us from selling shares of our common stock at a price below the current net asset value per share of such stock, with certain exceptions. One such exception is prior stockholder approval of issuances below net asset value provided that our board of directors makes certain determinations. We do not currently have stockholder approval of issuances below net asset value.</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we were to sell shares of our common stock below net asset value per share, such sales would result in an immediate dilution to the net asset value per share. This dilution would occur as a result of the sale of shares at a price below the then current net asset value per share of our common stock and a proportionately greater decrease in a stockholder’s interest in our earnings and assets and voting interest in us than the increase in our assets resulting from such issuance.</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Because the number of shares of common stock that could be so issued and the timing of any issuance is not currently known, the actual dilutive effect cannot be predicted.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Notes are unsecured and therefore are effectively subordinated to any secured indebtedness we have currently incurred or may incur in the future.</w:t>
      </w:r>
    </w:p>
    <w:p>
      <w:pPr>
        <w:spacing w:after="0" w:line="15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Notes are not secured by any of our assets or any of the assets of our subsidiaries, including our wholly owned subsidiaries. As a result, the Notes are effectively subordinated to any secured indebtedness we or they have currently incurred and may incur in the future (or any indebtedness that is initially unsecured to which we subsequently grant security) to the extent of the value of the assets securing such indebtedness, including indebtedness under the Credit Facility.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February 29, 2016, there was no outstanding balance under the Credit Facility and we had the ability to borrow up to $45.0 million under the Credit Facility, subject to certain conditions. As of February 29, 2016, we had $103.7 million in SBA-guaranteed debentures outstanding. The indebtedness under the Credit Facility and to SBA-guaranteed debentures is senior to the Notes to the extent of the value of the assets securing such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structurally subordinated to the indebtedness and other liabilities of our subsidiaries.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Notes are obligations exclusively of Saratoga Investment Corp., and not of any of our subsidiaries. None of our subsidiaries is a guarantor of the Notes and the Notes are not required to be guaranteed by any subsidiary we may acquire or create in the future. Any assets of our subsidiaries are not directly available to satisfy the claims of our creditors, including holders of the Notes. Except to the extent we are a creditor with recognized claims against our subsidiaries, all claims of creditors of our subsidiaries will have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are structurally subordinated to all indebtedness and other liabilities of any of our subsidiaries and portfolio companies with respect to which we hold equity investments. In addition, our subsidiaries and these entities may incur substantial indebtedness in the future, all of which would be structurally senior to the Notes.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are issued contains limited protection for holders of the Notes.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indenture under which the Notes are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your investment in the Notes. In particular, the terms of the indenture and the Notes do not place any restrictions on our or our subsidiaries’ ability to:</w:t>
      </w:r>
    </w:p>
    <w:p>
      <w:pPr>
        <w:spacing w:after="0" w:line="92" w:lineRule="exact"/>
        <w:rPr>
          <w:sz w:val="20"/>
          <w:szCs w:val="20"/>
          <w:color w:val="auto"/>
        </w:rPr>
      </w:pPr>
    </w:p>
    <w:p>
      <w:pPr>
        <w:ind w:left="660" w:right="20" w:hanging="206"/>
        <w:spacing w:after="0" w:line="288"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or the portfolio companies with respect to which we hold an equity investment that would be senior to our equity interests in those entities and therefore rank structurally senior to the Notes with respect to the assets of these entities, in each case other than an incurrence of indebtedness or other obligation that would cause a violation of Section 18(a)(1)(A) as modified by Section 61(a)(1) of the 1940 Act or any successor provisions (whether or not we are subject thereto),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74" w:lineRule="exact"/>
        <w:rPr>
          <w:rFonts w:ascii="Arial" w:cs="Arial" w:eastAsia="Arial" w:hAnsi="Arial"/>
          <w:sz w:val="16"/>
          <w:szCs w:val="16"/>
          <w:color w:val="auto"/>
        </w:rPr>
      </w:pPr>
    </w:p>
    <w:p>
      <w:pPr>
        <w:ind w:left="660" w:hanging="206"/>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the Notes, including subordinated indebtedness, in each case other than dividends, purchases, redemptions or payments that would cause a violation of Section 18(a)(1)(B) as modified by Section 61(a)(1) of the 1940 Act or any successor provisions, but giving effect to any exemptive relief granted to us by the SEC or no-action letter granted by the SEC to another BDC (or the Company if it determines to seek such similar no-action or other relief) permitting the BDC to declare any cash dividend or distribution in order to maintain the BDC’s RIC status.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84" w:lineRule="exact"/>
        <w:rPr>
          <w:rFonts w:ascii="Arial" w:cs="Arial" w:eastAsia="Arial" w:hAnsi="Arial"/>
          <w:sz w:val="17"/>
          <w:szCs w:val="17"/>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indenture does not require us to offer to purchase the Notes in connection with a change of control or any other event.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For example, the indenture under which the Notes are issued does not contain cross-default provisions that are contained in the Credit Facility. The issuance or incurrence of any such debt with incremental protections could affect the market for and trading levels and prices of the Notes.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the Notes may not develop, which could limit your ability to sell the Notes or the market price of the Notes.</w:t>
      </w:r>
    </w:p>
    <w:p>
      <w:pPr>
        <w:spacing w:after="0" w:line="1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are listed on the NYSE under the symbol ‘‘SAQ”. We cannot provide any assurances that an active trading market will develop or be maintained for the Notes or that you will be able to sell your Notes. If the Notes are traded after their initial issuance, they may trade at a discount from their initial offering price depending on prevailing interest rates, the market for similar securities, our credit ratings, if any, general economic conditions, our financial condition, performance and prospects and other factors. The underwriters involved in the offering of the Notes have advised us that they intend to make a market in the Notes, but they are not obligated to do so. The underwriters may discontinue any market-making in the Notes at any time at their sole discretion.</w:t>
      </w:r>
    </w:p>
    <w:p>
      <w:pPr>
        <w:spacing w:after="0" w:line="193"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to redeem the Notes when prevailing interest rates are relatively low.</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or after May 31, 2016, we may choose to redeem the Notes from time to time, especially when prevailing interests rates are lower than the rate borne by the Notes. If prevailing rates are lower at the time of redemption, you would not be able to reinvest the redemption proceeds in a comparable security at an effective interest rate as high as the interest rate on the Notes being redeemed. Our redemption right also may adversely impact your ability to sell the Notes as the optional redemption date or period approaches.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Any default under the agreements governing our indebtedness, including a default under the Credit Facility or other indebtedness to which we may be a party that is not waived by the required lenders,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including the Notes. In the event of such default, the holders of such indebtedness could elect to declare all the funds borrowed thereunder to be due and payable, together with accrued and unpaid interest, the lender under the Credit Facility or other debt we may incur in the future could elect to terminate its commitment, cease making further loans and institute foreclosure proceedings against our assets, and we could be forced into bankruptcy or liquidation. In addition, any such default may constitute a default under the Notes, which could further limit our ability to repay our debt, including the Notes. If our operating performance declines, we may in the future need to seek to obtain waivers from the lender under the Credit Facility or other debt that we may incur in the future to avoid being in default. If we breach our covenants under the Credit Facility or other debt and seek a waiver, we may not be able to obtain a waiver from the required lenders. If this occurs, we would be in default under the Credit Facility or other debt, the lender could exercise its rights as described above, and we could be forced into bankruptcy or liquidation. If we are unable to repay debt, lenders having secured obligations could proceed against the collateral securing the debt. Because the Credit Facility has, and any future credit facilities will likely have, customary cross-default provisions, if the indebtedness under the Notes, the Credit Facility or under any future credit facility is accelerated, we may be unable to repay or finance the amounts due.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do not own any real estate or other physical properties important to our operations, however, an affiliate of our investment adviser leases office space for our executive offices at 535 Madison Avenue, New York, New York 10022.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w:t>
      </w:r>
    </w:p>
    <w:p>
      <w:pPr>
        <w:ind w:right="20"/>
        <w:spacing w:after="0" w:line="252" w:lineRule="auto"/>
        <w:rPr>
          <w:sz w:val="20"/>
          <w:szCs w:val="20"/>
          <w:color w:val="auto"/>
        </w:rPr>
      </w:pPr>
      <w:r>
        <w:rPr>
          <w:rFonts w:ascii="Arial" w:cs="Arial" w:eastAsia="Arial" w:hAnsi="Arial"/>
          <w:sz w:val="18"/>
          <w:szCs w:val="18"/>
          <w:color w:val="auto"/>
        </w:rPr>
        <w:t>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common stock is traded on the New York Stock Exchange under the symbol “SAR.” Prior to July 30, 2010, our common stock traded on the New York Stock Exchange under the symbol “GNV.” The following table sets forth, for the two most recent fiscal years and the current fiscal year, the net asset value (“NAV”) at each period end and the range of high and low sales prices of our common stock as reported on the New York Stock Exchange. The net asset value per share and high and low sales prices listed below reflect the 1:10 reverse stock split that occurred on August 12, 2010.</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 February 28, 2015</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NAV(1)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$21.41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$15.91</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$15.05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$22.00</w:t>
            </w:r>
          </w:p>
        </w:tc>
        <w:tc>
          <w:tcPr>
            <w:tcW w:w="28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$16.26</w:t>
            </w:r>
          </w:p>
        </w:tc>
        <w:tc>
          <w:tcPr>
            <w:tcW w:w="600" w:type="dxa"/>
            <w:vAlign w:val="bottom"/>
            <w:gridSpan w:val="2"/>
          </w:tcPr>
          <w:p>
            <w:pPr>
              <w:spacing w:after="0"/>
              <w:rPr>
                <w:sz w:val="20"/>
                <w:szCs w:val="20"/>
                <w:color w:val="auto"/>
              </w:rPr>
            </w:pPr>
            <w:r>
              <w:rPr>
                <w:rFonts w:ascii="Arial" w:cs="Arial" w:eastAsia="Arial" w:hAnsi="Arial"/>
                <w:sz w:val="18"/>
                <w:szCs w:val="18"/>
                <w:color w:val="auto"/>
              </w:rPr>
              <w:t>$15.15</w:t>
            </w:r>
          </w:p>
        </w:tc>
      </w:tr>
      <w:tr>
        <w:trPr>
          <w:trHeight w:val="216"/>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$22.45</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$16.32</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w:t>
            </w: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$22.70</w:t>
            </w:r>
          </w:p>
        </w:tc>
        <w:tc>
          <w:tcPr>
            <w:tcW w:w="280" w:type="dxa"/>
            <w:vAlign w:val="bottom"/>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$15.84</w:t>
            </w:r>
          </w:p>
        </w:tc>
        <w:tc>
          <w:tcPr>
            <w:tcW w:w="600" w:type="dxa"/>
            <w:vAlign w:val="bottom"/>
            <w:gridSpan w:val="2"/>
          </w:tcPr>
          <w:p>
            <w:pPr>
              <w:spacing w:after="0"/>
              <w:rPr>
                <w:sz w:val="20"/>
                <w:szCs w:val="20"/>
                <w:color w:val="auto"/>
              </w:rPr>
            </w:pPr>
            <w:r>
              <w:rPr>
                <w:rFonts w:ascii="Arial" w:cs="Arial" w:eastAsia="Arial" w:hAnsi="Arial"/>
                <w:sz w:val="18"/>
                <w:szCs w:val="18"/>
                <w:color w:val="auto"/>
              </w:rPr>
              <w:t>$14.44</w:t>
            </w:r>
          </w:p>
        </w:tc>
      </w:tr>
      <w:tr>
        <w:trPr>
          <w:trHeight w:val="364"/>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 February 29, 2016</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NAV(1)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$22.75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$17.95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$22.42</w:t>
            </w:r>
          </w:p>
        </w:tc>
        <w:tc>
          <w:tcPr>
            <w:tcW w:w="28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$17.68</w:t>
            </w:r>
          </w:p>
        </w:tc>
        <w:tc>
          <w:tcPr>
            <w:tcW w:w="600" w:type="dxa"/>
            <w:vAlign w:val="bottom"/>
            <w:gridSpan w:val="2"/>
          </w:tcPr>
          <w:p>
            <w:pPr>
              <w:spacing w:after="0"/>
              <w:rPr>
                <w:sz w:val="20"/>
                <w:szCs w:val="20"/>
                <w:color w:val="auto"/>
              </w:rPr>
            </w:pPr>
            <w:r>
              <w:rPr>
                <w:rFonts w:ascii="Arial" w:cs="Arial" w:eastAsia="Arial" w:hAnsi="Arial"/>
                <w:sz w:val="18"/>
                <w:szCs w:val="18"/>
                <w:color w:val="auto"/>
              </w:rPr>
              <w:t>$15.56</w:t>
            </w:r>
          </w:p>
        </w:tc>
      </w:tr>
      <w:tr>
        <w:trPr>
          <w:trHeight w:val="216"/>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$22.59</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$16.65</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$14.92</w:t>
            </w: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$22.06</w:t>
            </w:r>
          </w:p>
        </w:tc>
        <w:tc>
          <w:tcPr>
            <w:tcW w:w="280" w:type="dxa"/>
            <w:vAlign w:val="bottom"/>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$15.93</w:t>
            </w:r>
          </w:p>
        </w:tc>
        <w:tc>
          <w:tcPr>
            <w:tcW w:w="600" w:type="dxa"/>
            <w:vAlign w:val="bottom"/>
            <w:gridSpan w:val="2"/>
          </w:tcPr>
          <w:p>
            <w:pPr>
              <w:spacing w:after="0"/>
              <w:rPr>
                <w:sz w:val="20"/>
                <w:szCs w:val="20"/>
                <w:color w:val="auto"/>
              </w:rPr>
            </w:pPr>
            <w:r>
              <w:rPr>
                <w:rFonts w:ascii="Arial" w:cs="Arial" w:eastAsia="Arial" w:hAnsi="Arial"/>
                <w:sz w:val="18"/>
                <w:szCs w:val="18"/>
                <w:color w:val="auto"/>
              </w:rPr>
              <w:t>$13.50</w:t>
            </w:r>
          </w:p>
        </w:tc>
      </w:tr>
      <w:tr>
        <w:trPr>
          <w:trHeight w:val="364"/>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Fiscal Year ending February 28, 2017</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NAV(1)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2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First Quarter through May 16,</w:t>
            </w:r>
          </w:p>
        </w:tc>
        <w:tc>
          <w:tcPr>
            <w:tcW w:w="4740" w:type="dxa"/>
            <w:vAlign w:val="bottom"/>
            <w:tcBorders>
              <w:top w:val="single" w:sz="8" w:color="CCEEFF"/>
            </w:tcBorders>
            <w:shd w:val="clear" w:color="auto" w:fill="CCEEFF"/>
          </w:tcPr>
          <w:p>
            <w:pPr>
              <w:jc w:val="right"/>
              <w:ind w:right="4405"/>
              <w:spacing w:after="0"/>
              <w:rPr>
                <w:sz w:val="20"/>
                <w:szCs w:val="20"/>
                <w:color w:val="auto"/>
              </w:rPr>
            </w:pPr>
            <w:r>
              <w:rPr>
                <w:rFonts w:ascii="Arial" w:cs="Arial" w:eastAsia="Arial" w:hAnsi="Arial"/>
                <w:sz w:val="15"/>
                <w:szCs w:val="15"/>
                <w:color w:val="auto"/>
                <w:w w:val="71"/>
              </w:rPr>
              <w:t>2016</w:t>
            </w: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$16.84</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$14.03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determinable at the time of filing.</w:t>
      </w:r>
    </w:p>
    <w:p>
      <w:pPr>
        <w:spacing w:after="0" w:line="23" w:lineRule="exact"/>
        <w:rPr>
          <w:sz w:val="20"/>
          <w:szCs w:val="20"/>
          <w:color w:val="auto"/>
        </w:rPr>
      </w:pPr>
    </w:p>
    <w:p>
      <w:pPr>
        <w:ind w:left="460" w:hanging="452"/>
        <w:spacing w:after="0" w:line="290"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each period.</w:t>
      </w:r>
    </w:p>
    <w:p>
      <w:pPr>
        <w:spacing w:after="0" w:line="162"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As described in Note 2 to the consolidated financial statements and notes thereto, we identified errors that impacted the years ended February 28, 2014, February 28, 2013, and February 29, 2012. The corrections for the errors, which we have concluded are immaterial to all prior period consolidated financial statements, are reflected in the consolidated financial statements and selected consolidated financial data included in this Form 10-K.</w:t>
      </w:r>
    </w:p>
    <w:p>
      <w:pPr>
        <w:spacing w:after="0" w:line="14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On September 24, 2014, we announced the approval of an open market share repurchase plan that allows it to repurchase up to 200,000 shares of our common stock at prices below its NAV as reported in our then most recently published consolidated financial statements. As shown in the table below, as of February 29, 2016, we had purchased 25,417 shares of common stock pursuant to this repurchase plan. On October 7, 2015, our board of directors extended the open market share repurchase plan for another year and increased the number of shares we are permitted to repurchase at prices below our NAV, as reported in our then most recently published consolidated financial statements, to 400,000 shares of our common stock.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Total Number of Shares</w:t>
            </w: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(or Units) Purchased as</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Shares (or Units)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Yet</w:t>
            </w: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 Share</w:t>
            </w: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Be Purchased Under the Plans</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(or Unit)</w:t>
            </w:r>
          </w:p>
        </w:tc>
        <w:tc>
          <w:tcPr>
            <w:tcW w:w="2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Programs</w:t>
            </w: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March 1, 2015 through November 30,</w:t>
            </w:r>
          </w:p>
        </w:tc>
        <w:tc>
          <w:tcPr>
            <w:tcW w:w="10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15.59</w:t>
            </w:r>
          </w:p>
        </w:tc>
        <w:tc>
          <w:tcPr>
            <w:tcW w:w="2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December 1, 2015 through December</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31, 2015</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580"/>
              <w:spacing w:after="0"/>
              <w:rPr>
                <w:sz w:val="20"/>
                <w:szCs w:val="20"/>
                <w:color w:val="auto"/>
              </w:rPr>
            </w:pPr>
            <w:r>
              <w:rPr>
                <w:rFonts w:ascii="Arial" w:cs="Arial" w:eastAsia="Arial" w:hAnsi="Arial"/>
                <w:sz w:val="18"/>
                <w:szCs w:val="18"/>
                <w:color w:val="auto"/>
              </w:rPr>
              <w:t>2,500</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397,500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2016 through January 31,</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13.86</w:t>
            </w:r>
          </w:p>
        </w:tc>
        <w:tc>
          <w:tcPr>
            <w:tcW w:w="2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6,700</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February 1, 2016 through February</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29, 2016</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18,717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13.86</w:t>
            </w:r>
          </w:p>
        </w:tc>
        <w:tc>
          <w:tcPr>
            <w:tcW w:w="2060" w:type="dxa"/>
            <w:vAlign w:val="bottom"/>
            <w:gridSpan w:val="2"/>
          </w:tcPr>
          <w:p>
            <w:pPr>
              <w:jc w:val="right"/>
              <w:ind w:right="580"/>
              <w:spacing w:after="0"/>
              <w:rPr>
                <w:sz w:val="20"/>
                <w:szCs w:val="20"/>
                <w:color w:val="auto"/>
              </w:rPr>
            </w:pPr>
            <w:r>
              <w:rPr>
                <w:rFonts w:ascii="Arial" w:cs="Arial" w:eastAsia="Arial" w:hAnsi="Arial"/>
                <w:sz w:val="18"/>
                <w:szCs w:val="18"/>
                <w:color w:val="auto"/>
              </w:rPr>
              <w:t>25,417</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374,583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25,417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14.03</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last reported price for our common stock on May 16, 2016 was $16.25 per share. As of May 16, 2016, there were 20 holders of record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dividends or distributions declared during fiscal 2009, 2010, 2011, 2012, 2013, 2014, 2015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4"/>
                <w:szCs w:val="14"/>
                <w:color w:val="auto"/>
              </w:rPr>
            </w:pPr>
          </w:p>
        </w:tc>
        <w:tc>
          <w:tcPr>
            <w:tcW w:w="14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Payment Date</w:t>
            </w:r>
          </w:p>
        </w:tc>
        <w:tc>
          <w:tcPr>
            <w:tcW w:w="38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22, 2008</w:t>
            </w:r>
          </w:p>
        </w:tc>
        <w:tc>
          <w:tcPr>
            <w:tcW w:w="9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May 30, 2008</w:t>
            </w:r>
          </w:p>
        </w:tc>
        <w:tc>
          <w:tcPr>
            <w:tcW w:w="3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June 13, 2008</w:t>
            </w: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August 19, 2008</w:t>
            </w:r>
          </w:p>
        </w:tc>
        <w:tc>
          <w:tcPr>
            <w:tcW w:w="2420" w:type="dxa"/>
            <w:vAlign w:val="bottom"/>
            <w:gridSpan w:val="2"/>
          </w:tcPr>
          <w:p>
            <w:pPr>
              <w:ind w:left="980"/>
              <w:spacing w:after="0"/>
              <w:rPr>
                <w:sz w:val="20"/>
                <w:szCs w:val="20"/>
                <w:color w:val="auto"/>
              </w:rPr>
            </w:pPr>
            <w:r>
              <w:rPr>
                <w:rFonts w:ascii="Arial" w:cs="Arial" w:eastAsia="Arial" w:hAnsi="Arial"/>
                <w:sz w:val="18"/>
                <w:szCs w:val="18"/>
                <w:color w:val="auto"/>
              </w:rPr>
              <w:t>August 29, 2008</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w w:val="87"/>
              </w:rPr>
              <w:t>September 15, 2008</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8, 2008</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9"/>
              </w:rPr>
              <w:t>December 18, 2008</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29, 2008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2009</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13, 2009</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9"/>
              </w:rPr>
              <w:t>November 25, 2009</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31, 2009</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18.25(1)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2010</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12, 2010</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9"/>
              </w:rPr>
              <w:t>November 19, 2010</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29, 2010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2011</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15, 2011</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9"/>
              </w:rPr>
              <w:t>November 25, 2011</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30, 2011</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2012</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9, 2012</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9"/>
              </w:rPr>
              <w:t>November 20, 2012</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31, 2012</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Dividends Declared for Fiscal 2013</w:t>
            </w: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30, 2013</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9"/>
              </w:rPr>
              <w:t>November 13, 2013</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27, 2013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Dividends Declared for Fiscal 2014</w:t>
            </w: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24, 2014</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October 30, 2014</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November 28, 2014</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September 24, 2014</w:t>
            </w:r>
          </w:p>
        </w:tc>
        <w:tc>
          <w:tcPr>
            <w:tcW w:w="2420" w:type="dxa"/>
            <w:vAlign w:val="bottom"/>
            <w:gridSpan w:val="2"/>
          </w:tcPr>
          <w:p>
            <w:pPr>
              <w:ind w:left="980"/>
              <w:spacing w:after="0"/>
              <w:rPr>
                <w:sz w:val="20"/>
                <w:szCs w:val="20"/>
                <w:color w:val="auto"/>
              </w:rPr>
            </w:pPr>
            <w:r>
              <w:rPr>
                <w:rFonts w:ascii="Arial" w:cs="Arial" w:eastAsia="Arial" w:hAnsi="Arial"/>
                <w:sz w:val="18"/>
                <w:szCs w:val="18"/>
                <w:color w:val="auto"/>
              </w:rPr>
              <w:t>January 29, 2015</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w w:val="96"/>
              </w:rPr>
              <w:t>February 27, 2015</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0.22(1)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 for Fiscal 2015</w:t>
            </w: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00" w:type="dxa"/>
            <w:vAlign w:val="bottom"/>
            <w:gridSpan w:val="3"/>
            <w:vMerge w:val="restart"/>
          </w:tcPr>
          <w:p>
            <w:pPr>
              <w:spacing w:after="0"/>
              <w:rPr>
                <w:sz w:val="20"/>
                <w:szCs w:val="20"/>
                <w:color w:val="auto"/>
              </w:rPr>
            </w:pPr>
            <w:r>
              <w:rPr>
                <w:rFonts w:ascii="Arial" w:cs="Arial" w:eastAsia="Arial" w:hAnsi="Arial"/>
                <w:sz w:val="18"/>
                <w:szCs w:val="18"/>
                <w:color w:val="auto"/>
              </w:rPr>
              <w:t>April 9, 2015</w:t>
            </w:r>
          </w:p>
        </w:tc>
        <w:tc>
          <w:tcPr>
            <w:tcW w:w="2420" w:type="dxa"/>
            <w:vAlign w:val="bottom"/>
            <w:gridSpan w:val="2"/>
            <w:vMerge w:val="restart"/>
          </w:tcPr>
          <w:p>
            <w:pPr>
              <w:ind w:left="980"/>
              <w:spacing w:after="0"/>
              <w:rPr>
                <w:sz w:val="20"/>
                <w:szCs w:val="20"/>
                <w:color w:val="auto"/>
              </w:rPr>
            </w:pPr>
            <w:r>
              <w:rPr>
                <w:rFonts w:ascii="Arial" w:cs="Arial" w:eastAsia="Arial" w:hAnsi="Arial"/>
                <w:sz w:val="18"/>
                <w:szCs w:val="18"/>
                <w:color w:val="auto"/>
              </w:rPr>
              <w:t>May 4, 2015</w:t>
            </w:r>
          </w:p>
        </w:tc>
        <w:tc>
          <w:tcPr>
            <w:tcW w:w="1820" w:type="dxa"/>
            <w:vAlign w:val="bottom"/>
            <w:gridSpan w:val="2"/>
            <w:vMerge w:val="restart"/>
          </w:tcPr>
          <w:p>
            <w:pPr>
              <w:ind w:left="380"/>
              <w:spacing w:after="0"/>
              <w:rPr>
                <w:sz w:val="20"/>
                <w:szCs w:val="20"/>
                <w:color w:val="auto"/>
              </w:rPr>
            </w:pPr>
            <w:r>
              <w:rPr>
                <w:rFonts w:ascii="Arial" w:cs="Arial" w:eastAsia="Arial" w:hAnsi="Arial"/>
                <w:sz w:val="18"/>
                <w:szCs w:val="18"/>
                <w:color w:val="auto"/>
              </w:rPr>
              <w:t>May 29, 2015</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0.27(1)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14, 2015</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May 26, 2015</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June 5, 2015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July 8, 2015</w:t>
            </w:r>
          </w:p>
        </w:tc>
        <w:tc>
          <w:tcPr>
            <w:tcW w:w="2420" w:type="dxa"/>
            <w:vAlign w:val="bottom"/>
            <w:gridSpan w:val="2"/>
          </w:tcPr>
          <w:p>
            <w:pPr>
              <w:ind w:left="980"/>
              <w:spacing w:after="0"/>
              <w:rPr>
                <w:sz w:val="20"/>
                <w:szCs w:val="20"/>
                <w:color w:val="auto"/>
              </w:rPr>
            </w:pPr>
            <w:r>
              <w:rPr>
                <w:rFonts w:ascii="Arial" w:cs="Arial" w:eastAsia="Arial" w:hAnsi="Arial"/>
                <w:sz w:val="18"/>
                <w:szCs w:val="18"/>
                <w:color w:val="auto"/>
              </w:rPr>
              <w:t>August 3, 2015</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August 31, 2015</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7, 2015</w:t>
            </w:r>
          </w:p>
        </w:tc>
        <w:tc>
          <w:tcPr>
            <w:tcW w:w="2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5"/>
              </w:rPr>
              <w:t>November 2, 2015</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November 30, 2015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January 12, 2016</w:t>
            </w:r>
          </w:p>
        </w:tc>
        <w:tc>
          <w:tcPr>
            <w:tcW w:w="2420" w:type="dxa"/>
            <w:vAlign w:val="bottom"/>
            <w:gridSpan w:val="2"/>
          </w:tcPr>
          <w:p>
            <w:pPr>
              <w:ind w:left="980"/>
              <w:spacing w:after="0"/>
              <w:rPr>
                <w:sz w:val="20"/>
                <w:szCs w:val="20"/>
                <w:color w:val="auto"/>
              </w:rPr>
            </w:pPr>
            <w:r>
              <w:rPr>
                <w:rFonts w:ascii="Arial" w:cs="Arial" w:eastAsia="Arial" w:hAnsi="Arial"/>
                <w:sz w:val="18"/>
                <w:szCs w:val="18"/>
                <w:color w:val="auto"/>
              </w:rPr>
              <w:t>February 1, 2016</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w w:val="96"/>
              </w:rPr>
              <w:t>February 29, 2016</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0.40(1)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 for Fiscal 2016</w:t>
            </w: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dividend was paid by combination of shares of common stock and cash. Please see the discussion immediately following this table for more detail about the composition of this dividend.</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distributions, if any, will be determined by our board of directors and paid out of assets legally available for distribution. Any such distributions generally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thereafter, paid five annual dividend distributions (December 2013, 2012, 2011, 2010 and 2009) to our stockholders since such time, which distributions were made with a combination of cash and the issuance of shares of our common stock as discussed more fully below.</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24, 2014, we announced the recommencement of quarterly dividends to our stockholders. 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19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are prohibited from making distributions that cause us to fail to maintain the asset coverage ratios stipulated by the 1940 Act, subject to certain exceptions, or that violate our debt covenants.</w:t>
      </w:r>
    </w:p>
    <w:p>
      <w:pPr>
        <w:spacing w:after="0" w:line="17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ind w:right="140" w:firstLine="8"/>
        <w:spacing w:after="0" w:line="271"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2015 calendar year, the Company made distributions sufficient such that we did not incur any federal excise taxes. We may elect to withhold from distribution a portion of our ordinary income for the 2016 calendar year and/or portion of the capital gains in excess of capital losses realized during the one year period ending October 31, 2016, if any, and, if we do so, we would expect to incur federal excise taxes as a result.</w:t>
      </w:r>
    </w:p>
    <w:p>
      <w:pPr>
        <w:spacing w:after="0" w:line="17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Pursuant to a revenue procedure (Revenue Procedure 2010-12), or the Revenue Procedure, issued by the Internal Revenue Service, or IRS, the IRS indicated that it would treat distributions from certain publicly traded RICs (including BDCs) that were paid part in cash and part in stock as dividends that would satisfy the RIC’s annual distribution requirements and qualify for the dividends paid deduction for federal income tax purposes. In order to qualify for such treatment, the Revenue Procedure required that at least 10.0% of the total distribution be payable in cash and that each stockholder have a right to elect to receive its entire distribution in cash. If too many stockholders elected to receive cash, each stockholder electing to receive cash must receive a proportionate share of the cash to be distributed (although no stockholder electing to receive cash may receive less than 10.0% of such stockholder’s distribution in cash). This Revenue Procedure applied to distributions declared on or before December 31, 2012 with respect to taxable years ending on or before December 31, 2011.</w:t>
      </w:r>
    </w:p>
    <w:p>
      <w:pPr>
        <w:spacing w:after="0" w:line="19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Although this Revenue Procedure is no longer available and did not apply to our distributions for our fiscal year ended February 29, 2016, the revenue procedure was based upon certain applicable provisions of the Code and the Treasury regulations pursuant to which distributions payable in cash or in shares of stock at the election of stockholders are treated as taxable dividends. Consistent with these provisions, the IRS has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September 24, 2014, we announced the approval of an open market share repurchase plan that allows us to repurchase up to 200,000 shares of our common stock at prices below our NAV as reported in its then most recently published consolidated financial statements. As of February 29, 2016, we purchased 25,417 shares of common stock, at the average price of $14.03, for approximately $0.4 million pursuant to this repurchase plan. On October 7, 2015, the our board of directors extended the open market share repurchase plan for another year and increased the number of shares we are permitted to repurchase at prices below our NAV, as reported in its then most recently published consolidated financial statements, to 400,000 shares of our common stock.</w:t>
      </w:r>
    </w:p>
    <w:p>
      <w:pPr>
        <w:spacing w:after="0" w:line="15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On March 31, 2016, our board of directors declared a dividend of $0.41 per share payable on April 27, 2016, to common stockholders of record on April 15, 2016. Shareholders had the option to receive payment of the dividend in cash, or receive shares of common stock, pursuant our DRIP.</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8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On January 12, 2016, our board of directors declared a dividend of $0.40 per share payable on February 29, 2016, to all stockholders of record on February 1, 2016. Shareholders had the option to receive payment of the dividend in cash, or receive shares of common stock, pursuant to our DRIP.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$1.4 million in cash and 66,764 newly issued shares of common stock, or 1.2% of our outstanding common stock prior to the dividend payment. The number of shares of common stock comprising the stock portion was calculated based on a price of $13.11 per share, which equaled the volume weighted average trading price per share of the common stock on February 16, 17, 18, 19, 22, 23, 24, 25, 26 and 29, 2016.</w:t>
      </w:r>
    </w:p>
    <w:p>
      <w:pPr>
        <w:spacing w:after="0" w:line="18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On October 7, 2015, our board of directors declared a dividend of $0.36 per share payable on November 30, 2015, to common stockholders of record on November 2, 2015. Shareholders had the option to receive payment of the dividend in cash, or receive shares of common stock, pursuant our DRIP.</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$1.1 million in cash and 61,029 newly issued shares of common stock, or 1.1% of our outstanding common stock prior to the dividend payment. The number of shares of common stock comprising the stock portion was calculated based on a price of $14.53 per share, which equaled the volume weighted average trading price per share of the common stock on November 16, 17, 18, 19, 20, 23, 24, 25, 27 and 30, 2015.</w:t>
      </w:r>
    </w:p>
    <w:p>
      <w:pPr>
        <w:spacing w:after="0" w:line="18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On July 8, 2015, our board of directors declared a dividend of $0.33 per share payable on August 31, 2015, to common stockholders of record on August 3, 2015. Shareholders had the option to receive payment of the dividend in cash, or receive shares of common stock, pursuant our DRIP.</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$1.1 million in cash and 47,861 newly issued shares of common stock, or 0.9% of our outstanding common stock prior to the dividend payment. The number of shares of common stock comprising the stock portion was calculated based on a price of $15.28 per share, which equaled the volume weighted average trading price per share of the common stock on August 18, 19, 20, 21, 24, 25, 26, 27, 28 and 31, 2015.</w:t>
      </w:r>
    </w:p>
    <w:p>
      <w:pPr>
        <w:spacing w:after="0" w:line="18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On May 14, 2015, our board of directors declared a special dividend of $1.00 per share payable on June 5, 2015, to common stockholders of record on May 26, 2015. Shareholders had the option to receive payment of the dividend in cash, or receive shares of common stock, pursuant our DRIP.</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$3.4 million in cash and 126,230 newly issued shares of common stock, or 2.3% of our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8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April 9, 2015, our board of directors declared a dividend of $0.27 per share payable on May 29, 2015, to common stockholders of record on May 4, 2015. Shareholders had the option to receive payment of the dividend in cash, or receive shares of common stock, pursuant our DRIP.</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$0.9 million in cash and 33,766 newly issued shares of common stock, or 0.6% of our outstanding common stock prior to the dividend payment. The number of shares of common stock comprising the stock portion was calculated based on a price of $16.78 per share, which equaled the volume weighted average trading price per share of the common stock on May 15, 18, 19, 20, 21, 22, 26, 27, 28 and 29, 2015.</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September 24, 2014, our board of directors declared a dividend of $0.22 per share payable on February 27, 2015, to common stockholders of record on February 2, 2015. Shareholders have the option to receive payment of the dividend in cash, or receive shares of common stock, pursuant to our DRIP.</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On September 24, 2014, our board of directors declared a dividend of $0.18 per share payable on November 28, 2014, to common stockholders of record on November 3, 2014. Shareholders had the option to receive payment of the dividend in cash, or receive shares of common stock pursuant to our DRIP.</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$13.12 per share, which equaled the volume weighted average trading price per share of the common stock on December 20, 21 and 22, 2011.</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November 12, 2010, we declared a dividend of $4.40 per share which was paid on December 29, 2010. Stockholders had the option to receive payment of the dividend in cash, shares of common stock, or a combination of cash and shares of common stock, provided that the aggregate cash payable to all shareholders was limited to $1.2 million or $0.44 per share.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November 13, 2009, we declared a dividend of $18.25 per share payable on December 31, 2009. Stockholders had the option to receive payment of the dividend in cash, shares of common stock, or a combination of cash and shares of common stock, provided that the aggregate cash payable to all stockholders was limited to $2.1 million or $0.25 per share.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stockholder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stockholders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following graph compares the return on our common stock with that of the Standard &amp; Poor’s 500 Stock Index and the NASDAQ Financial 100 index, for the period from March 23, 2007, the date our common stock began trading, through February 29, 2016. The graph assumes that, on March 23, 2007, a person invested $100 in each of our common stock, the Standard &amp; Poor’s 500 Stock Index and the NASDAQ Financial 100 index. The graph measures total shareholder return, which takes into account both changes in stock price and dividends. It assumes that dividends paid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146050</wp:posOffset>
            </wp:positionV>
            <wp:extent cx="5351145" cy="2349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5114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purchased 25,417 shares of our common stock in the open market during the year ended February 29,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selected financial and other data for the years ended February 29, 2016, February 28, 2015, February 28, 2014, February 28, 2013, and February 29, 2012 are derived from our consolidated financial statements which have been audited by Ernst &amp; Young LLP, an independent registered public accounting firm, whose report thereon is included within this Annual Report. The data should be read in conjunction with our consolidated financial statements and notes thereto, which are included elsewhere in this Annual Report, and Part II, Item 7, “Management’s Discussion and Analysis of Financial Condition and Results of Operations”.</w:t>
      </w:r>
    </w:p>
    <w:p>
      <w:pPr>
        <w:spacing w:after="0" w:line="188"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As described in Note 2 to the consolidated financial statements and notes thereto, we identified errors that impacted the years ended February 28, 2014, February 28, 2013, and February 29, 2012. The corrections for the errors, which we have concluded are immaterial to all prior period consolidated financial statements, are reflected in the consolidated financial statements and selected financial data included in this Form 10-K.</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numbers)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0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29,</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28,</w:t>
            </w:r>
          </w:p>
        </w:tc>
        <w:tc>
          <w:tcPr>
            <w:tcW w:w="2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28,</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28,</w:t>
            </w:r>
          </w:p>
        </w:tc>
        <w:tc>
          <w:tcPr>
            <w:tcW w:w="2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29,</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26,871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24,684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Management fee and other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investment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22,893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debt financing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8,456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6,084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Base management and incentive management fees(1)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6,761</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6,704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Administrator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Administrative and other</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2,866</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2,669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Excise tax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14,019</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10,678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8,874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w w:val="95"/>
              </w:rPr>
              <w:t>Realized and unrealized gain (loss) on investments and derivatives:</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(loss) from investments and derivatives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02"/>
        </w:trPr>
        <w:tc>
          <w:tcPr>
            <w:tcW w:w="5140" w:type="dxa"/>
            <w:vAlign w:val="bottom"/>
          </w:tcPr>
          <w:p>
            <w:pPr>
              <w:ind w:left="360"/>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540"/>
              <w:spacing w:after="0"/>
              <w:rPr>
                <w:sz w:val="20"/>
                <w:szCs w:val="20"/>
                <w:color w:val="auto"/>
              </w:rPr>
            </w:pPr>
            <w:r>
              <w:rPr>
                <w:rFonts w:ascii="Arial" w:cs="Arial" w:eastAsia="Arial" w:hAnsi="Arial"/>
                <w:sz w:val="18"/>
                <w:szCs w:val="18"/>
                <w:color w:val="auto"/>
              </w:rPr>
              <w:t>investments and derivatives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gain (loss) on investments and derivatives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Net increase in net assets resulting from operations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8,497</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351"/>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Year Ended</w:t>
            </w:r>
          </w:p>
        </w:tc>
        <w:tc>
          <w:tcPr>
            <w:tcW w:w="13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Year Ended</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0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29,</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28,</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28,</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29,</w:t>
            </w:r>
          </w:p>
        </w:tc>
      </w:tr>
      <w:tr>
        <w:trPr>
          <w:trHeight w:val="171"/>
        </w:trPr>
        <w:tc>
          <w:tcPr>
            <w:tcW w:w="5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Earnings per common share—basic and diluted(2)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share—basic and diluted(2)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Net realized and unrealized gain (loss) per share—basic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diluted(2)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 (3)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8"/>
              </w:rPr>
              <w:t>Dilutive impact of dividends paid in stock on net asset value per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share (4)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(0.37)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24.94</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Consolidated Statements of Assets and Liabilities Data:</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Investment assets at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283,996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240,538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205,845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155,080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95,360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assets (5)</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295,047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263,560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215,168</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172,321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124,291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 (5)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160,749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94,291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58,210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18,801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net assets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125,150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122,599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113,428</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107,438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96,689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24.94</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Common shares outstanding at end of year</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5,672,227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5,401,899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5,379,616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4,730,116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3,876,661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Investments funded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109,191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104,872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121,074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71,596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38,679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collections related to investment repayments or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68,174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73,257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71,607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21,488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Number of investments at year end</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income producing debt investments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—Non-control/non-affiliate</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9"/>
              </w:rPr>
              <w:t>Weighted average yield on income producing debt investments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—Control</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6 to the consolidated financial statements contained elsewhere herein.</w:t>
      </w:r>
    </w:p>
    <w:p>
      <w:pPr>
        <w:spacing w:after="0" w:line="23"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the years ended February 29, 2016, February 28, 2015, February 28, 2014, February 28, 2013, and February 29, 2012 amounts are calculated using weighted average common shares outstanding of 5,582,453, 5,385,049, 4,920,517, 4,110,484, and 3,434,345, respectively.</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using the shares outstanding at the ex-dividend date.</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Dilutive effect of the issuance of shares of common stock below net asset value per share in connection with the satisfaction of the Company’s annual RIC distribution requirement. See “Price Range of Common Stock and Distributions—Dividend Policy.”</w:t>
      </w:r>
    </w:p>
    <w:p>
      <w:pPr>
        <w:ind w:left="460" w:right="40" w:hanging="452"/>
        <w:spacing w:after="0" w:line="270"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As described in Note 2 to the consolidated financial statements and notes thereto, the Company has adopted the provisions of ASU 2015-03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Imputation of Interest (Subtopic 835-30): Simplifying the Presentation of Debt Issuance Costs</w:t>
      </w:r>
      <w:r>
        <w:rPr>
          <w:rFonts w:ascii="Arial" w:cs="Arial" w:eastAsia="Arial" w:hAnsi="Arial"/>
          <w:sz w:val="17"/>
          <w:szCs w:val="17"/>
          <w:color w:val="auto"/>
        </w:rPr>
        <w:t>, as of February 28, 2015. The amendments in this ASU</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that debt issuance costs related to a recognized debt liability be presented in the balance sheet as a direct deduction from the carrying amount of that debt liability consistent with debt discounts. The adoption of the provisions of ASU 2015-03 did not materially impact the Company’s consolidated financial position or results of operations. Prior period amounts for the years ended February 28, 2014, February 28, 2013, and February 29, 2012 were reclassified to conform to the current period presentation.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and other financial information appearing elsewhere in this Annual Report on Form 10-K.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Part I, Item 1A. “Risk Factors” and “Note about Forward-Looking Statements” appearing elsewhere herein.</w:t>
      </w:r>
    </w:p>
    <w:p>
      <w:pPr>
        <w:spacing w:after="0" w:line="1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contained in this Annual Report on Form 10-K involve risks and uncertainties, including statements as to:</w:t>
      </w:r>
    </w:p>
    <w:p>
      <w:pPr>
        <w:spacing w:after="0" w:line="131"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660" w:right="340" w:hanging="206"/>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Annual Report on Form 10-K relate only to events as of the date on which the statements are made. We undertake no obligation to update any forward-looking statement to reflect events or circumstances occurring after the date of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Maryland corporation that has elected to be treated as a Business Development Company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$2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RIC under Subchapter M of the Internal Revenue Code of 1986, as amended (the “Code”).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117"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an SBIC license from the Small Business Administration (“SBA”).</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17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May 29, 2015, we entered into a Debt Distribution Agreement with Landenburg Thalmann &amp; Co. through which we may offer for sale, from time to time, up to $20.0 million in aggregate principal amount of the Notes through an At-the-Market (“ATM”) offering. As of February 29, 2016, the Company sold 539,725 bonds with a principal of $13,493,125 at an average price of $25.31 for aggregate net proceeds of $13,385,766 (net of transaction costs).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(“U.S. GAAP”) requires management to make certain estimates and assumptions affecting amounts reported in the Company’s consolidated financial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5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660" w:right="760" w:hanging="20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660" w:right="60" w:hanging="206"/>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660" w:right="700" w:hanging="206"/>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Interest income, adjusted for amortization of premium and accretion of discount, is recorded on an accrual basis to the extent that such amounts are expected to be collected. The Company stops accruing interest on its investments when it is determined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Paid-in-Kind Interest</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9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primary operating expenses include the payment of investment advisory and management fees, professional fees, directors and officers insurance, fees paid to independent directors and administrator expenses, including our allocable portion of our</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29"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an incentive fee.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660" w:hanging="206"/>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98" w:lineRule="exact"/>
        <w:rPr>
          <w:rFonts w:ascii="Arial" w:cs="Arial" w:eastAsia="Arial" w:hAnsi="Arial"/>
          <w:sz w:val="18"/>
          <w:szCs w:val="18"/>
          <w:color w:val="auto"/>
        </w:rPr>
      </w:pPr>
    </w:p>
    <w:p>
      <w:pPr>
        <w:jc w:val="both"/>
        <w:ind w:left="660" w:right="200" w:hanging="206"/>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deferred cash payment of any incentive fee otherwise earned by our former investment adviser if, during the then most recent four full fiscal quarters ending on or prior to the date such payment was to be made, the sum of (a) our aggregate distributions to our stockholders and (b) our change in net assets (defined as total assets less liabilities) (before taking into account any incentive fees payable during that period) was less than 7.5% of our net assets at the beginning of such period. These calculations were appropriately pro-rated for the first three fiscal quarters of operation and adjusted for any share issuances or repurchases during the</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applicable period. Such incentive fee would become payable on the next date on which such test had been satisfied for the most recent four full fiscal quarters or upon certain terminations of the investment advisory and management agreement. We commenced deferring cash payment of incentive fees during the quarterly period ended August 31, 2007, and continued to defer such payments through the quarterly period ended May 31, 2010. As of July 30, 2010, the date on which GSCP (NJ), L.P. ceased to be our investment adviser and administrator, we owed GSCP (NJ), L.P. $2.9 million in fees for services previously provided to us; of which $0.3 million has been paid by us. GSCP (NJ), L.P. agreed to waive payment by us of the remaining $2.6 million in connection with the consummation of the stock purchase transaction with Saratoga Investment Advisors and certain of its affiliates described elsewhere in this Annual Report.</w:t>
      </w:r>
    </w:p>
    <w:p>
      <w:pPr>
        <w:spacing w:after="0" w:line="16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660" w:right="120" w:hanging="206"/>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98" w:lineRule="exact"/>
        <w:rPr>
          <w:rFonts w:ascii="Arial" w:cs="Arial" w:eastAsia="Arial" w:hAnsi="Arial"/>
          <w:sz w:val="18"/>
          <w:szCs w:val="18"/>
          <w:color w:val="auto"/>
        </w:rPr>
      </w:pPr>
    </w:p>
    <w:p>
      <w:pPr>
        <w:ind w:left="660" w:hanging="206"/>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8"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January 2016, the Financial Accounting Standards Board (“FASB”) issued Accounting Standards Update (“ASU”) 2016-01, </w:t>
      </w:r>
      <w:r>
        <w:rPr>
          <w:rFonts w:ascii="Arial" w:cs="Arial" w:eastAsia="Arial" w:hAnsi="Arial"/>
          <w:sz w:val="16"/>
          <w:szCs w:val="16"/>
          <w:i w:val="1"/>
          <w:iCs w:val="1"/>
          <w:color w:val="auto"/>
        </w:rPr>
        <w:t>Financial Instruments</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 Overall (Subtopic 825-10): Recognition and Measurement of Financial Assets and Financial Liabilities </w:t>
      </w:r>
      <w:r>
        <w:rPr>
          <w:rFonts w:ascii="Arial" w:cs="Arial" w:eastAsia="Arial" w:hAnsi="Arial"/>
          <w:sz w:val="17"/>
          <w:szCs w:val="17"/>
          <w:color w:val="auto"/>
        </w:rPr>
        <w:t>(“ASU 2016-01”). ASU 2016-01 retains many</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requirements for the classification and measurement of financial instruments; however, it significantly revises an entity’s accounting related to (1) the classification and measurement of investments in equity securities and (2) 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our consolidated financial statements and disclosures.</w:t>
      </w:r>
    </w:p>
    <w:p>
      <w:pPr>
        <w:spacing w:after="0" w:line="17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In August 2015, the FASB issued ASU 2015-15, </w:t>
      </w:r>
      <w:r>
        <w:rPr>
          <w:rFonts w:ascii="Arial" w:cs="Arial" w:eastAsia="Arial" w:hAnsi="Arial"/>
          <w:sz w:val="17"/>
          <w:szCs w:val="17"/>
          <w:i w:val="1"/>
          <w:iCs w:val="1"/>
          <w:color w:val="auto"/>
        </w:rPr>
        <w:t>Interest—Imputation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Associated with Line-of-Credit Arrangements </w:t>
      </w:r>
      <w:r>
        <w:rPr>
          <w:rFonts w:ascii="Arial" w:cs="Arial" w:eastAsia="Arial" w:hAnsi="Arial"/>
          <w:sz w:val="17"/>
          <w:szCs w:val="17"/>
          <w:color w:val="auto"/>
        </w:rPr>
        <w:t xml:space="preserve">(“ASU 2015-15”). ASU 2015-15 updates the accounting guidance included in ASU 2015-03, </w:t>
      </w:r>
      <w:r>
        <w:rPr>
          <w:rFonts w:ascii="Arial" w:cs="Arial" w:eastAsia="Arial" w:hAnsi="Arial"/>
          <w:sz w:val="17"/>
          <w:szCs w:val="17"/>
          <w:i w:val="1"/>
          <w:iCs w:val="1"/>
          <w:color w:val="auto"/>
        </w:rPr>
        <w:t>Interest—Imputation of Interest (Subtopic 835-30): Simplifying the Presentation of Debt Issuance Costs.</w:t>
      </w:r>
      <w:r>
        <w:rPr>
          <w:rFonts w:ascii="Arial" w:cs="Arial" w:eastAsia="Arial" w:hAnsi="Arial"/>
          <w:sz w:val="17"/>
          <w:szCs w:val="17"/>
          <w:color w:val="auto"/>
        </w:rPr>
        <w:t xml:space="preserve"> The updated accounting guidance provided by ASU 2015-15 was the result of the Emerging Issues Task Force meeting, held on June 18, 2015, at which the SEC staff stated that the SEC would not object to an entity deferring and presenting costs related to revolving debt arrangements as an asset. As the Company previously adopted the provisions of ASU 2015-03 and reclassified all deferred debt financing costs from within total assets to within total liabilities as a contra-liability effective as of February 28, 2015, it has chosen not to avail itself of the updated accounting treatment provided by ASU 2015-15 and continues to include all deferred financing costs as a contra-liability within total liabilities.</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(ASC Topic 810): Amendments to the Consolidation Analysis</w:t>
      </w:r>
      <w:r>
        <w:rPr>
          <w:rFonts w:ascii="Arial" w:cs="Arial" w:eastAsia="Arial" w:hAnsi="Arial"/>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does not believe these changes will have a material impact on the Company’s consolidated financial statements and disclosures.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In May 2014, the FASB issued Accounting Standards Update (“ASU”) </w:t>
      </w:r>
      <w:r>
        <w:rPr>
          <w:rFonts w:ascii="Arial" w:cs="Arial" w:eastAsia="Arial" w:hAnsi="Arial"/>
          <w:sz w:val="16"/>
          <w:szCs w:val="16"/>
          <w:i w:val="1"/>
          <w:iCs w:val="1"/>
          <w:color w:val="auto"/>
        </w:rPr>
        <w:t>2014-09, Revenue from Contracts with Customers (Topic 606)</w:t>
      </w:r>
      <w:r>
        <w:rPr>
          <w:rFonts w:ascii="Arial" w:cs="Arial" w:eastAsia="Arial" w:hAnsi="Arial"/>
          <w:sz w:val="16"/>
          <w:szCs w:val="16"/>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Management is currently evaluating the impact these changes will have on the Company’s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At February 29,</w:t>
            </w: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At February 28,</w:t>
            </w:r>
          </w:p>
        </w:tc>
        <w:tc>
          <w:tcPr>
            <w:tcW w:w="22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At February 28,</w:t>
            </w:r>
          </w:p>
        </w:tc>
      </w:tr>
      <w:tr>
        <w:trPr>
          <w:trHeight w:val="171"/>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62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0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3.8yrs</w:t>
            </w: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3.7yrs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4.3yrs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97.9(40.0)%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82.5(40.6)%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70.6(40.1)%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1620" w:type="dxa"/>
            <w:vAlign w:val="bottom"/>
            <w:gridSpan w:val="3"/>
          </w:tcPr>
          <w:p>
            <w:pPr>
              <w:spacing w:after="0"/>
              <w:rPr>
                <w:sz w:val="20"/>
                <w:szCs w:val="20"/>
                <w:color w:val="auto"/>
              </w:rPr>
            </w:pPr>
            <w:r>
              <w:rPr>
                <w:rFonts w:ascii="Arial" w:cs="Arial" w:eastAsia="Arial" w:hAnsi="Arial"/>
                <w:sz w:val="18"/>
                <w:szCs w:val="18"/>
                <w:color w:val="auto"/>
              </w:rPr>
              <w:t>$ 146.8(60.0)%</w:t>
            </w:r>
          </w:p>
        </w:tc>
        <w:tc>
          <w:tcPr>
            <w:tcW w:w="1380" w:type="dxa"/>
            <w:vAlign w:val="bottom"/>
            <w:gridSpan w:val="3"/>
          </w:tcPr>
          <w:p>
            <w:pPr>
              <w:spacing w:after="0"/>
              <w:rPr>
                <w:sz w:val="20"/>
                <w:szCs w:val="20"/>
                <w:color w:val="auto"/>
              </w:rPr>
            </w:pPr>
            <w:r>
              <w:rPr>
                <w:rFonts w:ascii="Arial" w:cs="Arial" w:eastAsia="Arial" w:hAnsi="Arial"/>
                <w:sz w:val="18"/>
                <w:szCs w:val="18"/>
                <w:color w:val="auto"/>
              </w:rPr>
              <w:t>$ 120.8(59.4)%</w:t>
            </w:r>
          </w:p>
        </w:tc>
        <w:tc>
          <w:tcPr>
            <w:tcW w:w="1420" w:type="dxa"/>
            <w:vAlign w:val="bottom"/>
            <w:gridSpan w:val="4"/>
          </w:tcPr>
          <w:p>
            <w:pPr>
              <w:ind w:left="220"/>
              <w:spacing w:after="0"/>
              <w:rPr>
                <w:sz w:val="20"/>
                <w:szCs w:val="20"/>
                <w:color w:val="auto"/>
              </w:rPr>
            </w:pPr>
            <w:r>
              <w:rPr>
                <w:rFonts w:ascii="Arial" w:cs="Arial" w:eastAsia="Arial" w:hAnsi="Arial"/>
                <w:sz w:val="18"/>
                <w:szCs w:val="18"/>
                <w:color w:val="auto"/>
                <w:w w:val="95"/>
              </w:rPr>
              <w:t>$ 105.4(59.9)%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equity interests.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During the fiscal year ended February 29, 2016, we invested $109.2 million in new or existing portfolio companies and had $68.2 million in aggregate amount of exits and repayments resulting in net investments of $41.0 million for the year.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During the fiscal year ended February 28, 2015, we invested $104.9 million in new or existing portfolio companies and had $73.3 million in aggregate amount of exits and repayments resulting in net investments of $31.6 million for the year.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During the fiscal year ended February 28, 2014, we invested $121.1 million in new or existing portfolio companies and had $71.6 million in aggregate amount of exits and repayments resulting in net investments of $49.5 million for the year.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at February 29, 2016, February 28, 2015 and February 28, 2014 at fair value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At February 29, 2016</w:t>
            </w:r>
          </w:p>
        </w:tc>
        <w:tc>
          <w:tcPr>
            <w:tcW w:w="23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At February 28, 2015</w:t>
            </w:r>
          </w:p>
        </w:tc>
        <w:tc>
          <w:tcPr>
            <w:tcW w:w="2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52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Percentage</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52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vMerge w:val="continue"/>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Total</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Current</w:t>
            </w: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of Total</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Current</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Total</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5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5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5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First lien term loans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50.9</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10.6</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60.3</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Unsecured notes</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13.7</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Saratoga CLO subordinated notes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interests</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investment in the subordinated notes of Saratoga CLO represents a first loss position in a portfolio that, at February 29, 2016, February 28, 2015 and February 28, 2014 was composed of $302.7 million, $296.9 million and $301.3 million, respectively, in aggregate principal amount of predominantly senior secured first lien term loans. This investment is subject to unique risks. (See “Risk Factors—Our investment in Saratoga CLO constitutes a leveraged investment in a portfolio of predominantly senior secured first lien term loans and is subject to additional risks and volatility”). We do not consolidate the Saratoga CLO portfolio in our consolidated financial statements. Accordingly, the metrics below do not include the underlying Saratoga CLO portfolio investments. However, at February 29, 2016, $283.3 million or 99.4% of the Saratoga CLO portfolio investments in terms of market value had a CMR (as defined below) color rating of green or yellow and one Saratoga CLO portfolio investment was in default with a fair value of $0.8 million. At February 28, 2015, $291.6 million or 98.8% of the Saratoga CLO portfolio investments in terms of market value had a CMR (as defined below) color rating of green or yellow and two Saratoga CLO portfolio investments were in default with a fair value of $2.7 million. For more information relating to Saratoga CLO, see the audited financial statements for Saratoga CLO included elsewhere herein.</w:t>
      </w:r>
    </w:p>
    <w:p>
      <w:pPr>
        <w:spacing w:after="0" w:line="17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February 29, 2016 and February 28, 2015 was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At February 29,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$ 240,623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$ 191,606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280" w:type="dxa"/>
            <w:vAlign w:val="bottom"/>
            <w:gridSpan w:val="3"/>
          </w:tcPr>
          <w:p>
            <w:pPr>
              <w:jc w:val="right"/>
              <w:ind w:right="540"/>
              <w:spacing w:after="0"/>
              <w:rPr>
                <w:sz w:val="20"/>
                <w:szCs w:val="20"/>
                <w:color w:val="auto"/>
              </w:rPr>
            </w:pPr>
            <w:r>
              <w:rPr>
                <w:rFonts w:ascii="Arial" w:cs="Arial" w:eastAsia="Arial" w:hAnsi="Arial"/>
                <w:sz w:val="18"/>
                <w:szCs w:val="18"/>
                <w:color w:val="auto"/>
              </w:rPr>
              <w:t>4,058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11,635</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39,307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13.9</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37,196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$ 283,996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$ 240,538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240" w:hanging="5612"/>
        <w:spacing w:after="0" w:line="449" w:lineRule="auto"/>
        <w:tabs>
          <w:tab w:leader="none" w:pos="4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Saratoga CLO investments at February 29, 2016 and February 28, 2015 was as follows:</w:t>
      </w:r>
    </w:p>
    <w:p>
      <w:pPr>
        <w:spacing w:after="0" w:line="33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At February 29,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$ 251,570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$ 278,769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280" w:type="dxa"/>
            <w:vAlign w:val="bottom"/>
            <w:gridSpan w:val="3"/>
          </w:tcPr>
          <w:p>
            <w:pPr>
              <w:jc w:val="right"/>
              <w:ind w:right="540"/>
              <w:spacing w:after="0"/>
              <w:rPr>
                <w:sz w:val="20"/>
                <w:szCs w:val="20"/>
                <w:color w:val="auto"/>
              </w:rPr>
            </w:pPr>
            <w:r>
              <w:rPr>
                <w:rFonts w:ascii="Arial" w:cs="Arial" w:eastAsia="Arial" w:hAnsi="Arial"/>
                <w:sz w:val="18"/>
                <w:szCs w:val="18"/>
                <w:color w:val="auto"/>
              </w:rPr>
              <w:t>31,752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12,875</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1,331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192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617</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$ 284,845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$ 295,239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Comprised of Saratoga CLO’s equity interests.</w:t>
      </w:r>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composition by industry grouping at fair value at February 29, 2016 and February 28,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At February 29,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88,596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52,128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43,109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24,169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as a Service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39,187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53,525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24,635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20,641</w:t>
            </w: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16,574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Automotive Aftermarket</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14,707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10,980</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(1)</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12,828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17,031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10,694</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101</w:t>
            </w: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10,526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15,262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9,131</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10,348</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7,642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6,367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3,436</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Publishing</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1,985</w:t>
            </w: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283,996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240,538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5160" w:hanging="5612"/>
        <w:spacing w:after="0" w:line="536" w:lineRule="auto"/>
        <w:tabs>
          <w:tab w:leader="none" w:pos="45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60</w:t>
      </w:r>
    </w:p>
    <w:p>
      <w:pPr>
        <w:sectPr>
          <w:pgSz w:w="11900" w:h="16838" w:orient="portrait"/>
          <w:cols w:equalWidth="0" w:num="1">
            <w:col w:w="10960"/>
          </w:cols>
          <w:pgMar w:left="240" w:top="459" w:right="6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Saratoga CLO’s portfolio composition by industry grouping at fair value at February 29, 2016 and February 28, 2015:</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29, 2016</w:t>
            </w:r>
          </w:p>
        </w:tc>
        <w:tc>
          <w:tcPr>
            <w:tcW w:w="1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Portfolio</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37,308</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42,751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28,339</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35,341</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18,898</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22,026</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Intermediaries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13,559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Aerospace and Defense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12,580</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7,287</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Conglomerate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11,770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19,928</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10,175</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Electronics/Electric</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9,342</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12,904</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Leisure Goods/Activities/Movies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Technology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7,774</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1,008</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Food Services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5,944</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5,886</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Food Products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Automotive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5,470</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6,650</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Lodging and Casinos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Media</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4,768</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2,004</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Containers/Glass Products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4,168</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4,313</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Cable and Satellite Television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Publishing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3,029</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5,627</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Drugs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2,869</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2,618</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4,832</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1,917</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1,258</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467</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&amp; Tobacco</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732</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250</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248</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485</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Telecommunications/Cellular</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284,845</w:t>
            </w:r>
          </w:p>
        </w:tc>
        <w:tc>
          <w:tcPr>
            <w:tcW w:w="5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295,239</w:t>
            </w: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color w:val="auto"/>
              </w:rPr>
              <w:t>61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February 29, 2016 and February 28, 2015.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At February 29,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4"/>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$ 108,661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92,069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57,553</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55,767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52,875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34,412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Southwest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25,535</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24,544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40,259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Other(1)</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12,828</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17,031</w:t>
            </w: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$ 283,996</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240,538</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for the fiscal years ended February 29, 2016, February 28, 2015 and February 28, 2014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29,</w:t>
            </w:r>
          </w:p>
        </w:tc>
        <w:tc>
          <w:tcPr>
            <w:tcW w:w="380" w:type="dxa"/>
            <w:vAlign w:val="bottom"/>
          </w:tcPr>
          <w:p>
            <w:pPr>
              <w:spacing w:after="0"/>
              <w:rPr>
                <w:sz w:val="10"/>
                <w:szCs w:val="10"/>
                <w:color w:val="auto"/>
              </w:rPr>
            </w:pPr>
          </w:p>
        </w:tc>
        <w:tc>
          <w:tcPr>
            <w:tcW w:w="12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30,050</w:t>
            </w:r>
          </w:p>
        </w:tc>
        <w:tc>
          <w:tcPr>
            <w:tcW w:w="5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27,375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22,893</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19,372</w:t>
            </w:r>
          </w:p>
        </w:tc>
        <w:tc>
          <w:tcPr>
            <w:tcW w:w="2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14,019</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10,678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realized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described in Note 2 to the consolidated financial statements and notes thereto, we identified errors that impacted the year ended February 28, 2014. The corrections for the errors, which we have concluded are immaterial to all prior period consolidated financial statements, are reflected in the consolidated financial statements and selected financial data included in this Form 10-K.</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composition of our investment income for the fiscal years ended February 29, 2016, February 28, 2015 and February 28, 2014 are as follows: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February 29,</w:t>
            </w:r>
          </w:p>
        </w:tc>
        <w:tc>
          <w:tcPr>
            <w:tcW w:w="3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26,871</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24,684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Management fee income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1,495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1,520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from cash and cash equivalents and other income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27,375</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20" w:type="dxa"/>
            <w:vAlign w:val="bottom"/>
            <w:vMerge w:val="restart"/>
          </w:tcPr>
          <w:p>
            <w:pPr>
              <w:jc w:val="right"/>
              <w:ind w:right="77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fiscal year ended February 29, 2016, total investment income increased $2.7 million, or 9.8% compared to the fiscal year ended February 28,</w:t>
      </w:r>
    </w:p>
    <w:p>
      <w:pPr>
        <w:spacing w:after="0" w:line="46"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2015. Interest income from investments increased $2.2 million, or 8.9%, to $26.9 million for the year ended February 29, 2016 from $24.7 million for the fiscal year ended February 28, 2015. This reflects an increase of 18.1% in total investments to $284.0 million at February 29, 2016 from $240.5 million at February 28, 2015, offset by the weighted average current coupon reducing from 12.0% to 11.5%.</w:t>
      </w:r>
    </w:p>
    <w:p>
      <w:pPr>
        <w:spacing w:after="0" w:line="19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For the fiscal year ended February 28, 2015, total investment income increased $4.5 million, or 19.6% compared to the fiscal year ended February 28, 2014. Interest income from investments increased $4.5 million, or 22.3%, to $24.7 million for the year ended February 28, 2015 from $20.2 million for the fiscal year ended February 28, 2014. This reflects an increase of 16.9% in total investments to $240.5 million at February 28, 2015 from $205.8 million at February 28, 2014, offset by the weighted average current coupon reducing from 12.5% to 12.0%.</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For the fiscal years ended February 29, 2016, February 28, 2015 and February 28, 2014, total PIK income was $1.0 million, $1.2 million, and $0.9 million, respectively.</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Saratoga CLO was refinanced in October 2013. As a result, proceeds from principal payments in the loan portfolio of Saratoga CLO must now be used to paydown its outstanding notes. Thus, the management fee income and investment income that we receive from Saratoga CLO has declined from historical periods, decreasing $0.03 million or 1.7% to $1.5 million and $0.3 million or 14.3% to $1.5 million, for the years ended February 29, 2016 and February 28, 2015, respectively.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our operating expenses for the years ended February 29, 2016, February 28, 2015 and February 28, 2014 are as follows:</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February 29,</w:t>
            </w:r>
          </w:p>
        </w:tc>
        <w:tc>
          <w:tcPr>
            <w:tcW w:w="3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8,456</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Base management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4,157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3,327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2,232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2,548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Excise tax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and other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14,019</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For the year ended February 29, 2016, total operating expenses increased $1.7 million, or 9.4% compared to the year ended February 28, 2015. For the year ended February 28, 2015, total operating expenses increased $3.7 million, or 26.3% compared to the year ended February 28, 2014.</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years ended February 29, 2016 and February 28, 2015, the increase in interest and debt financing expenses is primarily attributable to an increase in outstanding debt as compared to the prior years, with increased levels of outstanding SBA debentures, as well as the notes payable being outstanding for the full year ended February 29, 2016, and additional notes being issued during this year. The Credit Facility decreased from $9.6 million outstanding at February 28, 2015 to $0.0 million at February 29, 2016, while our SBA debentures increased from $79.0 million to $103.7 million. The notes increased from $48.3 million outstanding to $61.8 million outstanding for these same periods. For the year ended February 29, 2016, the weighted average interest rate on our outstanding indebtedness was 4.91% compared to 4.95% for the fiscal year ended February 28, 2015 and 5.35% for the fiscal year ended February 28, 2014. This decrease was primarily driven by an increase in SBA debentures that carry a lower interest rate but now make up a higher proportion of our overall debt, increasing from 57.7% of overall debt as of February 28, 2015 to 62.7% as of February 29, 2016.</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the year ended February 29, 2016, base management fees increased $0.4 million, or 8.9% compared to the fiscal year ended February 28, 2015. The increase in base management fees results from the increase in the average value of our total assets, less cash and cash equivalents, from $246.5 million as of February 28, 2015 to $266.3 million as of February 29, 2016. For the year ended February 28, 2015, base management fees increased $0.8 million, or 25.0% compared to the fiscal year ended February 28, 2014. The increase in base management fees results from the increase in the average value of our total assets, less cash and cash equivalents, from $209.2 million to $246.5 million as of February 28, 2014 and 2015, respectively.</w:t>
      </w:r>
    </w:p>
    <w:p>
      <w:pPr>
        <w:spacing w:after="0" w:line="15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For the year ended February 29, 2016, professional fees increased $0.03 million, or 2.7% compared to the fiscal year ended February 28, 2015. For the year ended February 28, 2015, professional fees increased $0.09 million, or 7.4% compared to the fiscal year ended February 28, 2014.</w:t>
      </w:r>
    </w:p>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the year ended February 29, 2016, incentive management fees decreased $0.3 million, or 12.4% compared to the fiscal year ended February 28, 2015. The first part of the incentive management fees increased this year, as higher total assets has led to increased net investment income above the hurdle rate pursuant to the investment advisory and management agreement. However, for the year ended February 29, 2016, incentive management fees in total were more than offset as the incentive management fees related to capital gains changed from a $0.3 million increase in expense to a $0.05 million decrease in expense compared to the fiscal year ended February 28, 2015. For the year ended February 28, 2015, incentive management fees increased $1.6 million, or 171.4% compared to the fiscal year ended February 28, 2014. The increase in incentive management fees is primarily attributable to an increase in accrued incentive fees this year, as higher total assets has led to increased net investment income above the hurdle rate pursuant to the investment advisory and management agreement. In addition, for the year ended February 28, 2015, the incentive management fees related to capital gains changed from a $0.07 million reduction of expense to a $0.3 million increase in expense compared to the fiscal year ended February 28, 2014.</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discussed above, the increase in interest and debt financing expenses for the years ended February 29, 2016, February 28, 2015 and February 28, 2014 is primarily attributable to an increase in the amount of outstanding debt as compared to the prior years. For the years ended February 29, 2016, February 28, 2015 and February 28, 2014, the weighted average interest rate on the outstanding borrowings under the Credit Facility was 6.00%, 6.75% and 7.50%, respectively. For the years ended February 29, 2016, February 28, 2015 and February 28, 2014, the weighted average interest rate on the outstanding borrowings of the SBA debentures was 3.12%, 2.93% and 3.03%, respectively.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For the fiscal year ended February 29, 2016, the Company had $68.2 million of sales, repayments, exits or restructurings resulting in $0.2 million of net realized gains. The most significant realized gains and losses during the year ended February 29, 2016 were as follows (dollars in thousands):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29,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340" w:type="dxa"/>
            <w:vAlign w:val="bottom"/>
          </w:tcPr>
          <w:p>
            <w:pPr>
              <w:spacing w:after="0"/>
              <w:rPr>
                <w:sz w:val="12"/>
                <w:szCs w:val="12"/>
                <w:color w:val="auto"/>
              </w:rPr>
            </w:pPr>
          </w:p>
        </w:tc>
        <w:tc>
          <w:tcPr>
            <w:tcW w:w="19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Asset Type</w:t>
            </w:r>
          </w:p>
        </w:tc>
        <w:tc>
          <w:tcPr>
            <w:tcW w:w="100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Proceeds</w:t>
            </w:r>
          </w:p>
        </w:tc>
        <w:tc>
          <w:tcPr>
            <w:tcW w:w="1020" w:type="dxa"/>
            <w:vAlign w:val="bottom"/>
            <w:gridSpan w:val="2"/>
            <w:vMerge w:val="continue"/>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340" w:type="dxa"/>
            <w:vAlign w:val="bottom"/>
            <w:vMerge w:val="restart"/>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Communications, Inc.</w:t>
            </w:r>
          </w:p>
        </w:tc>
        <w:tc>
          <w:tcPr>
            <w:tcW w:w="1340" w:type="dxa"/>
            <w:vAlign w:val="bottom"/>
            <w:vMerge w:val="continue"/>
            <w:shd w:val="clear" w:color="auto" w:fill="CCEEFF"/>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$ 3,206</w:t>
            </w:r>
          </w:p>
        </w:tc>
        <w:tc>
          <w:tcPr>
            <w:tcW w:w="4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$ 3,206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3240" w:type="dxa"/>
            <w:vAlign w:val="bottom"/>
            <w:gridSpan w:val="3"/>
          </w:tcPr>
          <w:p>
            <w:pPr>
              <w:ind w:left="1340"/>
              <w:spacing w:after="0"/>
              <w:rPr>
                <w:sz w:val="20"/>
                <w:szCs w:val="20"/>
                <w:color w:val="auto"/>
              </w:rPr>
            </w:pPr>
            <w:r>
              <w:rPr>
                <w:rFonts w:ascii="Arial" w:cs="Arial" w:eastAsia="Arial" w:hAnsi="Arial"/>
                <w:sz w:val="18"/>
                <w:szCs w:val="18"/>
                <w:color w:val="auto"/>
              </w:rPr>
              <w:t>Unsecured Note</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(2,054)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Targus Holdings, Inc.</w:t>
            </w:r>
          </w:p>
        </w:tc>
        <w:tc>
          <w:tcPr>
            <w:tcW w:w="324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First Lien Term Loan</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324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(567)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$3.2 million of realized gain on our investments in Network Communications, Inc. is due to the sale of the company to a third party and reflects the realization value pursuant to that transaction.The $3.8 million realized loss in our investments in Targus Holdings, Inc. was due to a restructuring that occurred during the quarter, resulting in the elimination of our former Unsecured Note and common equity, accompanied by a conversion of our prior first lien term loan in to a new equity.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fiscal year ended February 28, 2015, the Company had $73.3 million of sales, repayments, exits or restructurings resulting in $3.3 million of net realized gains. The most significant realized gains during the year ended February 28, 2015 were as follows (dollars in thousands):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360" w:type="dxa"/>
            <w:vAlign w:val="bottom"/>
          </w:tcPr>
          <w:p>
            <w:pPr>
              <w:spacing w:after="0"/>
              <w:rPr>
                <w:sz w:val="12"/>
                <w:szCs w:val="12"/>
                <w:color w:val="auto"/>
              </w:rPr>
            </w:pPr>
          </w:p>
        </w:tc>
        <w:tc>
          <w:tcPr>
            <w:tcW w:w="15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Asset Type</w:t>
            </w:r>
          </w:p>
        </w:tc>
        <w:tc>
          <w:tcPr>
            <w:tcW w:w="4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Proceeds</w:t>
            </w: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36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Community Investors, Inc.</w:t>
            </w:r>
          </w:p>
        </w:tc>
        <w:tc>
          <w:tcPr>
            <w:tcW w:w="1360" w:type="dxa"/>
            <w:vAlign w:val="bottom"/>
            <w:vMerge w:val="continue"/>
            <w:shd w:val="clear" w:color="auto" w:fill="CCEEFF"/>
          </w:tcPr>
          <w:p>
            <w:pPr>
              <w:spacing w:after="0"/>
              <w:rPr>
                <w:sz w:val="16"/>
                <w:szCs w:val="16"/>
                <w:color w:val="auto"/>
              </w:rPr>
            </w:pPr>
          </w:p>
        </w:tc>
        <w:tc>
          <w:tcPr>
            <w:tcW w:w="1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Term Loan A Senior</w:t>
            </w: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Facility</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$ 6,983</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$6,886</w:t>
            </w:r>
          </w:p>
        </w:tc>
        <w:tc>
          <w:tcPr>
            <w:tcW w:w="8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rPr>
              <w:t>$   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HOA Restaurant GP/Finance</w:t>
            </w:r>
          </w:p>
        </w:tc>
        <w:tc>
          <w:tcPr>
            <w:tcW w:w="2920" w:type="dxa"/>
            <w:vAlign w:val="bottom"/>
            <w:gridSpan w:val="2"/>
          </w:tcPr>
          <w:p>
            <w:pPr>
              <w:ind w:left="1360"/>
              <w:spacing w:after="0"/>
              <w:rPr>
                <w:sz w:val="20"/>
                <w:szCs w:val="20"/>
                <w:color w:val="auto"/>
              </w:rPr>
            </w:pPr>
            <w:r>
              <w:rPr>
                <w:rFonts w:ascii="Arial" w:cs="Arial" w:eastAsia="Arial" w:hAnsi="Arial"/>
                <w:sz w:val="18"/>
                <w:szCs w:val="18"/>
                <w:color w:val="auto"/>
                <w:w w:val="87"/>
              </w:rPr>
              <w:t>Senior Secured Notes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4,225</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3,938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2"/>
        </w:trPr>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USS Parent Holding Corp</w:t>
            </w:r>
          </w:p>
        </w:tc>
        <w:tc>
          <w:tcPr>
            <w:tcW w:w="2920" w:type="dxa"/>
            <w:vAlign w:val="bottom"/>
            <w:gridSpan w:val="2"/>
            <w:shd w:val="clear" w:color="auto" w:fill="CCEEFF"/>
          </w:tcPr>
          <w:p>
            <w:pPr>
              <w:ind w:left="1360"/>
              <w:spacing w:after="0" w:line="201" w:lineRule="exact"/>
              <w:rPr>
                <w:sz w:val="20"/>
                <w:szCs w:val="20"/>
                <w:color w:val="auto"/>
              </w:rPr>
            </w:pPr>
            <w:r>
              <w:rPr>
                <w:rFonts w:ascii="Arial" w:cs="Arial" w:eastAsia="Arial" w:hAnsi="Arial"/>
                <w:sz w:val="18"/>
                <w:szCs w:val="18"/>
                <w:color w:val="auto"/>
                <w:w w:val="92"/>
              </w:rPr>
              <w:t>Non Voting Common</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Stock</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248</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rPr>
              <w:t>USS Parent Holding Corp</w:t>
            </w:r>
          </w:p>
        </w:tc>
        <w:tc>
          <w:tcPr>
            <w:tcW w:w="2920" w:type="dxa"/>
            <w:vAlign w:val="bottom"/>
            <w:gridSpan w:val="2"/>
          </w:tcPr>
          <w:p>
            <w:pPr>
              <w:ind w:left="1360"/>
              <w:spacing w:after="0" w:line="201" w:lineRule="exact"/>
              <w:rPr>
                <w:sz w:val="20"/>
                <w:szCs w:val="20"/>
                <w:color w:val="auto"/>
              </w:rPr>
            </w:pPr>
            <w:r>
              <w:rPr>
                <w:rFonts w:ascii="Arial" w:cs="Arial" w:eastAsia="Arial" w:hAnsi="Arial"/>
                <w:sz w:val="18"/>
                <w:szCs w:val="18"/>
                <w:color w:val="auto"/>
              </w:rPr>
              <w:t>Voting Common</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920" w:type="dxa"/>
            <w:vAlign w:val="bottom"/>
            <w:gridSpan w:val="2"/>
          </w:tcPr>
          <w:p>
            <w:pPr>
              <w:ind w:left="1360"/>
              <w:spacing w:after="0"/>
              <w:rPr>
                <w:sz w:val="20"/>
                <w:szCs w:val="20"/>
                <w:color w:val="auto"/>
              </w:rPr>
            </w:pPr>
            <w:r>
              <w:rPr>
                <w:rFonts w:ascii="Arial" w:cs="Arial" w:eastAsia="Arial" w:hAnsi="Arial"/>
                <w:sz w:val="18"/>
                <w:szCs w:val="18"/>
                <w:color w:val="auto"/>
              </w:rPr>
              <w:t>Stock</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5,650</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3,026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fiscal year ended February 28, 2014, the Company had $71.6 million of sales, repayments, exits or restructurings resulting in $1.3 million of net realized gains. The most significant realized gains during the year ended February 28, 2014 were as follows (dollars in thousands):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2014</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1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Asset Type</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Proceeds</w:t>
            </w: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0"/>
              </w:rPr>
              <w:t>Penton</w:t>
            </w:r>
          </w:p>
        </w:tc>
        <w:tc>
          <w:tcPr>
            <w:tcW w:w="4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Media, Inc.</w:t>
            </w: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 Term Loan</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$ 4,887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$4,681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Sourcehov, LLC</w:t>
            </w:r>
          </w:p>
        </w:tc>
        <w:tc>
          <w:tcPr>
            <w:tcW w:w="2100" w:type="dxa"/>
            <w:vAlign w:val="bottom"/>
            <w:gridSpan w:val="2"/>
          </w:tcPr>
          <w:p>
            <w:pPr>
              <w:spacing w:after="0"/>
              <w:rPr>
                <w:sz w:val="20"/>
                <w:szCs w:val="20"/>
                <w:color w:val="auto"/>
              </w:rPr>
            </w:pPr>
            <w:r>
              <w:rPr>
                <w:rFonts w:ascii="Arial" w:cs="Arial" w:eastAsia="Arial" w:hAnsi="Arial"/>
                <w:sz w:val="18"/>
                <w:szCs w:val="18"/>
                <w:color w:val="auto"/>
              </w:rPr>
              <w:t>Second Lien Term Loan</w:t>
            </w:r>
          </w:p>
        </w:tc>
        <w:tc>
          <w:tcPr>
            <w:tcW w:w="560" w:type="dxa"/>
            <w:vAlign w:val="bottom"/>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2,659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February 29, 2016, our investments had net unrealized appreciation of $0.7 million versus net unrealized depreciation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 million for the year ended February 28, 2015. The most significant cumulative changes in unrealized appreciation and depreciation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 were the following (dollars in thousands):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29,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880" w:type="dxa"/>
            <w:vAlign w:val="bottom"/>
          </w:tcPr>
          <w:p>
            <w:pPr>
              <w:spacing w:after="0"/>
              <w:rPr>
                <w:sz w:val="12"/>
                <w:szCs w:val="12"/>
                <w:color w:val="auto"/>
              </w:rPr>
            </w:pPr>
          </w:p>
        </w:tc>
        <w:tc>
          <w:tcPr>
            <w:tcW w:w="1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Asset Type</w:t>
            </w: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6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(Depreciation)</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8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Common Stock</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481</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$ 6,235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2480" w:type="dxa"/>
            <w:vAlign w:val="bottom"/>
            <w:gridSpan w:val="3"/>
          </w:tcPr>
          <w:p>
            <w:pPr>
              <w:ind w:left="880"/>
              <w:spacing w:after="0"/>
              <w:rPr>
                <w:sz w:val="20"/>
                <w:szCs w:val="20"/>
                <w:color w:val="auto"/>
              </w:rPr>
            </w:pPr>
            <w:r>
              <w:rPr>
                <w:rFonts w:ascii="Arial" w:cs="Arial" w:eastAsia="Arial" w:hAnsi="Arial"/>
                <w:sz w:val="18"/>
                <w:szCs w:val="18"/>
                <w:color w:val="auto"/>
              </w:rPr>
              <w:t>Unsecured Notes</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02"/>
        </w:trPr>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Elyria Foundry</w:t>
            </w: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 LLC</w:t>
            </w:r>
          </w:p>
        </w:tc>
        <w:tc>
          <w:tcPr>
            <w:tcW w:w="24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Common Stock</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9,217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(7,191)</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$4.8 million of change in unrealized appreciation in our investment in Take 5 Oil Change, LLC was driven by a transaction with a strategic acquirer.</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$2.1 million of change in unrealized appreciation in our investment in Targus Holdings, Inc. was due to a restructuring that occurred during the quarter, resulting in the elimination of our former Unsecured Note. In realizing this loss as a result of the restructuring, unrealized depreciation was adjusted to zero which resulted in a $2.1 million change in unrealized appreciation for the year.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$4.7 million change in unrealized depreciation in our investment in the Elyria Foundry Company, LLC was primarily due to a decline in oil and gas end markets since year-end, negatively impacting the Company’s performance.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February 28, 2015, our investments had net unrealized depreciation of $1.9 million versus net unrealized depreciation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 million for the year ended February 28, 2014. The most significant cumulative changes in unrealized appreciation and depreciation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2015, were the following (dollars in thousands):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2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Asset Type</w:t>
            </w:r>
          </w:p>
        </w:tc>
        <w:tc>
          <w:tcPr>
            <w:tcW w:w="11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vMerge w:val="continue"/>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(Depreciation)</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Common—Voting A-1</w:t>
            </w:r>
          </w:p>
        </w:tc>
        <w:tc>
          <w:tcPr>
            <w:tcW w:w="4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221</w:t>
            </w:r>
          </w:p>
        </w:tc>
        <w:tc>
          <w:tcPr>
            <w:tcW w:w="5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$ 1,493</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5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22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567</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Other/Structured Finance</w:t>
            </w: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Saratoga CLO</w:t>
            </w: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15,953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17,031</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1,078</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 ended February 28, 2014, our investments had a decrease in net unrealized depreciation of $1.6 million versus an increase in net unrealized appreciation of $7.0 million for the year ended February 28, 2013. The most significant cumulative changes in unrealized appreciation and depreciation for the year ended February 28, 2014, were the following (in thousands):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2014</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500" w:type="dxa"/>
            <w:vAlign w:val="bottom"/>
          </w:tcPr>
          <w:p>
            <w:pPr>
              <w:spacing w:after="0"/>
              <w:rPr>
                <w:sz w:val="12"/>
                <w:szCs w:val="12"/>
                <w:color w:val="auto"/>
              </w:rPr>
            </w:pPr>
          </w:p>
        </w:tc>
        <w:tc>
          <w:tcPr>
            <w:tcW w:w="22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Asset Type</w:t>
            </w:r>
          </w:p>
        </w:tc>
        <w:tc>
          <w:tcPr>
            <w:tcW w:w="10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060" w:type="dxa"/>
            <w:vAlign w:val="bottom"/>
            <w:gridSpan w:val="2"/>
            <w:vMerge w:val="continue"/>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(Depreciation)</w:t>
            </w:r>
          </w:p>
        </w:tc>
        <w:tc>
          <w:tcPr>
            <w:tcW w:w="2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Saratoga CLO</w:t>
            </w:r>
          </w:p>
        </w:tc>
        <w:tc>
          <w:tcPr>
            <w:tcW w:w="500" w:type="dxa"/>
            <w:vAlign w:val="bottom"/>
            <w:vMerge w:val="continue"/>
            <w:shd w:val="clear" w:color="auto" w:fill="CCEEFF"/>
          </w:tcPr>
          <w:p>
            <w:pPr>
              <w:spacing w:after="0"/>
              <w:rPr>
                <w:sz w:val="16"/>
                <w:szCs w:val="16"/>
                <w:color w:val="auto"/>
              </w:rPr>
            </w:pPr>
          </w:p>
        </w:tc>
        <w:tc>
          <w:tcPr>
            <w:tcW w:w="1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9"/>
              </w:rPr>
              <w:t>Other/Structured Finance</w:t>
            </w:r>
          </w:p>
        </w:tc>
        <w:tc>
          <w:tcPr>
            <w:tcW w:w="38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7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$16,556</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$19,570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3,014</w:t>
            </w:r>
          </w:p>
        </w:tc>
        <w:tc>
          <w:tcPr>
            <w:tcW w:w="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2700" w:type="dxa"/>
            <w:vAlign w:val="bottom"/>
            <w:gridSpan w:val="3"/>
          </w:tcPr>
          <w:p>
            <w:pPr>
              <w:ind w:left="500"/>
              <w:spacing w:after="0"/>
              <w:rPr>
                <w:sz w:val="20"/>
                <w:szCs w:val="20"/>
                <w:color w:val="auto"/>
              </w:rPr>
            </w:pPr>
            <w:r>
              <w:rPr>
                <w:rFonts w:ascii="Arial" w:cs="Arial" w:eastAsia="Arial" w:hAnsi="Arial"/>
                <w:sz w:val="18"/>
                <w:szCs w:val="18"/>
                <w:color w:val="auto"/>
              </w:rPr>
              <w:t>Common Stock</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567</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27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Voting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Group Dekko, Inc.</w:t>
            </w:r>
          </w:p>
        </w:tc>
        <w:tc>
          <w:tcPr>
            <w:tcW w:w="2700" w:type="dxa"/>
            <w:vAlign w:val="bottom"/>
            <w:gridSpan w:val="3"/>
          </w:tcPr>
          <w:p>
            <w:pPr>
              <w:ind w:left="500"/>
              <w:spacing w:after="0"/>
              <w:rPr>
                <w:sz w:val="20"/>
                <w:szCs w:val="20"/>
                <w:color w:val="auto"/>
              </w:rPr>
            </w:pPr>
            <w:r>
              <w:rPr>
                <w:rFonts w:ascii="Arial" w:cs="Arial" w:eastAsia="Arial" w:hAnsi="Arial"/>
                <w:sz w:val="18"/>
                <w:szCs w:val="18"/>
                <w:color w:val="auto"/>
              </w:rPr>
              <w:t>Second Lien Term Loan</w:t>
            </w:r>
          </w:p>
        </w:tc>
        <w:tc>
          <w:tcPr>
            <w:tcW w:w="580" w:type="dxa"/>
            <w:vAlign w:val="bottom"/>
          </w:tcPr>
          <w:p>
            <w:pPr>
              <w:jc w:val="right"/>
              <w:spacing w:after="0"/>
              <w:rPr>
                <w:sz w:val="20"/>
                <w:szCs w:val="20"/>
                <w:color w:val="auto"/>
              </w:rPr>
            </w:pPr>
            <w:r>
              <w:rPr>
                <w:rFonts w:ascii="Arial" w:cs="Arial" w:eastAsia="Arial" w:hAnsi="Arial"/>
                <w:sz w:val="18"/>
                <w:szCs w:val="18"/>
                <w:color w:val="auto"/>
              </w:rPr>
              <w:t>6,902</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Elyria Foundry</w:t>
            </w:r>
          </w:p>
        </w:tc>
        <w:tc>
          <w:tcPr>
            <w:tcW w:w="5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 LLC</w:t>
            </w:r>
          </w:p>
        </w:tc>
        <w:tc>
          <w:tcPr>
            <w:tcW w:w="27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Senior Secured Notes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fiscal years ended February 29, 2016, February 28, 2015 and February 28, 2014, we recorded a net increase in net assets resulting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operations of $11.6 million, $11.0 million and $8.5 million, respectively. Based on 5,582,453 weighted average common shares outstanding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2016, our per share net increase in net assets resulting from operations was $2.09 for the fiscal year ended February 29, 2016. This compares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per share net increase in net assets resulting from operations of $2.04 for the fiscal year ended February 28, 2015 (based on 5,385,049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outstanding as of February 28, 2015), and a per share net increase in net assets resulting from operations of $1.73 for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 (based on 4,920,517 weighted average common shares outstanding as of February 28, 2014).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302.5% as of February 29, 2016 and 311.7% as of February 28, 2015.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“Credit Facility”) on June 30, 2010.</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9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4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Collateral Tests. </w:t>
      </w:r>
      <w:r>
        <w:rPr>
          <w:rFonts w:ascii="Arial" w:cs="Arial" w:eastAsia="Arial" w:hAnsi="Arial"/>
          <w:sz w:val="18"/>
          <w:szCs w:val="18"/>
          <w:color w:val="auto"/>
        </w:rPr>
        <w:t>It is a condition precedent to any borrowing under the Credit Facility that the principal amount outstanding under the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after giving effect to the proposed borrowings, not exceed the lesser of the Borrowing Base or the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 (the “Borrowing Base Test”). In addition to satisfying the Borrowing Base Test, the following tests must also be satisfied (together with Borrowing Base Test, the “Collateral Tests”):</w:t>
      </w:r>
    </w:p>
    <w:p>
      <w:pPr>
        <w:spacing w:after="0" w:line="76" w:lineRule="exact"/>
        <w:rPr>
          <w:sz w:val="20"/>
          <w:szCs w:val="20"/>
          <w:color w:val="auto"/>
        </w:rPr>
      </w:pPr>
    </w:p>
    <w:p>
      <w:pPr>
        <w:ind w:left="660" w:right="440" w:hanging="20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660" w:right="120" w:hanging="20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Overcollateralization Ratio. </w:t>
      </w:r>
      <w:r>
        <w:rPr>
          <w:rFonts w:ascii="Arial" w:cs="Arial" w:eastAsia="Arial" w:hAnsi="Arial"/>
          <w:sz w:val="18"/>
          <w:szCs w:val="18"/>
          <w:color w:val="auto"/>
        </w:rPr>
        <w:t>The ratio (expressed as a percentage) of the aggregate Adjusted Borrowing Value of “eligible” pledged loan assets plus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certain ineligible pledged loan assets and the CLO Notes (in each case, subject to certain adjustments) to outstanding borrowings under the Credit Facility plus the Unfunded Exposure Amount must equal at least 200.0%.</w:t>
      </w:r>
    </w:p>
    <w:p>
      <w:pPr>
        <w:spacing w:after="0" w:line="86"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Weighted Average FMV Test. </w:t>
      </w:r>
      <w:r>
        <w:rPr>
          <w:rFonts w:ascii="Arial" w:cs="Arial" w:eastAsia="Arial" w:hAnsi="Arial"/>
          <w:sz w:val="18"/>
          <w:szCs w:val="18"/>
          <w:color w:val="auto"/>
        </w:rPr>
        <w:t>The aggregate adjusted or weighted value of “eligible” pledged loan assets as a percentage of the aggregate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 of “eligible” pledged loan assets must be equal to or greater than 72.0% and 80.0% during the one-year periods prior to the first and second anniversary of the closing date, respectively, and 85.0% at all times thereafter.</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78"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120" w:right="580" w:hanging="207"/>
        <w:spacing w:after="0" w:line="308" w:lineRule="auto"/>
        <w:tabs>
          <w:tab w:leader="none" w:pos="11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51" w:lineRule="exact"/>
        <w:rPr>
          <w:rFonts w:ascii="Arial" w:cs="Arial" w:eastAsia="Arial" w:hAnsi="Arial"/>
          <w:sz w:val="17"/>
          <w:szCs w:val="17"/>
          <w:color w:val="auto"/>
        </w:rPr>
      </w:pPr>
    </w:p>
    <w:p>
      <w:pPr>
        <w:ind w:left="1120" w:hanging="207"/>
        <w:spacing w:after="0"/>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failure of the Management Agreement between Saratoga Investment Advisors and the Company to be in full force and effect;</w:t>
      </w:r>
    </w:p>
    <w:p>
      <w:pPr>
        <w:spacing w:after="0" w:line="130" w:lineRule="exact"/>
        <w:rPr>
          <w:rFonts w:ascii="Arial" w:cs="Arial" w:eastAsia="Arial" w:hAnsi="Arial"/>
          <w:sz w:val="18"/>
          <w:szCs w:val="18"/>
          <w:color w:val="auto"/>
        </w:rPr>
      </w:pPr>
    </w:p>
    <w:p>
      <w:pPr>
        <w:ind w:left="1120" w:right="560" w:hanging="207"/>
        <w:spacing w:after="0" w:line="312"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52" w:lineRule="exact"/>
        <w:rPr>
          <w:rFonts w:ascii="Arial" w:cs="Arial" w:eastAsia="Arial" w:hAnsi="Arial"/>
          <w:sz w:val="16"/>
          <w:szCs w:val="16"/>
          <w:color w:val="auto"/>
        </w:rPr>
      </w:pPr>
    </w:p>
    <w:p>
      <w:pPr>
        <w:ind w:left="1120" w:right="420" w:hanging="207"/>
        <w:spacing w:after="0" w:line="264" w:lineRule="auto"/>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120" w:right="40" w:hanging="207"/>
        <w:spacing w:after="0" w:line="312"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applicable margin rate on base rate borrowings from 4.50% to 3.75%, and on LIBOR borrowings from 5.50% to 4.75%;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reduce the floor on base rate borrowings from 3.00% to 2.25%; and on LIBOR borrowings from 2.00% to 1.25%.</w:t>
      </w:r>
    </w:p>
    <w:p>
      <w:pPr>
        <w:spacing w:after="0" w:line="22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February 29, 2016, we had no outstanding borrowings under the Credit Facility and $103.7 million SBA-guaranteed debentures outstanding (which are discussed below). As of February 28, 2015, we had $9.6 million outstanding under the Credit Facility and $79.0 million SBA-guaranteed debentures outstanding. Our borrowing base under the Credit Facility at February 29, 2016 and February 28, 2015 was $21.8 million and $36.3 million, respectively.</w:t>
      </w:r>
    </w:p>
    <w:p>
      <w:pPr>
        <w:spacing w:after="0" w:line="18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Our asset coverage ratio, as defined in the 1940 Act, was 302.5% and 311.7% for the years ended February 29, 2016 and February 28, 2015,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$150.0 million when it has at least $75.0 million in regulatory capital, receives a capital commitment from the SBA and has been through an examination by the SBA subsequent to licensing. As of February 29, 2016, our SBIC subsidiary had $75.0 million in regulatory capital and $103.7 million SBA-guaranteed debentures outstanding.</w:t>
      </w:r>
    </w:p>
    <w:p>
      <w:pPr>
        <w:spacing w:after="0" w:line="16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$150.0 million more than we would otherwise be able to absent the receipt of this exemptive relief.</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99" w:lineRule="exact"/>
        <w:rPr>
          <w:sz w:val="20"/>
          <w:szCs w:val="20"/>
          <w:color w:val="auto"/>
        </w:rPr>
      </w:pPr>
    </w:p>
    <w:p>
      <w:pPr>
        <w:ind w:left="660" w:right="560" w:hanging="206"/>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92" w:lineRule="exact"/>
        <w:rPr>
          <w:rFonts w:ascii="Arial" w:cs="Arial" w:eastAsia="Arial" w:hAnsi="Arial"/>
          <w:sz w:val="18"/>
          <w:szCs w:val="18"/>
          <w:color w:val="auto"/>
        </w:rPr>
      </w:pPr>
    </w:p>
    <w:p>
      <w:pPr>
        <w:ind w:left="660" w:right="140" w:hanging="206"/>
        <w:spacing w:after="0" w:line="25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color w:val="auto"/>
        </w:rPr>
        <w:t>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May 29, 2015, we entered into a Debt Distribution Agreement with Landenburg Thalmann &amp; Co. through which we may offer for sale, from time to time, up to $20.0 million in aggregate principal amount of the Notes through an ATM offering. As of February 29, 2016, the Company sold 539,725 bonds with a principal of $13,493,125 at an average price of $25.31 for aggregate net proceeds of $13,385,766 (net of transaction costs).</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At February 29, 2016 and February 28, 2015, the fair value of investments, cash and cash equivalents and cash and cash equivalents, securitization accounts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At February 29, 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At February 28, 2015</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ind w:left="260"/>
              <w:spacing w:after="0" w:line="142" w:lineRule="exact"/>
              <w:rPr>
                <w:sz w:val="20"/>
                <w:szCs w:val="20"/>
                <w:color w:val="auto"/>
              </w:rPr>
            </w:pPr>
            <w:r>
              <w:rPr>
                <w:rFonts w:ascii="Arial" w:cs="Arial" w:eastAsia="Arial" w:hAnsi="Arial"/>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and cash equivalents, securitization accounts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4,595</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18,175</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11,868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18,302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144,643</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145,207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88,178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35,603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Unsecured notes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4,230</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12,828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Equity Interest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26,479</w:t>
            </w:r>
          </w:p>
        </w:tc>
        <w:tc>
          <w:tcPr>
            <w:tcW w:w="4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20,165</w:t>
            </w: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291,031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260,601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September 24, 2014, we announced the approval of an open market share repurchase plan that allows it to repurchase up to 200,000 shares of our common stock at prices below our NAV as reported in its then most recently published consolidated financial statements. As of February 29, 2016, we purchased 25,417 shares of common stock, at the average price of $14.03, for approximately $0.4 million pursuant to this repurchase plan. On October 7, 2015, the our board of directors extended the open market share repurchase plan for another year and increased the number of shares we are permitted to repurchase at prices below our NAV, as reported in its then most recently published consolidated financial statements, to 400,000 shares of our common stock.</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March 31, 2016, our board of directors declared a dividend of $0.41 per share payable on April 27, 2016, to common stockholders of record on April 15, 2016. Shareholders had the option to receive payment of the dividend in cash, or receive shares of common stock, pursuant our DRIP. 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12, 2016, our board of directors declared a dividend of $0.40 per share payable on February 29, 2016, to common stockholders of record on February 1, 2016. Shareholders had the option to receive payment of the dividend in cash, or receive shares of common stock, pursuant our DRIP. Based on shareholder elections, the dividend consisted of approximately $1.4 million in cash and 66,764 newly issued shares of common stock, or 1.2% of our outstanding common stock prior to the dividend payment. The number of shares of common stock comprising the stock portion was calculated based on a price of $13.11 per share, which equaled the volume weighted average trading price per share of the common stock on February 16, 17, 18, 19, 22, 23, 24, 25, 26 and 29, 2016.</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October 7, 2015, our board of directors declared a dividend of $0.36 per share payable on November 30, 2015, to common stockholders of record on November 2, 2015. Shareholders had the option to receive payment of the dividend in cash, or receive shares of common stock, pursuant our DRIP. Based on shareholder elections, the dividend consisted of approximately $1.1 million in cash and 61,029 newly issued shares of common stock, or 1.1% of our outstanding common stock prior to the dividend payment. The number of shares of common stock comprising the stock portion was calculated based on a price of $14.53 per share, which equaled the volume weighted average trading price per share of the common stock on November 16, 17, 18, 19, 20, 23, 24, 25, 27 and 30, 2015.</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July 8, 2015, our board of directors declared a dividend of $0.33 per share payable on August 31, 2015, to common stockholders of record on August 3, 2015. Shareholders had the option to receive payment of the dividend in cash, or receive shares of common stock, pursuant our DRIP. Based on shareholder elections, the dividend consisted of approximately $1.1 million in cash and 47,861 newly issued shares of common stock, or 0.9% of our outstanding common stock prior to the dividend payment. The number of shares of common stock comprising the stock portion was calculated based on a price of $15.28 per share, which equaled the volume weighted average trading price per share of the common stock on August 18, 19, 20, 21, 24, 25, 26, 27, 28 and 31, 2015.</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May 14, 2015, our board of directors declared a special dividend of $1.00 per share payable on June 5, 2015, to common stockholders of record on May 26, 2015. Shareholders had the option to receive payment of the dividend in cash, or receive shares of common stock, pursuant our DRIP. Based on shareholder elections, the dividend consisted of approximately $3.4 million in cash and 126,230 newly issued shares of common stock, or 2.3% of our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April 9, 2015, our board of directors declared a dividend of $0.27 per share payable on May 29, 2015, to common stockholders of record on May 4, 2015. Shareholders had the option to receive payment of the dividend in cash, or receive shares of common stock, pursuant our DRIP. Based on shareholder elections, the dividend consisted of approximately $0.9 million in cash and 33,766 newly issued shares of common stock, or 0.6% of our outstanding common stock prior to the dividend payment. The number of shares of common stock comprising the stock portion was calculated based on a price of $16.78 per share, which equaled the volume weighted average trading price per share of the common stock on May 15, 18, 19, 20, 21, 22, 26, 27, 28 and 29, 2015.</w:t>
      </w:r>
    </w:p>
    <w:p>
      <w:pPr>
        <w:spacing w:after="0" w:line="1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September 24, 2014, the Company declared a dividend of $0.22 per share payable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Also on September 24, 2014, the Company declared a dividend of $0.18 per share payable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February 29,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9"/>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620" w:type="dxa"/>
            <w:vAlign w:val="bottom"/>
            <w:gridSpan w:val="2"/>
          </w:tcPr>
          <w:p>
            <w:pPr>
              <w:jc w:val="center"/>
              <w:ind w:left="171"/>
              <w:spacing w:after="0" w:line="119" w:lineRule="exact"/>
              <w:rPr>
                <w:sz w:val="20"/>
                <w:szCs w:val="20"/>
                <w:color w:val="auto"/>
              </w:rPr>
            </w:pPr>
            <w:r>
              <w:rPr>
                <w:rFonts w:ascii="Arial" w:cs="Arial" w:eastAsia="Arial" w:hAnsi="Arial"/>
                <w:sz w:val="13"/>
                <w:szCs w:val="13"/>
                <w:b w:val="1"/>
                <w:bCs w:val="1"/>
                <w:color w:val="auto"/>
                <w:w w:val="97"/>
              </w:rPr>
              <w:t>1 -3</w:t>
            </w:r>
          </w:p>
        </w:tc>
        <w:tc>
          <w:tcPr>
            <w:tcW w:w="84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3 -5</w:t>
            </w:r>
          </w:p>
        </w:tc>
        <w:tc>
          <w:tcPr>
            <w:tcW w:w="3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6"/>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42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165,453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61,793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$ 103,660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380" w:type="dxa"/>
            <w:vAlign w:val="bottom"/>
            <w:vMerge w:val="restart"/>
          </w:tcPr>
          <w:p>
            <w:pPr>
              <w:jc w:val="right"/>
              <w:ind w:right="1350"/>
              <w:spacing w:after="0"/>
              <w:rPr>
                <w:sz w:val="20"/>
                <w:szCs w:val="20"/>
                <w:color w:val="auto"/>
              </w:rPr>
            </w:pPr>
            <w:r>
              <w:rPr>
                <w:rFonts w:ascii="Arial" w:cs="Arial" w:eastAsia="Arial" w:hAnsi="Arial"/>
                <w:sz w:val="18"/>
                <w:szCs w:val="18"/>
                <w:color w:val="auto"/>
              </w:rPr>
              <w:t>73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The Company’s off-balance sheet arrangements consisted of $2.0 million and $11.2 million of unfunded commitments to provide debt financing to its portfolio companies or to fund limited partnership interests as of February 29, 2016 and February 28, 2015,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February 29, 2016 and February 28, 2015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29,</w:t>
            </w:r>
          </w:p>
        </w:tc>
        <w:tc>
          <w:tcPr>
            <w:tcW w:w="1520" w:type="dxa"/>
            <w:vAlign w:val="bottom"/>
            <w:gridSpan w:val="3"/>
          </w:tcPr>
          <w:p>
            <w:pPr>
              <w:ind w:left="700"/>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8"/>
              </w:rPr>
              <w:t>1,000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Identity Automation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ind w:left="113"/>
              <w:spacing w:after="0"/>
              <w:rPr>
                <w:sz w:val="20"/>
                <w:szCs w:val="20"/>
                <w:color w:val="auto"/>
              </w:rPr>
            </w:pPr>
            <w:r>
              <w:rPr>
                <w:rFonts w:ascii="Arial" w:cs="Arial" w:eastAsia="Arial" w:hAnsi="Arial"/>
                <w:sz w:val="18"/>
                <w:szCs w:val="18"/>
                <w:color w:val="auto"/>
                <w:w w:val="88"/>
              </w:rPr>
              <w:t>1,000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Bristol Hospice,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HMN Holdco,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ind w:left="173"/>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Knowland Technology Holdings, L.L.C.</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88"/>
              </w:rPr>
              <w:t>2,000</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July 8, 2015, our board of directors, including a majority of the independent directors, approved the annual continuation of our investment advisory and management agreement with Saratoga Investment Advisors, LLC. Our board of directors also approved the renewal of the administration agreement with Saratoga Investment Advisors, LLC for an additional one-year term and determined to increase the cap on the payment or reimbursement of expenses by us thereunder to $1.3 million for the additional one-year term.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business activities contain elements of market risk. We consider our principal market risk to be the fluctuation in interest rates. Managing this risk is essential to our business. Accordingly, we have systems and procedures designed to identify and analyze our risks, to establish appropriate policies and thresholds and to continually monitor this risk and thresholds by means of administrative and information technology systems and other policies and processes.</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leveraged loans, high yield bonds and other debt investments and the value of our investment portfolio.</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investment income is affected by fluctuations in various interest rates, including LIBOR and the prime rate. A large portion of our portfolio is, and we expect will continue to be, comprised of floating rate investments that utilize LIBOR. Our interest expense is affected by fluctuations in LIBOR. At February 29, 2016, we had $165.5 million of borrowings outstanding, of which 62.7% is floating.</w:t>
      </w:r>
    </w:p>
    <w:p>
      <w:pPr>
        <w:spacing w:after="0" w:line="18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analyzed the potential impact of changes in interest rates on interest income from investments net of interest expense on the Credit Facility. Assuming that our investments as of February 29, 2016 were to remain constant for a full fiscal year and no actions were taken to alter the existing interest rate terms, a hypothetical change of 1.0% in interest rates would cause a corresponding increase of approximately $0.4 million to our interest income net of interest expense.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statements of assets and liabilities and other business developments that could magnify or diminish our sensitivity to interest rate changes, nor does it account for divergences in LIBOR and the commercial paper rate, which have historically moved in tandem but, in times of unusual credit dislocations, have experienced periods of divergence. Accordingly no assurances can be given that actual results would not materially differ from the potential outcome simulated by this estimate.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consolidated financial statements are annexed to this Annual Report beginning on page F-1. In addition, the Financial Statements of Saratoga Investment Corp. CLO 2013-1, Ltd. are annexed to this Annual Report beginning on page S-1.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of the Exchange Act). Under the supervision and with participation of our Chief Executive Officer and Chief Financial Officer, the Company conducted an evaluation of the effectiveness of internal control over financial reporting based on the criteria established in Internal Control — Integrated Framework (2013) issued by the Committee of Sponsoring Organizations of the Treadway Commission (COSO). Based on the Company’s evaluation under the framework in Internal Control — Integrated Framework (2013), management concluded that the Company’s internal control over financial reporting was effective as of February 29, 2016.</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of Exchange Act) that occurred during our most recently completed fiscal year that have materially affected, or are reasonably likely to materially affect, the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sets forth the names, ages and positions held by each of our directors, followed by a brief biography of each individual, including the business experience of each individual during the past five years and the specific qualifications that led to the conclusion that each individual should serve as a director.</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40" w:type="dxa"/>
            <w:vAlign w:val="bottom"/>
            <w:vMerge w:val="restart"/>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4"/>
                <w:szCs w:val="14"/>
                <w:color w:val="auto"/>
              </w:rPr>
            </w:pPr>
          </w:p>
        </w:tc>
        <w:tc>
          <w:tcPr>
            <w:tcW w:w="38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Position</w:t>
            </w:r>
          </w:p>
        </w:tc>
        <w:tc>
          <w:tcPr>
            <w:tcW w:w="320" w:type="dxa"/>
            <w:vAlign w:val="bottom"/>
            <w:vMerge w:val="restart"/>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3"/>
              </w:rPr>
              <w:t>Director</w:t>
            </w:r>
          </w:p>
        </w:tc>
        <w:tc>
          <w:tcPr>
            <w:tcW w:w="30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Since</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Expires</w:t>
            </w:r>
          </w:p>
        </w:tc>
        <w:tc>
          <w:tcPr>
            <w:tcW w:w="0" w:type="dxa"/>
            <w:vAlign w:val="bottom"/>
          </w:tcPr>
          <w:p>
            <w:pPr>
              <w:spacing w:after="0"/>
              <w:rPr>
                <w:sz w:val="1"/>
                <w:szCs w:val="1"/>
                <w:color w:val="auto"/>
              </w:rPr>
            </w:pPr>
          </w:p>
        </w:tc>
      </w:tr>
      <w:tr>
        <w:trPr>
          <w:trHeight w:val="182"/>
        </w:trPr>
        <w:tc>
          <w:tcPr>
            <w:tcW w:w="45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Interested Directors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Christian L. Oberbeck</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4440" w:type="dxa"/>
            <w:vAlign w:val="bottom"/>
            <w:gridSpan w:val="3"/>
          </w:tcPr>
          <w:p>
            <w:pPr>
              <w:ind w:left="320"/>
              <w:spacing w:after="0"/>
              <w:rPr>
                <w:sz w:val="20"/>
                <w:szCs w:val="20"/>
                <w:color w:val="auto"/>
              </w:rPr>
            </w:pPr>
            <w:r>
              <w:rPr>
                <w:rFonts w:ascii="Arial" w:cs="Arial" w:eastAsia="Arial" w:hAnsi="Arial"/>
                <w:sz w:val="18"/>
                <w:szCs w:val="18"/>
                <w:color w:val="auto"/>
              </w:rPr>
              <w:t>Chairman of the Board and Chief Executive Officer</w:t>
            </w:r>
          </w:p>
        </w:tc>
        <w:tc>
          <w:tcPr>
            <w:tcW w:w="520" w:type="dxa"/>
            <w:vAlign w:val="bottom"/>
          </w:tcPr>
          <w:p>
            <w:pPr>
              <w:spacing w:after="0"/>
              <w:rPr>
                <w:sz w:val="20"/>
                <w:szCs w:val="20"/>
                <w:color w:val="auto"/>
              </w:rPr>
            </w:pPr>
            <w:r>
              <w:rPr>
                <w:rFonts w:ascii="Arial" w:cs="Arial" w:eastAsia="Arial" w:hAnsi="Arial"/>
                <w:sz w:val="18"/>
                <w:szCs w:val="18"/>
                <w:color w:val="auto"/>
              </w:rPr>
              <w:t>2010</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2"/>
        </w:trPr>
        <w:tc>
          <w:tcPr>
            <w:tcW w:w="4520" w:type="dxa"/>
            <w:vAlign w:val="bottom"/>
            <w:gridSpan w:val="2"/>
          </w:tcPr>
          <w:p>
            <w:pPr>
              <w:spacing w:after="0"/>
              <w:rPr>
                <w:sz w:val="20"/>
                <w:szCs w:val="20"/>
                <w:color w:val="auto"/>
              </w:rPr>
            </w:pPr>
            <w:r>
              <w:rPr>
                <w:rFonts w:ascii="Arial" w:cs="Arial" w:eastAsia="Arial" w:hAnsi="Arial"/>
                <w:sz w:val="18"/>
                <w:szCs w:val="18"/>
                <w:color w:val="auto"/>
              </w:rPr>
              <w:t>Michael J. Grisius</w:t>
            </w:r>
          </w:p>
        </w:tc>
        <w:tc>
          <w:tcPr>
            <w:tcW w:w="240" w:type="dxa"/>
            <w:vAlign w:val="bottom"/>
          </w:tcPr>
          <w:p>
            <w:pPr>
              <w:spacing w:after="0"/>
              <w:rPr>
                <w:sz w:val="20"/>
                <w:szCs w:val="20"/>
                <w:color w:val="auto"/>
              </w:rPr>
            </w:pPr>
            <w:r>
              <w:rPr>
                <w:rFonts w:ascii="Arial" w:cs="Arial" w:eastAsia="Arial" w:hAnsi="Arial"/>
                <w:sz w:val="18"/>
                <w:szCs w:val="18"/>
                <w:color w:val="auto"/>
              </w:rPr>
              <w:t>52</w:t>
            </w:r>
          </w:p>
        </w:tc>
        <w:tc>
          <w:tcPr>
            <w:tcW w:w="4440" w:type="dxa"/>
            <w:vAlign w:val="bottom"/>
            <w:gridSpan w:val="3"/>
          </w:tcPr>
          <w:p>
            <w:pPr>
              <w:ind w:left="320"/>
              <w:spacing w:after="0"/>
              <w:rPr>
                <w:sz w:val="20"/>
                <w:szCs w:val="20"/>
                <w:color w:val="auto"/>
              </w:rPr>
            </w:pPr>
            <w:r>
              <w:rPr>
                <w:rFonts w:ascii="Arial" w:cs="Arial" w:eastAsia="Arial" w:hAnsi="Arial"/>
                <w:sz w:val="18"/>
                <w:szCs w:val="18"/>
                <w:color w:val="auto"/>
              </w:rPr>
              <w:t>President and Director</w:t>
            </w:r>
          </w:p>
        </w:tc>
        <w:tc>
          <w:tcPr>
            <w:tcW w:w="520" w:type="dxa"/>
            <w:vAlign w:val="bottom"/>
          </w:tcPr>
          <w:p>
            <w:pPr>
              <w:spacing w:after="0"/>
              <w:rPr>
                <w:sz w:val="20"/>
                <w:szCs w:val="20"/>
                <w:color w:val="auto"/>
              </w:rPr>
            </w:pPr>
            <w:r>
              <w:rPr>
                <w:rFonts w:ascii="Arial" w:cs="Arial" w:eastAsia="Arial" w:hAnsi="Arial"/>
                <w:sz w:val="18"/>
                <w:szCs w:val="18"/>
                <w:color w:val="auto"/>
              </w:rPr>
              <w:t>2011</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Steven M. Looney</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44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2007</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Charles S. Whitman III</w:t>
            </w:r>
          </w:p>
        </w:tc>
        <w:tc>
          <w:tcPr>
            <w:tcW w:w="240" w:type="dxa"/>
            <w:vAlign w:val="bottom"/>
          </w:tcPr>
          <w:p>
            <w:pPr>
              <w:spacing w:after="0"/>
              <w:rPr>
                <w:sz w:val="20"/>
                <w:szCs w:val="20"/>
                <w:color w:val="auto"/>
              </w:rPr>
            </w:pPr>
            <w:r>
              <w:rPr>
                <w:rFonts w:ascii="Arial" w:cs="Arial" w:eastAsia="Arial" w:hAnsi="Arial"/>
                <w:sz w:val="18"/>
                <w:szCs w:val="18"/>
                <w:color w:val="auto"/>
              </w:rPr>
              <w:t>74</w:t>
            </w:r>
          </w:p>
        </w:tc>
        <w:tc>
          <w:tcPr>
            <w:tcW w:w="44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2007</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G. Cabell Williams</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44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520" w:type="dxa"/>
            <w:vAlign w:val="bottom"/>
          </w:tcPr>
          <w:p>
            <w:pPr>
              <w:spacing w:after="0"/>
              <w:rPr>
                <w:sz w:val="20"/>
                <w:szCs w:val="20"/>
                <w:color w:val="auto"/>
              </w:rPr>
            </w:pPr>
            <w:r>
              <w:rPr>
                <w:rFonts w:ascii="Arial" w:cs="Arial" w:eastAsia="Arial" w:hAnsi="Arial"/>
                <w:sz w:val="18"/>
                <w:szCs w:val="18"/>
                <w:color w:val="auto"/>
              </w:rPr>
              <w:t>2007</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b w:val="1"/>
          <w:bCs w:val="1"/>
          <w:i w:val="1"/>
          <w:iCs w:val="1"/>
          <w:color w:val="auto"/>
        </w:rPr>
        <w:t>Christian L. Oberbeck</w:t>
      </w:r>
      <w:r>
        <w:rPr>
          <w:rFonts w:ascii="Arial" w:cs="Arial" w:eastAsia="Arial" w:hAnsi="Arial"/>
          <w:sz w:val="16"/>
          <w:szCs w:val="16"/>
          <w:color w:val="auto"/>
        </w:rPr>
        <w:t>—Mr. Oberbeck has over 28 years of experience in leveraged finance, from distressed debt to private equity, and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involved in originating, structuring, negotiating, consummating, managing and monitoring investments in these businesses. Mr. Oberbeck is the Managing Partner of Saratoga Partners, a middle market private equity investment firm, and has served on its investment committee since 1995. Mr. Oberbeck is also the Managing Member of Saratoga Investment Advisors, LLC, the Company’s investment adviser, and the Chief Executive Officer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Mr. Oberbeck also served as our President until February 2014.</w:t>
      </w:r>
    </w:p>
    <w:p>
      <w:pPr>
        <w:spacing w:after="0" w:line="21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Prior to assuming management responsibility for Saratoga Partners in 2008, Mr. Oberbeck has co-managed Saratoga Partners since 1995, when he joined Dillon Read and Saratoga Partners from Castle Harlan, Inc., a corporate buyout firm which he had joined at its founding in 1987 and was a Managing Director, leading successful investments in manufacturing and financial services companies. Prior to that, he worked in the Corporate Development Group of Arthur Young and in corporate finance at Blyth Eastman Paine Webber. Mr. Oberbeck has been a director of numerous middle market companies.</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Mr. Oberbeck graduated from Brown University in 1982 with a BS in Physics and a BA in Mathematics. In 1985, he earned an MBA from Columbia University. Mr. Oberbeck’s qualifications as a director include his extensive experience in the investment and finance industry, as well as his intimate knowledge of the Company’s operations, gained through his service as an executive officer.</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Michael J. Grisius</w:t>
      </w:r>
      <w:r>
        <w:rPr>
          <w:rFonts w:ascii="Arial" w:cs="Arial" w:eastAsia="Arial" w:hAnsi="Arial"/>
          <w:sz w:val="18"/>
          <w:szCs w:val="18"/>
          <w:color w:val="auto"/>
        </w:rPr>
        <w:t>—Mr. Grisius has over 25 years of experience in leveraged finance, investment management and financial services.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originated, structured, negotiated, consummated, managed and monitored numerous successful investments in mezzanine debt, private equity, senior debt, structured products and commercial real estate debt. Mr. Grisius is Chief Investment Officer and a Managing Director of Saratoga Investment Advisors, LLC, the Company’s investment adviser, and was appointed President of the Company in February 2013. Mr. Grisius joined Saratoga Investment Advisors, LLC in July 2011.</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Prior to joining Saratoga Investment Advisors, Mr. Grisius served as Managing Director at Allied Capital Corporation, where he was an investment professional for 16 years. At Allied Capital Corporation, Mr. Grisius held several senior positions including co-head of Mezzanine Finance and member of its Management Committee and its Investment Committee. In 2008, Mr. Grisius was appointed co-chairman of the Allied Capital Corporation’s Investment Committee. He also had responsibility for structuring and managing Unitranche Fund, LLC. During his tenure at Allied, Mr. Grisius built and led teams that made investments in subordinated debt, control equity and real estate mortgage debt. Mr. Grisius has served on the board of directors of numerous middle market companies. Prior to joining Allied Capital Corp., Mr. Grisius worked in leveraged finance at Chemical Bank from 1989 to 1992 and held senior accountant and consultant positions with KPMG LLP from 1985 to 1988.</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Mr. Grisius graduated with a BS from Georgetown University in 1985 and earned an MBA from Cornell University’s Johnson Graduate School of Management in 1990. Mr. Grisius’ qualifications as a director include his broad experience in leverage finance, investment management, private equity and financial services.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Steven M. Looney</w:t>
      </w:r>
      <w:r>
        <w:rPr>
          <w:rFonts w:ascii="Arial" w:cs="Arial" w:eastAsia="Arial" w:hAnsi="Arial"/>
          <w:sz w:val="16"/>
          <w:szCs w:val="16"/>
          <w:color w:val="auto"/>
        </w:rPr>
        <w:t>—Mr. Looney is a Managing Director of Peale Davies &amp; Co. Inc., a consulting firm with particular expertise in financial process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outsourcing, and is a CPA and an attorney. Mr. Looney also serves as a consultant and director to numerous companies in the healthcare, manufacturing and technology services industries, including WH Industries Inc. Between 2000 and 2005, he served as Senior Vice President and Chief Financial Officer of PCCI, Inc., a private IT staffing and outsourcing firm. Between 1992 and 2000, Mr. Looney worked at WH Industries as Chief Financial and Administrative Officer. Mr. Looney also serves as a director of Excellent Education for Everyone, a nonprofit organization. Mr. Looney graduated summa cum laude from the University of Washington with a B.A. degree in Accounting and received a J.D. from the University of Washington School of Law where he was a member of the law review. Mr. Looney’s qualifications as director include his experience as a Managing Director of Peale Davies &amp; Co. Inc. and as Chief Financial and Administrative Officer of WH Industries, as well as his financial, accounting and legal expertise.</w:t>
      </w:r>
    </w:p>
    <w:p>
      <w:pPr>
        <w:spacing w:after="0" w:line="16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t>Charles S. Whitman III</w:t>
      </w:r>
      <w:r>
        <w:rPr>
          <w:rFonts w:ascii="Arial" w:cs="Arial" w:eastAsia="Arial" w:hAnsi="Arial"/>
          <w:sz w:val="16"/>
          <w:szCs w:val="16"/>
          <w:color w:val="auto"/>
        </w:rPr>
        <w:t>—Mr. Whitman is senior counsel (retired) at Davis Polk &amp; Wardwell LLP. Mr. Whitman was a partner in Davis Polk’s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Department for 28 years, representing clients in a broad range of corporate finance matters, including shelf registrations, securities compliance for financial institutions, foreign asset privatizations, and mergers and acquisitions. From 1971 to 1973, Mr. Whitman served as Executive Assistant to three successive Chairmen of the SEC. Mr. Whitman graduated from Harvard College and graduated magna cum laude from Harvard Law School with a LL.B. Mr. Whitman also received an LL.M. from Cambridge University in England. Mr. Whitman’s qualifications as director include his 28 years of experience representing clients, including AT&amp;T, Exxon Mobil, General Motors and BP, in securities matters as a partner in Davis Polk’s corporate department.</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G. Cabell Williams</w:t>
      </w:r>
      <w:r>
        <w:rPr>
          <w:rFonts w:ascii="Arial" w:cs="Arial" w:eastAsia="Arial" w:hAnsi="Arial"/>
          <w:sz w:val="17"/>
          <w:szCs w:val="17"/>
          <w:color w:val="auto"/>
        </w:rPr>
        <w:t>—Mr. Williams has served as the Managing General Partner of Williams and Gallagher, a private equity partnership located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Chevy Chase, Maryland since 2004. Mr. Williams is also a Senior Manager, Director of Farragut Capital Partners which is a Chevy Chase, Maryland based Mezzanine Fund. Since 2011, Mr. Williams has also served as a partner of Farragut Capital Partners, an investment firm based in Fairfax, VA. In 2004, Mr. Williams concluded a 23 year career at Allied Capital Corporation, a business development company based in Washington, DC, which was acquired by Ares Capital Corporation in 2010. While at Allied, Mr. Williams held a variety of positions, including President, COO and finally Managing Director following Allied’s merger with its affiliates in 1998. From 1991 to 2004, Mr. Williams either led or co-managed the firm’s Private Equity Group. For the nine years prior to 1999, Mr. Williams led Allied’s Mezzanine investment activities. For 15 years, Mr. Williams served on Allied’s Investment Committee where he was responsible for reviewing and approving all of the firm’s investments. Prior to 1991, Mr. Williams ran Allied’s Minority Small Business Investment Company. He also founded Allied Capital Commercial Corporation, a real estate investment vehicle. Mr. Williams has served on the Board of various public and private companies. Mr. Williams attended The Landon School, and graduated from Mercersburg Academy and Rollins College, receiving a B.S. in Business Administration from the latter. Mr. Williams’ qualifications as director include his 28 years of experience managing investment activities at Allied Capital, where he served in a variety of positions, including President, COO and Managing Director.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Who Is Not also a Director</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following table sets forth the name, age and position held by our executive officer who is not also a director, followed by a brief biography, including the business experience during the past five years.</w:t>
      </w:r>
    </w:p>
    <w:p>
      <w:pPr>
        <w:spacing w:after="0" w:line="189" w:lineRule="exact"/>
        <w:rPr>
          <w:sz w:val="20"/>
          <w:szCs w:val="20"/>
          <w:color w:val="auto"/>
        </w:rPr>
      </w:pPr>
    </w:p>
    <w:p>
      <w:pPr>
        <w:ind w:left="1840"/>
        <w:spacing w:after="0"/>
        <w:tabs>
          <w:tab w:leader="none" w:pos="5720" w:val="left"/>
          <w:tab w:leader="none" w:pos="76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15240</wp:posOffset>
            </wp:positionV>
            <wp:extent cx="2101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Executive Officer</w:t>
      </w:r>
    </w:p>
    <w:p>
      <w:pPr>
        <w:spacing w:after="0" w:line="7" w:lineRule="exact"/>
        <w:rPr>
          <w:sz w:val="20"/>
          <w:szCs w:val="20"/>
          <w:color w:val="auto"/>
        </w:rPr>
      </w:pPr>
    </w:p>
    <w:p>
      <w:pPr>
        <w:ind w:left="1840"/>
        <w:spacing w:after="0"/>
        <w:tabs>
          <w:tab w:leader="none" w:pos="5720" w:val="left"/>
          <w:tab w:leader="none" w:pos="6260" w:val="left"/>
        </w:tabs>
        <w:rPr>
          <w:sz w:val="20"/>
          <w:szCs w:val="20"/>
          <w:color w:val="auto"/>
        </w:rPr>
      </w:pPr>
      <w:r>
        <w:rPr>
          <w:rFonts w:ascii="Arial" w:cs="Arial" w:eastAsia="Arial" w:hAnsi="Arial"/>
          <w:sz w:val="18"/>
          <w:szCs w:val="18"/>
          <w:color w:val="auto"/>
        </w:rPr>
        <w:t>Henri J. Steenkamp</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Chief Financial Officer, Chief Compliance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Treasurer and Secretary</w:t>
      </w:r>
    </w:p>
    <w:p>
      <w:pPr>
        <w:spacing w:after="0" w:line="21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b w:val="1"/>
          <w:bCs w:val="1"/>
          <w:i w:val="1"/>
          <w:iCs w:val="1"/>
          <w:color w:val="auto"/>
        </w:rPr>
        <w:t>Henri J. Steenkamp</w:t>
      </w:r>
      <w:r>
        <w:rPr>
          <w:rFonts w:ascii="Arial" w:cs="Arial" w:eastAsia="Arial" w:hAnsi="Arial"/>
          <w:sz w:val="17"/>
          <w:szCs w:val="17"/>
          <w:color w:val="auto"/>
        </w:rPr>
        <w:t>— Mr. Steenkamp, 40 years old, had served as the Chief Financial Officer of MF Global Holdings Ltd., a broker in commodities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derivatives, from April 2011. Prior to that, Mr. Steenkamp held the position of Chief Accounting Officer and Global Controller at MF Global for four years. He joined MF Global, then Man Financial, in 2006 as Vice President of External Reporting and Accounting Policy. After MF Global filed for bankruptcy protection in October 2011, he continued to serve as Chief Financial Officer through January 2013.</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Before joining MF Global, Mr. Steenkamp spent eight years with PricewaterhouseCoopers (“PwC”), including four years in Transaction Services in its New York office, managing a variety of capital-raising transactions on a global basis. His focus was also on the SEC registration and public company filing process, including technical accounting. He spent four years with PwC in South Africa, where he served as an auditor primarily for SEC registrants and assisted South African companies as they went public in the U.S. Mr. Steenkamp is a chartered accountant and holds an honors degree in Finance.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Section 16(a) of the Securities Exchange Act of 1934 requires our directors and executive officers, and persons who own 10.0% or more of our voting stock, to file reports of ownership and changes in ownership of our equity securities with the SEC. Directors, executive officers and 10.0% or more holders are required by SEC regulations to furnish us with copies of all Section 16(a) forms they file. Based solely on a review of the copies of those forms furnished to us, or written representations that no such forms were required, we believe that our directors, executive officers and 10.0% or more beneficial owners complied with all Section 16(a) filing requirements during the year ended February 29,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that applies to which applies to, among others, our executive officers, including our principal executive officer and principal financial officer, as well as every officer, director and employee of the Company. Requests for copies should be sent in writing to Saratoga Investment Corp., 535 Madison Avenue, New York, New York 10022. The Company’s Code of Business Conduct and Ethics is also available on our website at </w:t>
      </w:r>
      <w:r>
        <w:rPr>
          <w:rFonts w:ascii="Arial" w:cs="Arial" w:eastAsia="Arial" w:hAnsi="Arial"/>
          <w:sz w:val="18"/>
          <w:szCs w:val="18"/>
          <w:i w:val="1"/>
          <w:iCs w:val="1"/>
          <w:color w:val="auto"/>
        </w:rPr>
        <w:t>http://saratogainvestmentcorp.com</w:t>
      </w:r>
      <w:r>
        <w:rPr>
          <w:rFonts w:ascii="Arial" w:cs="Arial" w:eastAsia="Arial" w:hAnsi="Arial"/>
          <w:sz w:val="18"/>
          <w:szCs w:val="18"/>
          <w:color w:val="auto"/>
        </w:rPr>
        <w:t>.</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If we make any substantive amendment to, or grant a waiver from, a provision of our Code of Business Conduct and Ethics, we will promptly disclose the nature of the amendment or waiver on our website at </w:t>
      </w:r>
      <w:r>
        <w:rPr>
          <w:rFonts w:ascii="Arial" w:cs="Arial" w:eastAsia="Arial" w:hAnsi="Arial"/>
          <w:sz w:val="18"/>
          <w:szCs w:val="18"/>
          <w:i w:val="1"/>
          <w:iCs w:val="1"/>
          <w:color w:val="auto"/>
        </w:rPr>
        <w:t>http://saratogainvestmentcorp.com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There have been no material changes to the procedures by which stockholders may recommend nominees to our Board of Directors implemented since the filing of our Proxy Statement for our 2015 Annual Meeting of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current members of the audit committee are Steven M. Looney (Chairman), Charles S. Whitman III and G. Cabell Williams. The Board has determined that Mr. Looney is an “audit committee financial expert” as defined under Item 407 of Regulation S-K of the Securities Exchange Act of 1934 and that each of Messrs. Whitman and Williams are “financially literate” as required by NYSE corporate governance standards. All of these members are independent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Currently, none of our executive officers are compensated by us. We currently have no employees, and each of our executive officers is also an employee of Saratoga Investment Advisors. Services necessary for our business are provided by individuals who are employees of Saratoga Investment Advisors, pursuant to the terms of the Management Agreement and an administration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concerning total compensation earned by or paid to each of our directors during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40" w:type="dxa"/>
            <w:vAlign w:val="bottom"/>
            <w:vMerge w:val="restart"/>
          </w:tcPr>
          <w:p>
            <w:pPr>
              <w:spacing w:after="0"/>
              <w:rPr>
                <w:sz w:val="14"/>
                <w:szCs w:val="14"/>
                <w:color w:val="auto"/>
              </w:rPr>
            </w:pPr>
          </w:p>
        </w:tc>
        <w:tc>
          <w:tcPr>
            <w:tcW w:w="3240" w:type="dxa"/>
            <w:vAlign w:val="bottom"/>
            <w:gridSpan w:val="3"/>
          </w:tcPr>
          <w:p>
            <w:pPr>
              <w:ind w:left="2300"/>
              <w:spacing w:after="0"/>
              <w:rPr>
                <w:sz w:val="20"/>
                <w:szCs w:val="20"/>
                <w:color w:val="auto"/>
              </w:rPr>
            </w:pPr>
            <w:r>
              <w:rPr>
                <w:rFonts w:ascii="Arial" w:cs="Arial" w:eastAsia="Arial" w:hAnsi="Arial"/>
                <w:sz w:val="14"/>
                <w:szCs w:val="14"/>
                <w:b w:val="1"/>
                <w:bCs w:val="1"/>
                <w:color w:val="auto"/>
                <w:w w:val="90"/>
              </w:rPr>
              <w:t>Fees Earned or</w:t>
            </w:r>
          </w:p>
        </w:tc>
        <w:tc>
          <w:tcPr>
            <w:tcW w:w="64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3740" w:type="dxa"/>
            <w:vAlign w:val="bottom"/>
            <w:tcBorders>
              <w:bottom w:val="single" w:sz="8" w:color="CCEEFF"/>
            </w:tcBorders>
            <w:vMerge w:val="continue"/>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Paid in Cash</w:t>
            </w: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w:t>
            </w:r>
          </w:p>
        </w:tc>
        <w:tc>
          <w:tcPr>
            <w:tcW w:w="2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Christian L. Oberbeck(1)</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Grisius(1)</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2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2"/>
              </w:rPr>
              <w:t>$71,000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Charles S. Whitman III</w:t>
            </w:r>
          </w:p>
        </w:tc>
        <w:tc>
          <w:tcPr>
            <w:tcW w:w="256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68,000</w:t>
            </w:r>
          </w:p>
        </w:tc>
        <w:tc>
          <w:tcPr>
            <w:tcW w:w="124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$68,000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2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2"/>
              </w:rPr>
              <w:t>$68,000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compensation was paid to directors who are interested persons of us as defined in the 1940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current members of the compensation committee are G. Cabell Williams (Chairman), Steven M. Looney and Charles S. Whitman III. All of these members are independent directors. The compensation committee is responsible for overseeing the Company’s compensation policies generally and making recommendations to the Board with respect to incentive compensation and equity-based plans of the Company that are subject to Board approval, evaluating executive officer performance and reviewing the Company’s management succession plan, overseeing and setting compensation for the Company’s directors and, as applicable, its executive officers and, as applicable, preparing the report on executive officer compensation that SEC rules require to be included in our annual report on Form 10-K. Currently, none of our executive officers are compensated by the Company and as such the compensation committee is not required to produce a report on executive officer compensation for inclusion in our annual report on Form 10-K.</w:t>
      </w:r>
    </w:p>
    <w:p>
      <w:pPr>
        <w:spacing w:after="0" w:line="167"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During fiscal year 2016, none of the Company’s executive officers served on the board of directors (or a compensation committee thereof or other board committee performing equivalent functions) of any entities that had one or more executive officers serve on the compensation committee or on the board of directors. No current or past executive officers or employees of the Company or its affiliates serve on the compensation committee.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table sets forth, as of May 16, 2016, the beneficial ownership of each current director, the nominees for director, the Company’s executive officers, each person known to us to beneficially own 5.0% or more of the outstanding shares of our common stock, and the executive officers and directors as a group.</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percentage ownership is based on 5,763,780 shares of common stock outstanding as of May 16, 2016. Shares of common stock that are subject to warrants or other convertible securities currently exercisable or exercisable within 60 days thereof, are deemed outstanding for the purposes of computing the percentage ownership of the person holding these options or convertible securities, but are not deemed outstanding for computing the percentage ownership of any other person. Beneficial ownership is determined under the rules of the SEC and generally includes voting or investment power with respect to securities. To our knowledge, unless otherwise indicated in the footnotes to this table, the persons and entities named in the table have sole voting and sole investment power with respect to all shares beneficially owned. Unless otherwise indicated by footnote, the address for each listed individual is Saratoga Investment Corp., 535 Madison Avenue, New York, New York 10022.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2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1"/>
              </w:rPr>
              <w:t>Number of Shares of</w:t>
            </w: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Name of Beneficial Owners</w:t>
            </w:r>
          </w:p>
        </w:tc>
        <w:tc>
          <w:tcPr>
            <w:tcW w:w="980" w:type="dxa"/>
            <w:vAlign w:val="bottom"/>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Beneficially Owned</w:t>
            </w:r>
          </w:p>
        </w:tc>
        <w:tc>
          <w:tcPr>
            <w:tcW w:w="3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Interested Directors</w:t>
            </w:r>
          </w:p>
        </w:tc>
        <w:tc>
          <w:tcPr>
            <w:tcW w:w="29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Christian L. Oberbeck</w:t>
            </w:r>
          </w:p>
        </w:tc>
        <w:tc>
          <w:tcPr>
            <w:tcW w:w="2820" w:type="dxa"/>
            <w:vAlign w:val="bottom"/>
            <w:gridSpan w:val="3"/>
          </w:tcPr>
          <w:p>
            <w:pPr>
              <w:jc w:val="right"/>
              <w:ind w:right="360"/>
              <w:spacing w:after="0"/>
              <w:rPr>
                <w:sz w:val="20"/>
                <w:szCs w:val="20"/>
                <w:color w:val="auto"/>
              </w:rPr>
            </w:pPr>
            <w:r>
              <w:rPr>
                <w:rFonts w:ascii="Arial" w:cs="Arial" w:eastAsia="Arial" w:hAnsi="Arial"/>
                <w:sz w:val="18"/>
                <w:szCs w:val="18"/>
                <w:color w:val="auto"/>
              </w:rPr>
              <w:t>1,641,151(1)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Grisius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130,189</w:t>
            </w: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J. Steenkamp</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Charles S. Whitman III</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2,204</w:t>
            </w:r>
          </w:p>
        </w:tc>
        <w:tc>
          <w:tcPr>
            <w:tcW w:w="5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36,157</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1,815,978</w:t>
            </w:r>
          </w:p>
        </w:tc>
        <w:tc>
          <w:tcPr>
            <w:tcW w:w="56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Owners of 5% or more of our common stock</w:t>
            </w:r>
          </w:p>
        </w:tc>
        <w:tc>
          <w:tcPr>
            <w:tcW w:w="9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Black Diamond Capital Management, L.L.C.(2)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584,640</w:t>
            </w:r>
          </w:p>
        </w:tc>
        <w:tc>
          <w:tcPr>
            <w:tcW w:w="56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Oberbeck(3)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744,183</w:t>
            </w: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Thomas V. Inglesby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321,576</w:t>
            </w:r>
          </w:p>
        </w:tc>
        <w:tc>
          <w:tcPr>
            <w:tcW w:w="56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21"/>
        </w:trPr>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8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760" w:type="dxa"/>
            <w:vAlign w:val="bottom"/>
            <w:gridSpan w:val="4"/>
          </w:tcPr>
          <w:p>
            <w:pPr>
              <w:ind w:left="180"/>
              <w:spacing w:after="0"/>
              <w:rPr>
                <w:sz w:val="20"/>
                <w:szCs w:val="20"/>
                <w:color w:val="auto"/>
              </w:rPr>
            </w:pPr>
            <w:r>
              <w:rPr>
                <w:rFonts w:ascii="Arial" w:cs="Arial" w:eastAsia="Arial" w:hAnsi="Arial"/>
                <w:sz w:val="18"/>
                <w:szCs w:val="18"/>
                <w:color w:val="auto"/>
              </w:rPr>
              <w:t>Less than 1.0%</w:t>
            </w:r>
          </w:p>
        </w:tc>
        <w:tc>
          <w:tcPr>
            <w:tcW w:w="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Mr. Oberbeck and Mr. Inglesby are affiliates who make up 34.0% of the ownership of SAR.</w:t>
      </w:r>
    </w:p>
    <w:p>
      <w:pPr>
        <w:spacing w:after="0" w:line="131" w:lineRule="exact"/>
        <w:rPr>
          <w:sz w:val="20"/>
          <w:szCs w:val="20"/>
          <w:color w:val="auto"/>
        </w:rPr>
      </w:pPr>
    </w:p>
    <w:p>
      <w:pPr>
        <w:ind w:left="460" w:right="80" w:hanging="452"/>
        <w:spacing w:after="0" w:line="25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511,006 shares of common stock directly held by Mr. Oberbeck, 183,525 shares of common stock held by Saratoga Investment Advisors, which Mr. Oberbeck controls, and 202,437 shares of common stock held by CLO Partners LLC, an entity wholly owned by Mr. Oberbeck and 744,183 shares of common stock directly held by Elizabeth Oberbeck. See footnote 3 below.</w:t>
      </w:r>
    </w:p>
    <w:p>
      <w:pPr>
        <w:jc w:val="both"/>
        <w:ind w:left="460" w:right="780" w:hanging="452"/>
        <w:spacing w:after="0" w:line="28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information included in Amendment No. 5 to Schedule 13G filed by Black Diamond Capital Management, L.L.C. with the SEC on February 12, 2016. The address of Black Diamond Capital Management, L.L.C. is One Sound Shore Drive, Suite 200, Greenwich, CT 06830</w:t>
      </w:r>
    </w:p>
    <w:p>
      <w:pPr>
        <w:spacing w:after="0" w:line="1" w:lineRule="exact"/>
        <w:rPr>
          <w:rFonts w:ascii="Arial" w:cs="Arial" w:eastAsia="Arial" w:hAnsi="Arial"/>
          <w:sz w:val="16"/>
          <w:szCs w:val="16"/>
          <w:color w:val="auto"/>
        </w:rPr>
      </w:pPr>
    </w:p>
    <w:p>
      <w:pPr>
        <w:jc w:val="both"/>
        <w:ind w:left="460" w:right="60" w:hanging="452"/>
        <w:spacing w:after="0" w:line="28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information included in Amendment No. 3 to Schedule 13D filed jointly by Christian L. Oberbeck, Elizabeth Oberbeck, Saratoga Investment Advisors and CLO Partners LLC on November 4, 2014. Pursuant to an Agreement Relating to Shares of Common Stock of Saratoga Investment Corp. (the “Transfer Agreement”), Christian L. Oberbeck transferred 744,183 shares of common stock beneficially owned by him to Elizabeth Oberbeck.</w:t>
      </w:r>
    </w:p>
    <w:p>
      <w:pPr>
        <w:spacing w:after="0" w:line="2" w:lineRule="exact"/>
        <w:rPr>
          <w:rFonts w:ascii="Arial" w:cs="Arial" w:eastAsia="Arial" w:hAnsi="Arial"/>
          <w:sz w:val="16"/>
          <w:szCs w:val="16"/>
          <w:color w:val="auto"/>
        </w:rPr>
      </w:pP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Elizabeth Oberbeck has full ownership rights with respect to the shares, including without limitation, the right to (A) receive any cash and/or stock dividends and distributions paid on or with respect to the shares and (B) sell the shares in accordance with the provisions of the Transfer Agreement and receive all proceeds therefrom. However, pursuant to the terms of the Transfer Agreement, Christian L. Oberbeck has retained the right to vote the shares, except that Elizabeth Oberbeck has retained the right to vote the shares on all matters submitted to shareholders with respect to any matter that could give rise to dissenters or other rights of an objecting shareholder under Maryland General Corporation Law. The Transfer Agreement also contains a right of first refusal that requires Elizabeth Oberbeck to offer Christian L. Oberbeck the opportunity to purchase any shares of Common Stock owned by her prior to her intended sale of the shares. Any such purchases may be made either directly by Mr. Oberbeck or through entities affiliated with him.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500"/>
        <w:spacing w:after="0" w:line="37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Transactions with Related Persons</w:t>
      </w:r>
    </w:p>
    <w:p>
      <w:pPr>
        <w:ind w:right="20" w:firstLine="456"/>
        <w:spacing w:after="0" w:line="257" w:lineRule="auto"/>
        <w:rPr>
          <w:sz w:val="20"/>
          <w:szCs w:val="20"/>
          <w:color w:val="auto"/>
        </w:rPr>
      </w:pPr>
      <w:r>
        <w:rPr>
          <w:rFonts w:ascii="Arial" w:cs="Arial" w:eastAsia="Arial" w:hAnsi="Arial"/>
          <w:sz w:val="18"/>
          <w:szCs w:val="18"/>
          <w:color w:val="auto"/>
        </w:rPr>
        <w:t>We have entered into a Management Agreement with Saratoga Investment Advisors, LLC. We have also entered into a license agreement with Saratoga Investment Advisors, LLC, pursuant to which Saratoga Investment Advisors has agreed to grant us a non-exclusive, royalty-free license to use the name “Saratoga.” In addition, pursuant to the terms of the administration agreement, Saratoga Investment Advisors, LLC provides us with the office facilities and administrative services necessary to conduct our day-to-day operations. Mr. Oberbeck, our chief executive officer, is the primary investor in and controls Saratoga Investment Advisors, LLC.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Audit Committee of our board is required to review and approve any transactions with related persons (as such term is defined in Item 404 of Regulation 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accordance with rules of the New York Stock Exchange (the “NYSE”),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Company’s Nominating and Corporate Governance Committee and through a questionnaire to be completed by each director no less frequently than annually, with updates periodically if information provided in the most recent questionnaire has changed.</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to evaluate the materiality of any such relationship, the Board uses the definition of director independence set forth in the NYSE Listed Company Manual. Section 303A.00 of the NYSE Listed Company Manual provides that business development companies, or BDCs, such as the Company, are required to comply with all of the provisions of Section 303A applicable to domestic issuers other than Sections 303A.02, the section that defines director independence.</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Section 303A.00 provides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Board has determined that each of the directors is independent and has no relationship with the Company, except as a director and stockholder of the Company, with the exception of Messrs. Oberbeck and Grisius who are interested persons of the Company due to their positions as officers of the Company and its investment adviser.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the years ended February 29, 2016 and February 28, 2015, the Company incurred the following fees for services provided by Ernst &amp; Young LLP, including expenses: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Fiscal Year Ended</w:t>
            </w:r>
          </w:p>
        </w:tc>
        <w:tc>
          <w:tcPr>
            <w:tcW w:w="8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r>
      <w:tr>
        <w:trPr>
          <w:trHeight w:val="171"/>
        </w:trPr>
        <w:tc>
          <w:tcPr>
            <w:tcW w:w="2820" w:type="dxa"/>
            <w:vAlign w:val="bottom"/>
          </w:tcPr>
          <w:p>
            <w:pPr>
              <w:spacing w:after="0"/>
              <w:rPr>
                <w:sz w:val="14"/>
                <w:szCs w:val="14"/>
                <w:color w:val="auto"/>
              </w:rPr>
            </w:pPr>
          </w:p>
        </w:tc>
        <w:tc>
          <w:tcPr>
            <w:tcW w:w="3740" w:type="dxa"/>
            <w:vAlign w:val="bottom"/>
            <w:gridSpan w:val="3"/>
          </w:tcPr>
          <w:p>
            <w:pPr>
              <w:jc w:val="right"/>
              <w:spacing w:after="0"/>
              <w:rPr>
                <w:sz w:val="20"/>
                <w:szCs w:val="20"/>
                <w:color w:val="auto"/>
              </w:rPr>
            </w:pPr>
            <w:r>
              <w:rPr>
                <w:rFonts w:ascii="Arial" w:cs="Arial" w:eastAsia="Arial" w:hAnsi="Arial"/>
                <w:sz w:val="14"/>
                <w:szCs w:val="14"/>
                <w:b w:val="1"/>
                <w:bCs w:val="1"/>
                <w:color w:val="auto"/>
              </w:rPr>
              <w:t>February 29, 2016</w:t>
            </w:r>
          </w:p>
        </w:tc>
        <w:tc>
          <w:tcPr>
            <w:tcW w:w="2120" w:type="dxa"/>
            <w:vAlign w:val="bottom"/>
            <w:gridSpan w:val="4"/>
          </w:tcPr>
          <w:p>
            <w:pPr>
              <w:ind w:left="880"/>
              <w:spacing w:after="0"/>
              <w:rPr>
                <w:sz w:val="20"/>
                <w:szCs w:val="20"/>
                <w:color w:val="auto"/>
              </w:rPr>
            </w:pPr>
            <w:r>
              <w:rPr>
                <w:rFonts w:ascii="Arial" w:cs="Arial" w:eastAsia="Arial" w:hAnsi="Arial"/>
                <w:sz w:val="14"/>
                <w:szCs w:val="14"/>
                <w:b w:val="1"/>
                <w:bCs w:val="1"/>
                <w:color w:val="auto"/>
              </w:rPr>
              <w:t>February 28, 2015</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642,080</w:t>
            </w: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Audit Related Fees</w:t>
            </w: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27,000</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38,870</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spacing w:after="0"/>
              <w:rPr>
                <w:sz w:val="18"/>
                <w:szCs w:val="18"/>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All Other Fees</w:t>
            </w:r>
          </w:p>
        </w:tc>
        <w:tc>
          <w:tcPr>
            <w:tcW w:w="2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29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707,950</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576,710</w:t>
            </w:r>
          </w:p>
        </w:tc>
        <w:tc>
          <w:tcPr>
            <w:tcW w:w="100" w:type="dxa"/>
            <w:vAlign w:val="bottom"/>
            <w:shd w:val="clear" w:color="auto" w:fill="CCEEFF"/>
          </w:tcPr>
          <w:p>
            <w:pPr>
              <w:spacing w:after="0"/>
              <w:rPr>
                <w:sz w:val="18"/>
                <w:szCs w:val="18"/>
                <w:color w:val="auto"/>
              </w:rPr>
            </w:pPr>
          </w:p>
        </w:tc>
      </w:tr>
      <w:tr>
        <w:trPr>
          <w:trHeight w:val="365"/>
        </w:trPr>
        <w:tc>
          <w:tcPr>
            <w:tcW w:w="2820" w:type="dxa"/>
            <w:vAlign w:val="bottom"/>
          </w:tcPr>
          <w:p>
            <w:pPr>
              <w:spacing w:after="0"/>
              <w:rPr>
                <w:sz w:val="24"/>
                <w:szCs w:val="24"/>
                <w:color w:val="auto"/>
              </w:rPr>
            </w:pP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include fees for services that normally would be provided by the accountant in connection with statutory and regulatory filings</w:t>
      </w:r>
      <w:r>
        <w:rPr>
          <w:rFonts w:ascii="Arial" w:cs="Arial" w:eastAsia="Arial" w:hAnsi="Arial"/>
          <w:sz w:val="18"/>
          <w:szCs w:val="18"/>
          <w:i w:val="1"/>
          <w:iCs w:val="1"/>
          <w:color w:val="auto"/>
        </w:rPr>
        <w:t xml:space="preserve"> </w:t>
      </w:r>
      <w:r>
        <w:rPr>
          <w:rFonts w:ascii="Arial" w:cs="Arial" w:eastAsia="Arial" w:hAnsi="Arial"/>
          <w:sz w:val="18"/>
          <w:szCs w:val="18"/>
          <w:color w:val="auto"/>
        </w:rPr>
        <w:t>or engagements and that generally only the independent accountant can provide. In addition to fees for the audit of our annual consolidated financial statements, the audit of the effectiveness of our internal control over financial reporting and the review of our quarterly consolidated financial statements in accordance with generally accepted auditing standards, this category contains fees for comfort letters, statutory audits, consents, and assistance with and review of documents filed with the SEC.</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Audit related fees are assurance related services that traditionally are performed by the independent accountant, such as attest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that are not required by statute or regulation.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services in conjunction with preparation of the Company’s tax return.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Fees for other services would include fees for products and services other than the services reported above.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is the policy of the audit committee to pre-approve all audit, review or attest engagements and permissible non-audit services to be performed by our independent registered public accounting firm.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20"/>
          </w:cols>
          <w:pgMar w:left="24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consolidated financial statements of the Company are filed herewith: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Assets and Liabilities as of February 29, 2016 and February 28, 2015</w:t>
      </w:r>
    </w:p>
    <w:p>
      <w:pPr>
        <w:spacing w:after="0" w:line="117" w:lineRule="exact"/>
        <w:rPr>
          <w:sz w:val="20"/>
          <w:szCs w:val="20"/>
          <w:color w:val="auto"/>
        </w:rPr>
      </w:pPr>
    </w:p>
    <w:p>
      <w:pPr>
        <w:ind w:left="920" w:right="820"/>
        <w:spacing w:after="0" w:line="375" w:lineRule="auto"/>
        <w:rPr>
          <w:sz w:val="20"/>
          <w:szCs w:val="20"/>
          <w:color w:val="auto"/>
        </w:rPr>
      </w:pPr>
      <w:r>
        <w:rPr>
          <w:rFonts w:ascii="Arial" w:cs="Arial" w:eastAsia="Arial" w:hAnsi="Arial"/>
          <w:sz w:val="18"/>
          <w:szCs w:val="18"/>
          <w:color w:val="auto"/>
        </w:rPr>
        <w:t>Consolidated Statements of Operations for the years ended February 29, 2016, February 28, 2015 and February 28, 2014 Consolidated Schedules of Investments as of February 29, 2016 and February 28, 2015</w:t>
      </w:r>
    </w:p>
    <w:p>
      <w:pPr>
        <w:spacing w:after="0" w:line="1" w:lineRule="exact"/>
        <w:rPr>
          <w:sz w:val="20"/>
          <w:szCs w:val="20"/>
          <w:color w:val="auto"/>
        </w:rPr>
      </w:pPr>
    </w:p>
    <w:p>
      <w:pPr>
        <w:ind w:left="920"/>
        <w:spacing w:after="0" w:line="389" w:lineRule="auto"/>
        <w:rPr>
          <w:sz w:val="20"/>
          <w:szCs w:val="20"/>
          <w:color w:val="auto"/>
        </w:rPr>
      </w:pPr>
      <w:r>
        <w:rPr>
          <w:rFonts w:ascii="Arial" w:cs="Arial" w:eastAsia="Arial" w:hAnsi="Arial"/>
          <w:sz w:val="18"/>
          <w:szCs w:val="18"/>
          <w:color w:val="auto"/>
        </w:rPr>
        <w:t>Consolidated Statements of Changes in Net Assets for the years ended February 29, 2016, February 28, 2015 and February 28, 2014 Consolidated Statements of Cash Flows for the years ended February 29, 2016, February 28, 2015 and February 28, 2014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Index to Other Financial Statements on page S-1.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to be filed by Item 601 of Regulation 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 SEC:</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440"/>
          </w:cols>
          <w:pgMar w:left="240" w:top="459" w:right="12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20" w:type="dxa"/>
            <w:vAlign w:val="bottom"/>
          </w:tcPr>
          <w:p>
            <w:pPr>
              <w:spacing w:after="0"/>
              <w:rPr>
                <w:sz w:val="24"/>
                <w:szCs w:val="2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Exhibit</w:t>
            </w:r>
          </w:p>
        </w:tc>
        <w:tc>
          <w:tcPr>
            <w:tcW w:w="5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85"/>
        </w:trPr>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Number</w:t>
            </w:r>
          </w:p>
        </w:tc>
        <w:tc>
          <w:tcPr>
            <w:tcW w:w="10540" w:type="dxa"/>
            <w:vAlign w:val="bottom"/>
            <w:gridSpan w:val="3"/>
          </w:tcPr>
          <w:p>
            <w:pPr>
              <w:ind w:left="50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3.1(a)</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7"/>
              </w:rPr>
              <w:t>Articles of Incorporation of Saratoga Investment Corp. (incorporated by reference to Saratoga Investment Corp.’s Form 10-Q for the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quarterly period ended May 31, 2007, File No. 001-33376).</w:t>
            </w:r>
          </w:p>
        </w:tc>
      </w:tr>
      <w:tr>
        <w:trPr>
          <w:trHeight w:val="310"/>
        </w:trPr>
        <w:tc>
          <w:tcPr>
            <w:tcW w:w="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3.1(b)</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1"/>
              </w:rPr>
              <w:t>Articles of Amendment of Saratoga Investment Corp. (incorporated by reference to Saratoga Investment Corp.’s Current Report on Form 8-K</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filed August 3, 2010).</w:t>
            </w:r>
          </w:p>
        </w:tc>
      </w:tr>
      <w:tr>
        <w:trPr>
          <w:trHeight w:val="310"/>
        </w:trPr>
        <w:tc>
          <w:tcPr>
            <w:tcW w:w="2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3.1(c)</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1"/>
              </w:rPr>
              <w:t>Articles of Amendment of Saratoga Investment Corp. (incorporated by reference to Saratoga Investment Corp.’s Current Report on Form 8-K</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filed August 13, 2010).</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Bylaws of Saratoga Investment Corp. (incorporated by reference to Saratoga Investment Corp.’s Current Report 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Form 8-K filed on March 5, 2008).</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4"/>
              </w:rPr>
              <w:t>Specimen certificate of Saratoga Investment Corp.’s common stock, par value $0.001 per share. (incorporated by reference to Saratoga</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Investment Corp.’s Registration Statement on Form N-2, File No. 333-169135, filed on September 1, 2010).</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Registration Rights Agreement dated July 30, 2010 between GSC Investment Corp., GSC CDO III L.L.C., and the investors party thereto</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(incorporated by reference to Saratoga Investment Corp.’s Current Report on Form 8-K filed on August 3, 2010).</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5"/>
              </w:rPr>
              <w:t>Form of Dividend Reinvestment Plan (incorporated by reference to Amendment No. 2 to the Saratoga Investment Corp.’s Registration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Statement on Form N-2, File No. 333-138051, filed on January 12, 2007).</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4"/>
              </w:rPr>
              <w:t>Form of Indenture by and between the Company and U.S. Bank National Association, as trustee (incorporated by reference to Saratoga</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Investment Corp.’s Pre-Effective Amendment No. 1 to the Registration Statement on Form N-2, File No. 333-186323 filed April 30, 2013).</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Form of First Supplemental Indenture between the Company and U.S. Bank National Association (incorporated by reference to Saratoga</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Investment Corp.’s Pre-Effective Amendment No. 1 to the Registration Statement on Form N-2, File No. 333-186323 filed April 30, 2013).</w:t>
            </w:r>
          </w:p>
        </w:tc>
      </w:tr>
      <w:tr>
        <w:trPr>
          <w:trHeight w:val="324"/>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Form of Note (Filed as Exhibit A to First Supplemental Indenture referred to in Exhibit 4.5).</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2"/>
              </w:rPr>
              <w:t>Investment Advisory and Management Agreement dated July 30, 2010 between GSC Investment Corp. and Saratoga Investment Advisors,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LLC (incorporated by reference to Saratoga Investment Corp.’s Current Report on Form 8-K filed on August 3, 2010).</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2"/>
              </w:rPr>
              <w:t>Custodian Agreement dated March 21, 2007 between GSC Investment LLC and U.S. Bank National Association (incorporated by reference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to Saratoga Investment Corp.’s Form 10-Q for the quarterly period ended May 31, 2007).</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Administration Agreement dated July 30, 2010 between GSC Investment Corp. and Saratoga Investment Advisors, LLC (incorporated by</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reference to Saratoga Investment Corp.’s Current Report on Form 8-K filed on August 3, 2010).</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10.4</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0"/>
              </w:rPr>
              <w:t>Trademark License Agreement dated July 30, 2010 between Saratoga Investment Advisors, LLC and GSC Investment Corp. (incorporated by</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reference to Saratoga Investment Corp.’s Current Report on Form 8-K filed on August 3, 2010).</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10.5</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1"/>
              </w:rPr>
              <w:t>Credit, Security and Management Agreement dated July 30, 2010 by and among GSC Investment Funding LLC, Saratoga Investment Corp.,</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6"/>
              </w:rPr>
              <w:t>Saratoga Investment Advisors, LLC, Madison Capital Funding LLC and U.S. Bank National Association (incorporated by reference to</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Saratoga Investment Corp.’s Current Report on Form 8-K filed on August 3, 2010).</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10.6</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7"/>
              </w:rPr>
              <w:t>Form of Indemnification Agreement between Saratoga Investment Corp. and each officer and director of Saratoga Investment Corp.</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(incorporated by reference to Amendment No. 2 to Saratoga Investment Corp.’s Registration Statement on Form N-2 filed on January 12,</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2007).</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10.7</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Amendment No. 1 to Credit, Security and Management Agreement dated February 24, 2012 by and among Saratoga Investment Funding</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LLC, Saratoga Investment Corp., Saratoga Investment Advisors, LLC, Madison Capital Funding LLC and U.S. Bank National Association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(incorporated by reference to Saratoga Investment Corp.’s Current Report on Form 8-K filed on February 29, 2012).</w:t>
            </w:r>
          </w:p>
        </w:tc>
      </w:tr>
      <w:tr>
        <w:trPr>
          <w:trHeight w:val="310"/>
        </w:trPr>
        <w:tc>
          <w:tcPr>
            <w:tcW w:w="520" w:type="dxa"/>
            <w:vAlign w:val="bottom"/>
            <w:gridSpan w:val="2"/>
          </w:tcPr>
          <w:p>
            <w:pPr>
              <w:jc w:val="right"/>
              <w:ind w:right="114"/>
              <w:spacing w:after="0"/>
              <w:rPr>
                <w:sz w:val="20"/>
                <w:szCs w:val="20"/>
                <w:color w:val="auto"/>
              </w:rPr>
            </w:pPr>
            <w:r>
              <w:rPr>
                <w:rFonts w:ascii="Arial" w:cs="Arial" w:eastAsia="Arial" w:hAnsi="Arial"/>
                <w:sz w:val="18"/>
                <w:szCs w:val="18"/>
                <w:color w:val="auto"/>
                <w:w w:val="85"/>
              </w:rPr>
              <w:t>10.8</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3"/>
              </w:rPr>
              <w:t>Indenture, dated as of January 22, 2008, among GSC Investment Corp. CLO 2007, Ltd., GSC Investment Corp. CLO 2007, Inc. and U.S.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2"/>
              </w:rPr>
              <w:t>Bank National Association (incorporated by reference to the registrant’s Registration Statement on Form N-2, File No. 333-186323, filed 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April 30, 2013).</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tcPr>
          <w:p>
            <w:pPr>
              <w:ind w:left="4760"/>
              <w:spacing w:after="0"/>
              <w:rPr>
                <w:sz w:val="20"/>
                <w:szCs w:val="20"/>
                <w:color w:val="auto"/>
              </w:rPr>
            </w:pPr>
            <w:r>
              <w:rPr>
                <w:rFonts w:ascii="Arial" w:cs="Arial" w:eastAsia="Arial" w:hAnsi="Arial"/>
                <w:sz w:val="18"/>
                <w:szCs w:val="18"/>
                <w:color w:val="auto"/>
              </w:rPr>
              <w:t>84</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0"/>
              </w:rPr>
              <w:t>Indenture, dated as of October 17, 2013, among Saratoga Investment Corp. CLO 2013-1, Ltd., Saratoga Investment Corp. CLO 2013-1, Inc. and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2"/>
              </w:rPr>
              <w:t>U.S. Bank National Association (incorporated by reference to the registrant’s Registration Statement on Form N-2, File No. 333-196526, filed</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on December 5,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1"/>
              </w:rPr>
              <w:t>Amended and Restated Collateral Management Agreement, dated October 17, 2013, by and between Saratoga Investment Corp. and Saratoga</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3"/>
              </w:rPr>
              <w:t>Investment Corp. CLO 2013-1, Ltd. (incorporated by reference to the registrant’s Registration Statement on Form N-2, File No. 333-196526,</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filed on December 5,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1"/>
              </w:rPr>
              <w:t>Investment Advisory and Management Agreement dated July 30, 2010 between Saratoga Investment Corp. and Saratoga Investment Advisors,</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5"/>
              </w:rPr>
              <w:t>LLC (incorporated by reference to the registrant’s Registration Statement on Form N-2, File No. 333-196526, filed on December 5,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0"/>
              </w:rPr>
              <w:t>Amendment No. 2 to Credit, Security and Management Agreement dated September 17, 2014 by and among Saratoga Investment Funding LLC,</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9"/>
              </w:rPr>
              <w:t>Saratoga Investment Corp., Saratoga Investment Advisors, LLC, Madison Capital Funding LLC and U.S. Bank National Association</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(incorporated by reference to Saratoga Investment Corp.’s Current Report on Form 8-K filed on September 18,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Computation of Per Share Earnings (included in Note 11 to the consolidated financial statements contained in this report).</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w w:val="94"/>
              </w:rPr>
              <w:t>Statement of Computation of Ratios of Earnings to Fixed Charges (incorporated by reference to the registrant’s Registration Statement on</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Arial" w:cs="Arial" w:eastAsia="Arial" w:hAnsi="Arial"/>
                <w:sz w:val="18"/>
                <w:szCs w:val="18"/>
                <w:color w:val="auto"/>
              </w:rPr>
              <w:t>Form N-2, File No. 333-196526, filed on December 5, 2014).</w:t>
            </w:r>
          </w:p>
        </w:tc>
      </w:tr>
    </w:tbl>
    <w:p>
      <w:pPr>
        <w:spacing w:after="0" w:line="94" w:lineRule="exact"/>
        <w:rPr>
          <w:sz w:val="20"/>
          <w:szCs w:val="20"/>
          <w:color w:val="auto"/>
        </w:rPr>
      </w:pPr>
    </w:p>
    <w:p>
      <w:pPr>
        <w:ind w:left="960" w:right="580" w:hanging="95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Code of Ethics of the Company adopted under Rule 17j-1 (incorporated by reference to Amendment No.7 to the registrant’s Registration Statement on Form N-2, File No. 333-138051, filed on March 22, 2007).</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List of Subsidiaries and jurisdiction of incorporation/organization: Saratoga Investment Funding LLC—Delaware; Saratoga Investment Corp.</w:t>
            </w:r>
          </w:p>
        </w:tc>
      </w:tr>
      <w:tr>
        <w:trPr>
          <w:trHeight w:val="230"/>
        </w:trPr>
        <w:tc>
          <w:tcPr>
            <w:tcW w:w="68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SBIC, LP—Delaware; and Saratoga Investment Corp. GP, LLC—Delaware.</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Chief Executive Officer Certification Pursuant to Rule 13a-14(a) of the Securities Exchange Act of 1934, as adopted pursuant to Section 302 of</w:t>
            </w:r>
          </w:p>
        </w:tc>
      </w:tr>
      <w:tr>
        <w:trPr>
          <w:trHeight w:val="230"/>
        </w:trPr>
        <w:tc>
          <w:tcPr>
            <w:tcW w:w="68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the Sarbanes-Oxley Act of 2002.</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80"/>
              <w:spacing w:after="0"/>
              <w:rPr>
                <w:sz w:val="20"/>
                <w:szCs w:val="20"/>
                <w:color w:val="auto"/>
              </w:rPr>
            </w:pPr>
            <w:r>
              <w:rPr>
                <w:rFonts w:ascii="Arial" w:cs="Arial" w:eastAsia="Arial" w:hAnsi="Arial"/>
                <w:sz w:val="18"/>
                <w:szCs w:val="18"/>
                <w:color w:val="auto"/>
                <w:w w:val="96"/>
              </w:rPr>
              <w:t>Chief Financial Officer Certification Pursuant to Rule 13a-14(a) of the Securities Act of 1934, as adopted pursuant to Section 302 of the</w:t>
            </w:r>
          </w:p>
        </w:tc>
      </w:tr>
      <w:tr>
        <w:trPr>
          <w:trHeight w:val="230"/>
        </w:trPr>
        <w:tc>
          <w:tcPr>
            <w:tcW w:w="68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Sarbanes-Oxley Act of 2002.</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SARATOGA INVESTMENT CORP.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May 17, 2016</w:t>
            </w:r>
          </w:p>
        </w:tc>
        <w:tc>
          <w:tcPr>
            <w:tcW w:w="260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209"/>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32"/>
        </w:trPr>
        <w:tc>
          <w:tcPr>
            <w:tcW w:w="3680" w:type="dxa"/>
            <w:vAlign w:val="bottom"/>
          </w:tcPr>
          <w:p>
            <w:pPr>
              <w:spacing w:after="0"/>
              <w:rPr>
                <w:sz w:val="24"/>
                <w:szCs w:val="24"/>
                <w:color w:val="auto"/>
              </w:rPr>
            </w:pPr>
          </w:p>
        </w:tc>
        <w:tc>
          <w:tcPr>
            <w:tcW w:w="260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HENRI J. STEENKAMP</w:t>
            </w:r>
          </w:p>
        </w:tc>
      </w:tr>
      <w:tr>
        <w:trPr>
          <w:trHeight w:val="224"/>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Henri J. Steenkamp</w:t>
            </w:r>
          </w:p>
        </w:tc>
      </w:tr>
    </w:tbl>
    <w:p>
      <w:pPr>
        <w:ind w:left="6900"/>
        <w:spacing w:after="0"/>
        <w:rPr>
          <w:sz w:val="20"/>
          <w:szCs w:val="20"/>
          <w:color w:val="auto"/>
        </w:rPr>
      </w:pPr>
      <w:r>
        <w:rPr>
          <w:rFonts w:ascii="Arial" w:cs="Arial" w:eastAsia="Arial" w:hAnsi="Arial"/>
          <w:sz w:val="18"/>
          <w:szCs w:val="18"/>
          <w:i w:val="1"/>
          <w:iCs w:val="1"/>
          <w:color w:val="auto"/>
        </w:rPr>
        <w:t>Chief Financial Officer and Chief Compliance Officer</w:t>
      </w:r>
    </w:p>
    <w:p>
      <w:pPr>
        <w:spacing w:after="0" w:line="2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Christian L. Oberbeck and Henri J. Steenkamp, and each of them (with full power to each of them to act alone), his true and lawful attorneys-in-fact and agents, with full power of substitution and resubstitution, for him and in his name, place, and stead, in any and all capacities, to sign this report and any and all amendments thereto, and to file the same,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Chairman of the Board of Directors, Chief Executive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17, 2016</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J. GRISIUS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17, 2016</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Michael J. Grisius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HENRI J. STEENKAMP</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Chief Financial Officer (Principal Accounting Officer and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17, 2016</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8"/>
              </w:rPr>
              <w:t>Henri J. Steenkamp</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M. LOONEY</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17, 2016</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Steven M. Looney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CHARLES S. WHITMAN III</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17, 2016</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3"/>
              </w:rPr>
              <w:t>Charles S. Whitman III</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 CABELL WILLIAMS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17, 2016</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4"/>
              </w:rPr>
              <w:t>Cabell Williams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300" w:type="dxa"/>
            <w:vAlign w:val="bottom"/>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0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7140" w:type="dxa"/>
            <w:vAlign w:val="bottom"/>
            <w:gridSpan w:val="7"/>
          </w:tcPr>
          <w:p>
            <w:pPr>
              <w:jc w:val="center"/>
              <w:ind w:right="2020"/>
              <w:spacing w:after="0"/>
              <w:rPr>
                <w:sz w:val="20"/>
                <w:szCs w:val="20"/>
                <w:color w:val="auto"/>
              </w:rPr>
            </w:pPr>
            <w:r>
              <w:rPr>
                <w:rFonts w:ascii="Arial" w:cs="Arial" w:eastAsia="Arial" w:hAnsi="Arial"/>
                <w:sz w:val="18"/>
                <w:szCs w:val="18"/>
                <w:b w:val="1"/>
                <w:bCs w:val="1"/>
                <w:color w:val="auto"/>
              </w:rPr>
              <w:t>INDEX TO CONSOLIDATED FINANCIAL STATEMENTS</w:t>
            </w:r>
          </w:p>
        </w:tc>
        <w:tc>
          <w:tcPr>
            <w:tcW w:w="1020" w:type="dxa"/>
            <w:vAlign w:val="bottom"/>
          </w:tcPr>
          <w:p>
            <w:pPr>
              <w:spacing w:after="0"/>
              <w:rPr>
                <w:sz w:val="24"/>
                <w:szCs w:val="24"/>
                <w:color w:val="auto"/>
              </w:rPr>
            </w:pPr>
          </w:p>
        </w:tc>
      </w:tr>
      <w:tr>
        <w:trPr>
          <w:trHeight w:val="419"/>
        </w:trPr>
        <w:tc>
          <w:tcPr>
            <w:tcW w:w="10300" w:type="dxa"/>
            <w:vAlign w:val="bottom"/>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1020" w:type="dxa"/>
            <w:vAlign w:val="bottom"/>
          </w:tcPr>
          <w:p>
            <w:pPr>
              <w:ind w:left="780"/>
              <w:spacing w:after="0"/>
              <w:rPr>
                <w:sz w:val="20"/>
                <w:szCs w:val="20"/>
                <w:color w:val="auto"/>
              </w:rPr>
            </w:pPr>
            <w:r>
              <w:rPr>
                <w:rFonts w:ascii="Arial" w:cs="Arial" w:eastAsia="Arial" w:hAnsi="Arial"/>
                <w:sz w:val="18"/>
                <w:szCs w:val="18"/>
                <w:color w:val="auto"/>
                <w:w w:val="81"/>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300" w:type="dxa"/>
            <w:vAlign w:val="bottom"/>
            <w:gridSpan w:val="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Assets and Liabilities as of February 29, 2016 and February 28, 2015</w:t>
              </w:r>
            </w:hyperlink>
          </w:p>
        </w:tc>
        <w:tc>
          <w:tcPr>
            <w:tcW w:w="1020" w:type="dxa"/>
            <w:vAlign w:val="bottom"/>
          </w:tcPr>
          <w:p>
            <w:pPr>
              <w:ind w:left="78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300" w:type="dxa"/>
            <w:vAlign w:val="bottom"/>
            <w:gridSpan w:val="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Operations for the years ended February 29, 2016, February 28, 2015 and February 28, 2014</w:t>
              </w:r>
            </w:hyperlink>
          </w:p>
        </w:tc>
        <w:tc>
          <w:tcPr>
            <w:tcW w:w="1020" w:type="dxa"/>
            <w:vAlign w:val="bottom"/>
          </w:tcPr>
          <w:p>
            <w:pPr>
              <w:ind w:left="78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8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Schedules of Investments as of February 29, 2016 and February 28, 2015</w:t>
              </w:r>
            </w:hyperlink>
          </w:p>
        </w:tc>
        <w:tc>
          <w:tcPr>
            <w:tcW w:w="1560" w:type="dxa"/>
            <w:vAlign w:val="bottom"/>
            <w:gridSpan w:val="3"/>
          </w:tcPr>
          <w:p>
            <w:pPr>
              <w:spacing w:after="0"/>
              <w:rPr>
                <w:sz w:val="17"/>
                <w:szCs w:val="17"/>
                <w:color w:val="auto"/>
              </w:rPr>
            </w:pPr>
          </w:p>
        </w:tc>
        <w:tc>
          <w:tcPr>
            <w:tcW w:w="1020" w:type="dxa"/>
            <w:vAlign w:val="bottom"/>
          </w:tcPr>
          <w:p>
            <w:pPr>
              <w:ind w:left="78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5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Consolidated Statements of Changes in Net Assets for the years ended February 29, 2016, February 28, 2015 and February 28, 2014</w:t>
              </w:r>
            </w:hyperlink>
          </w:p>
        </w:tc>
        <w:tc>
          <w:tcPr>
            <w:tcW w:w="760" w:type="dxa"/>
            <w:vAlign w:val="bottom"/>
          </w:tcPr>
          <w:p>
            <w:pPr>
              <w:spacing w:after="0"/>
              <w:rPr>
                <w:sz w:val="17"/>
                <w:szCs w:val="17"/>
                <w:color w:val="auto"/>
              </w:rPr>
            </w:pPr>
          </w:p>
        </w:tc>
        <w:tc>
          <w:tcPr>
            <w:tcW w:w="1020" w:type="dxa"/>
            <w:vAlign w:val="bottom"/>
          </w:tcPr>
          <w:p>
            <w:pPr>
              <w:ind w:left="78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1030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Cash Flows for the years ended February 29, 2016, February 28, 2015 and February 28, 2014</w:t>
              </w:r>
            </w:hyperlink>
          </w:p>
        </w:tc>
        <w:tc>
          <w:tcPr>
            <w:tcW w:w="1020" w:type="dxa"/>
            <w:vAlign w:val="bottom"/>
          </w:tcPr>
          <w:p>
            <w:pPr>
              <w:ind w:left="780"/>
              <w:spacing w:after="0" w:line="196" w:lineRule="exact"/>
              <w:rPr>
                <w:sz w:val="20"/>
                <w:szCs w:val="20"/>
                <w:color w:val="auto"/>
              </w:rPr>
            </w:pPr>
            <w:r>
              <w:rPr>
                <w:rFonts w:ascii="Arial" w:cs="Arial" w:eastAsia="Arial" w:hAnsi="Arial"/>
                <w:sz w:val="18"/>
                <w:szCs w:val="18"/>
                <w:color w:val="auto"/>
                <w:w w:val="81"/>
              </w:rPr>
              <w:t>F-8</w:t>
            </w:r>
          </w:p>
        </w:tc>
      </w:tr>
      <w:tr>
        <w:trPr>
          <w:trHeight w:val="196"/>
        </w:trPr>
        <w:tc>
          <w:tcPr>
            <w:tcW w:w="8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Notes to Consolidated Financial Statements</w:t>
              </w:r>
            </w:hyperlink>
          </w:p>
        </w:tc>
        <w:tc>
          <w:tcPr>
            <w:tcW w:w="1500" w:type="dxa"/>
            <w:vAlign w:val="bottom"/>
            <w:gridSpan w:val="2"/>
          </w:tcPr>
          <w:p>
            <w:pPr>
              <w:spacing w:after="0"/>
              <w:rPr>
                <w:sz w:val="17"/>
                <w:szCs w:val="17"/>
                <w:color w:val="auto"/>
              </w:rPr>
            </w:pPr>
          </w:p>
        </w:tc>
        <w:tc>
          <w:tcPr>
            <w:tcW w:w="1020" w:type="dxa"/>
            <w:vAlign w:val="bottom"/>
          </w:tcPr>
          <w:p>
            <w:pPr>
              <w:ind w:left="780"/>
              <w:spacing w:after="0" w:line="196" w:lineRule="exact"/>
              <w:rPr>
                <w:sz w:val="20"/>
                <w:szCs w:val="20"/>
                <w:color w:val="auto"/>
              </w:rPr>
            </w:pPr>
            <w:r>
              <w:rPr>
                <w:rFonts w:ascii="Arial" w:cs="Arial" w:eastAsia="Arial" w:hAnsi="Arial"/>
                <w:sz w:val="18"/>
                <w:szCs w:val="18"/>
                <w:color w:val="auto"/>
                <w:w w:val="81"/>
              </w:rPr>
              <w:t>F-9</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080" w:type="dxa"/>
            <w:vAlign w:val="bottom"/>
            <w:gridSpan w:val="6"/>
          </w:tcPr>
          <w:p>
            <w:pPr>
              <w:jc w:val="center"/>
              <w:ind w:right="3100"/>
              <w:spacing w:after="0"/>
              <w:rPr>
                <w:sz w:val="20"/>
                <w:szCs w:val="20"/>
                <w:color w:val="auto"/>
              </w:rPr>
            </w:pPr>
            <w:r>
              <w:rPr>
                <w:rFonts w:ascii="Arial" w:cs="Arial" w:eastAsia="Arial" w:hAnsi="Arial"/>
                <w:sz w:val="18"/>
                <w:szCs w:val="18"/>
                <w:color w:val="auto"/>
                <w:w w:val="96"/>
              </w:rPr>
              <w:t>F-1</w:t>
            </w:r>
          </w:p>
        </w:tc>
        <w:tc>
          <w:tcPr>
            <w:tcW w:w="102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Saratoga Investment Corp.</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We have audited the accompanying consolidated statements of assets and liabilities of Saratoga Investment Corp. (the “Company”), including the consolidated schedules of investments, as of February 29, 2016 and February 28, 2015, and the related consolidated statements of operations, changes in net assets, and cash flows for the years ended February 29, 2016, February 28, 2015 and February 28, 2014. These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entity’s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entity’s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February 29, 2016, by correspondence with the custodian, debt agents and lenders. We believe that our audit provides a reasonable basis for our opinion.</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Saratoga Investment Corp. at February 29, 2016 and February 28, 2015, and the consolidated results of its operations, changes in its net assets and its cash flows for the years ended February 29, 2016, February 28, 2015 and February 28, 2014, in conformity with U.S. generally accepted accounting principles.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368"/>
              <w:spacing w:after="0" w:line="119" w:lineRule="exact"/>
              <w:rPr>
                <w:sz w:val="20"/>
                <w:szCs w:val="20"/>
                <w:color w:val="auto"/>
              </w:rPr>
            </w:pPr>
            <w:r>
              <w:rPr>
                <w:rFonts w:ascii="Arial" w:cs="Arial" w:eastAsia="Arial" w:hAnsi="Arial"/>
                <w:sz w:val="13"/>
                <w:szCs w:val="13"/>
                <w:b w:val="1"/>
                <w:bCs w:val="1"/>
                <w:color w:val="auto"/>
              </w:rPr>
              <w:t>February 29,</w:t>
            </w:r>
          </w:p>
        </w:tc>
        <w:tc>
          <w:tcPr>
            <w:tcW w:w="80" w:type="dxa"/>
            <w:vAlign w:val="bottom"/>
          </w:tcPr>
          <w:p>
            <w:pPr>
              <w:spacing w:after="0"/>
              <w:rPr>
                <w:sz w:val="10"/>
                <w:szCs w:val="10"/>
                <w:color w:val="auto"/>
              </w:rPr>
            </w:pPr>
          </w:p>
        </w:tc>
        <w:tc>
          <w:tcPr>
            <w:tcW w:w="9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Non-control/non-affiliate investments (amortized cost of $268,145,090 and $222,505,383, respectively)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271,168,186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223,506,589</w:t>
            </w:r>
          </w:p>
        </w:tc>
        <w:tc>
          <w:tcPr>
            <w:tcW w:w="0" w:type="dxa"/>
            <w:vAlign w:val="bottom"/>
          </w:tcPr>
          <w:p>
            <w:pPr>
              <w:spacing w:after="0"/>
              <w:rPr>
                <w:sz w:val="1"/>
                <w:szCs w:val="1"/>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Control investments (cost of $13,030,751 and $15,953,001,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12,827,980</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17,031,146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 (amortized cost of $281,175,841 and $238,458,384, respectively)</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283,996,166</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240,537,735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2,440,277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1,888,158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4,594,506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18,175,214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Interest receivable, (net of reserve of $728,519 and $309,498, respectively)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3,195,919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2,469,398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171,913</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350,368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317,637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unsettled trades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295,047,252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263,560,055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9,600,000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revolving credit facility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(515,906)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(594,845)</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SBA debentures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103,660,000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79,000,000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SBA debentures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(2,493,303)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(2,340,894)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61,793,125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48,300,000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notes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(1,694,586)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(1,847,564)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Dividend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875,599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402,200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and incentive fees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5,593,956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5,835,941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908,330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835,189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fees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1,552,069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1,405,466</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Due to manager</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169,897,377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140,961,313</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Commitments and contingencies (See Note 8)</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5,672,227 and 5,401,899 common shares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180"/>
              <w:spacing w:after="0"/>
              <w:rPr>
                <w:sz w:val="20"/>
                <w:szCs w:val="20"/>
                <w:color w:val="auto"/>
              </w:rPr>
            </w:pPr>
            <w:r>
              <w:rPr>
                <w:rFonts w:ascii="Arial" w:cs="Arial" w:eastAsia="Arial" w:hAnsi="Arial"/>
                <w:sz w:val="18"/>
                <w:szCs w:val="18"/>
                <w:color w:val="auto"/>
              </w:rPr>
              <w:t>issued and outstanding, respectively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5,672</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188,714,329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184,877,680</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w w:val="92"/>
              </w:rPr>
              <w:t>(26,217,902)</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(23,905,603)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2"/>
              </w:rPr>
              <w:t>(40,172,549)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(40,458,088)</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Accumulated net unrealized appreciation on investments and derivatives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2,820,325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125,149,875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122,598,742</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295,047,252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263,560,055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For the year</w:t>
            </w:r>
          </w:p>
        </w:tc>
        <w:tc>
          <w:tcPr>
            <w:tcW w:w="1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6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February 28,</w:t>
            </w:r>
          </w:p>
        </w:tc>
      </w:tr>
      <w:tr>
        <w:trPr>
          <w:trHeight w:val="171"/>
        </w:trPr>
        <w:tc>
          <w:tcPr>
            <w:tcW w:w="20" w:type="dxa"/>
            <w:vAlign w:val="bottom"/>
          </w:tcPr>
          <w:p>
            <w:pPr>
              <w:spacing w:after="0"/>
              <w:rPr>
                <w:sz w:val="14"/>
                <w:szCs w:val="14"/>
                <w:color w:val="auto"/>
              </w:rPr>
            </w:pPr>
          </w:p>
        </w:tc>
        <w:tc>
          <w:tcPr>
            <w:tcW w:w="73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23,165,823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20,790,324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15,832,083</w:t>
            </w: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1,039,398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1,186,657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936,208</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2,665,648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2,707,230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3,410,868</w:t>
            </w:r>
          </w:p>
        </w:tc>
      </w:tr>
      <w:tr>
        <w:trPr>
          <w:trHeight w:val="223"/>
        </w:trPr>
        <w:tc>
          <w:tcPr>
            <w:tcW w:w="20" w:type="dxa"/>
            <w:vAlign w:val="bottom"/>
          </w:tcPr>
          <w:p>
            <w:pPr>
              <w:spacing w:after="0"/>
              <w:rPr>
                <w:sz w:val="19"/>
                <w:szCs w:val="19"/>
                <w:color w:val="auto"/>
              </w:rPr>
            </w:pPr>
          </w:p>
        </w:tc>
        <w:tc>
          <w:tcPr>
            <w:tcW w:w="734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26,870,869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24,684,211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20,179,159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Management fee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1,494,779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1,520,205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1,775,141</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1,679,602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1,167,144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931,513</w:t>
            </w:r>
          </w:p>
        </w:tc>
      </w:tr>
      <w:tr>
        <w:trPr>
          <w:trHeight w:val="230"/>
        </w:trPr>
        <w:tc>
          <w:tcPr>
            <w:tcW w:w="20" w:type="dxa"/>
            <w:vAlign w:val="bottom"/>
          </w:tcPr>
          <w:p>
            <w:pPr>
              <w:spacing w:after="0"/>
              <w:rPr>
                <w:sz w:val="20"/>
                <w:szCs w:val="20"/>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30,050,670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27,375,361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22,893,745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8,456,467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7,375,022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6,083,891</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4,528,589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4,156,955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3,326,879</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Professional fees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1,336,214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1,301,713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1,211,836</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1,000,000</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2,232,188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2,547,773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938,694</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337,335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442,977</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210,761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204,607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789,208</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Excise tax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113,808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293,653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21,207</w:t>
            </w:r>
          </w:p>
        </w:tc>
      </w:tr>
      <w:tr>
        <w:trPr>
          <w:trHeight w:val="230"/>
        </w:trPr>
        <w:tc>
          <w:tcPr>
            <w:tcW w:w="20" w:type="dxa"/>
            <w:vAlign w:val="bottom"/>
          </w:tcPr>
          <w:p>
            <w:pPr>
              <w:spacing w:after="0"/>
              <w:rPr>
                <w:sz w:val="20"/>
                <w:szCs w:val="20"/>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19,372,338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17,701,511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14,019,299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10,678,332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9,673,850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8,874,446</w:t>
            </w: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REALIZED AND UNREALIZED GAIN (LOSS) ON INVESTMENTS: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3,276,450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1,270,765</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740,974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(1,942,936)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(1,648,046)</w:t>
            </w: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1,333,514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(377,281)</w:t>
            </w: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11,645,558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11,007,364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8,497,165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AVERAGE—BASIC AND DILUTED EARNINGS PER COMMON SHARE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5,582,453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5,385,049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4,920,517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Investment Interest Rate</w:t>
            </w:r>
          </w:p>
        </w:tc>
        <w:tc>
          <w:tcPr>
            <w:tcW w:w="16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vMerge w:val="restart"/>
          </w:tcPr>
          <w:p>
            <w:pPr>
              <w:spacing w:after="0"/>
              <w:rPr>
                <w:sz w:val="12"/>
                <w:szCs w:val="12"/>
                <w:color w:val="auto"/>
              </w:rPr>
            </w:pPr>
          </w:p>
        </w:tc>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8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 Maturity</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Value (c)</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3080" w:type="dxa"/>
            <w:vAlign w:val="bottom"/>
            <w:gridSpan w:val="3"/>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Non-control/Non-affiliated investments—</w:t>
            </w:r>
          </w:p>
        </w:tc>
        <w:tc>
          <w:tcPr>
            <w:tcW w:w="1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216.6% (b)</w:t>
            </w:r>
          </w:p>
        </w:tc>
        <w:tc>
          <w:tcPr>
            <w:tcW w:w="1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Automotive Aftermarket</w:t>
            </w:r>
          </w:p>
        </w:tc>
        <w:tc>
          <w:tcPr>
            <w:tcW w:w="21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1,695,303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 Aftermarket</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15.50%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9/13/2018</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6,776,770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6,776,770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Take 5 Oil Change, L.L.C. (d), (g)</w:t>
            </w: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Automotive Aftermarket</w:t>
            </w:r>
          </w:p>
        </w:tc>
        <w:tc>
          <w:tcPr>
            <w:tcW w:w="21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3"/>
                <w:szCs w:val="13"/>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7,128</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480,535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6,235,209</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Total Automotive</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Aftermarket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8,257,305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14,707,282</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3100" w:type="dxa"/>
            <w:vAlign w:val="bottom"/>
            <w:gridSpan w:val="4"/>
            <w:vMerge w:val="restart"/>
          </w:tcPr>
          <w:p>
            <w:pPr>
              <w:spacing w:after="0"/>
              <w:rPr>
                <w:sz w:val="20"/>
                <w:szCs w:val="20"/>
                <w:color w:val="auto"/>
              </w:rPr>
            </w:pPr>
            <w:r>
              <w:rPr>
                <w:rFonts w:ascii="Arial" w:cs="Arial" w:eastAsia="Arial" w:hAnsi="Arial"/>
                <w:sz w:val="14"/>
                <w:szCs w:val="14"/>
                <w:color w:val="auto"/>
              </w:rPr>
              <w:t>Legacy Cabinets Holdings (d), (g)</w:t>
            </w:r>
          </w:p>
        </w:tc>
        <w:tc>
          <w:tcPr>
            <w:tcW w:w="1860" w:type="dxa"/>
            <w:vAlign w:val="bottom"/>
            <w:vMerge w:val="restart"/>
          </w:tcPr>
          <w:p>
            <w:pPr>
              <w:spacing w:after="0"/>
              <w:rPr>
                <w:sz w:val="20"/>
                <w:szCs w:val="20"/>
                <w:color w:val="auto"/>
              </w:rPr>
            </w:pPr>
            <w:r>
              <w:rPr>
                <w:rFonts w:ascii="Arial" w:cs="Arial" w:eastAsia="Arial" w:hAnsi="Arial"/>
                <w:sz w:val="14"/>
                <w:szCs w:val="14"/>
                <w:color w:val="auto"/>
              </w:rPr>
              <w:t>Building Products</w:t>
            </w:r>
          </w:p>
        </w:tc>
        <w:tc>
          <w:tcPr>
            <w:tcW w:w="2100" w:type="dxa"/>
            <w:vAlign w:val="bottom"/>
            <w:gridSpan w:val="3"/>
            <w:vMerge w:val="restart"/>
          </w:tcPr>
          <w:p>
            <w:pPr>
              <w:ind w:left="180"/>
              <w:spacing w:after="0"/>
              <w:rPr>
                <w:sz w:val="20"/>
                <w:szCs w:val="20"/>
                <w:color w:val="auto"/>
              </w:rPr>
            </w:pPr>
            <w:r>
              <w:rPr>
                <w:rFonts w:ascii="Arial" w:cs="Arial" w:eastAsia="Arial" w:hAnsi="Arial"/>
                <w:sz w:val="14"/>
                <w:szCs w:val="14"/>
                <w:color w:val="auto"/>
              </w:rPr>
              <w:t>Common Stock Voting A-1</w:t>
            </w: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4"/>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2,676,909</w:t>
            </w:r>
          </w:p>
        </w:tc>
        <w:tc>
          <w:tcPr>
            <w:tcW w:w="26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 Voting B-1</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139,424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1,689,568</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Building Products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First Lien Term Loan 10.00%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9/30/2016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Building Products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2,360,324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6,366,477</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7"/>
        </w:trPr>
        <w:tc>
          <w:tcPr>
            <w:tcW w:w="3100" w:type="dxa"/>
            <w:vAlign w:val="bottom"/>
            <w:gridSpan w:val="4"/>
          </w:tcPr>
          <w:p>
            <w:pPr>
              <w:spacing w:after="0" w:line="137" w:lineRule="exact"/>
              <w:rPr>
                <w:sz w:val="20"/>
                <w:szCs w:val="20"/>
                <w:color w:val="auto"/>
              </w:rPr>
            </w:pPr>
            <w:r>
              <w:rPr>
                <w:rFonts w:ascii="Arial" w:cs="Arial" w:eastAsia="Arial" w:hAnsi="Arial"/>
                <w:sz w:val="14"/>
                <w:szCs w:val="14"/>
                <w:color w:val="auto"/>
              </w:rPr>
              <w:t>BMC Software, Inc. (d)</w:t>
            </w:r>
          </w:p>
        </w:tc>
        <w:tc>
          <w:tcPr>
            <w:tcW w:w="1860" w:type="dxa"/>
            <w:vAlign w:val="bottom"/>
          </w:tcPr>
          <w:p>
            <w:pPr>
              <w:spacing w:after="0" w:line="137" w:lineRule="exact"/>
              <w:rPr>
                <w:sz w:val="20"/>
                <w:szCs w:val="20"/>
                <w:color w:val="auto"/>
              </w:rPr>
            </w:pPr>
            <w:r>
              <w:rPr>
                <w:rFonts w:ascii="Arial" w:cs="Arial" w:eastAsia="Arial" w:hAnsi="Arial"/>
                <w:sz w:val="14"/>
                <w:szCs w:val="14"/>
                <w:color w:val="auto"/>
              </w:rPr>
              <w:t>Business Services</w:t>
            </w:r>
          </w:p>
        </w:tc>
        <w:tc>
          <w:tcPr>
            <w:tcW w:w="2100" w:type="dxa"/>
            <w:vAlign w:val="bottom"/>
            <w:gridSpan w:val="3"/>
          </w:tcPr>
          <w:p>
            <w:pPr>
              <w:ind w:left="180"/>
              <w:spacing w:after="0" w:line="137" w:lineRule="exact"/>
              <w:rPr>
                <w:sz w:val="20"/>
                <w:szCs w:val="20"/>
                <w:color w:val="auto"/>
              </w:rPr>
            </w:pPr>
            <w:r>
              <w:rPr>
                <w:rFonts w:ascii="Arial" w:cs="Arial" w:eastAsia="Arial" w:hAnsi="Arial"/>
                <w:sz w:val="14"/>
                <w:szCs w:val="14"/>
                <w:color w:val="auto"/>
              </w:rPr>
              <w:t>First Lien Term Loan 5.00%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9/10/2020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5,671,667</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5,633,920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4,520,318</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Courion Corporation</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11.00% Cash, 6/1/2021</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14,856,720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14,850,000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Senior Secured Note 12.50%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1/1/2018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12,000,000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12,025,101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10,950,000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Easy Ice, LLC (d)</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9.50%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1/15/2020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14,000,000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13,873,485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13,806,098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Senior Secured Note 10.00%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1/23/2020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8,400,000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8,305,033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8,568,000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 (g)</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Warrant Membership</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49,318</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577,020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First Lien Term Loan 6.25%</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gridSpan w:val="3"/>
          </w:tcPr>
          <w:p>
            <w:pPr>
              <w:ind w:left="140"/>
              <w:spacing w:after="0"/>
              <w:rPr>
                <w:sz w:val="20"/>
                <w:szCs w:val="20"/>
                <w:color w:val="auto"/>
              </w:rPr>
            </w:pPr>
            <w:r>
              <w:rPr>
                <w:rFonts w:ascii="Arial" w:cs="Arial" w:eastAsia="Arial" w:hAnsi="Arial"/>
                <w:sz w:val="14"/>
                <w:szCs w:val="14"/>
                <w:color w:val="auto"/>
              </w:rPr>
              <w:t>(d)</w:t>
            </w: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10/8/2021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4,904,573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4,895,000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w:t>
            </w: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10.50% Cash, 10/8/2022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2,912,784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2,910,000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First Lien Term Loan 8.00%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11/29/2017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5,259,171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5,224,422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5,259,171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PCF Number 4, Inc.</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13.50% (12.50% Cash/1.00%</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PIK), 8/28/2021</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12,870,023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12,870,000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First Lien Term Loan,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14.00% (12.00% Cash/2.00%</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PIK), 3/6/2018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9,035,515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8,952,442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9,035,515</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Warrants to Purchase Limited</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Liability Company Interests</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354,819</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Total Business Services</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89,958,503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88,595,941</w:t>
            </w:r>
          </w:p>
        </w:tc>
        <w:tc>
          <w:tcPr>
            <w:tcW w:w="26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Advanced Air &amp; Heat of Florida, LLC</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9.50%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7/17/2020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6,800,000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6,733,661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6,800,000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Targus Holdings, Inc. (d), (g)</w:t>
            </w: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1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210,456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1,791,242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Second Lien Term Loan A-2</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15.00% Cash, 12/31/2019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210,456</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210,456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210,456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Targus Holdings, Inc. (d)</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Consumer Products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Second Lien Term Loan B</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15.00% Cash, 12/31/2019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631,369</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631,369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631,369</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Consumer Products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9,366,728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7,641,825</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3100" w:type="dxa"/>
            <w:vAlign w:val="bottom"/>
            <w:gridSpan w:val="4"/>
            <w:vMerge w:val="restart"/>
          </w:tcPr>
          <w:p>
            <w:pPr>
              <w:spacing w:after="0"/>
              <w:rPr>
                <w:sz w:val="20"/>
                <w:szCs w:val="20"/>
                <w:color w:val="auto"/>
              </w:rPr>
            </w:pPr>
            <w:r>
              <w:rPr>
                <w:rFonts w:ascii="Arial" w:cs="Arial" w:eastAsia="Arial" w:hAnsi="Arial"/>
                <w:sz w:val="14"/>
                <w:szCs w:val="14"/>
                <w:color w:val="auto"/>
              </w:rPr>
              <w:t>Expedited Travel L.L.C. (g)</w:t>
            </w:r>
          </w:p>
        </w:tc>
        <w:tc>
          <w:tcPr>
            <w:tcW w:w="1860" w:type="dxa"/>
            <w:vAlign w:val="bottom"/>
            <w:vMerge w:val="restart"/>
          </w:tcPr>
          <w:p>
            <w:pPr>
              <w:spacing w:after="0"/>
              <w:rPr>
                <w:sz w:val="20"/>
                <w:szCs w:val="20"/>
                <w:color w:val="auto"/>
              </w:rPr>
            </w:pPr>
            <w:r>
              <w:rPr>
                <w:rFonts w:ascii="Arial" w:cs="Arial" w:eastAsia="Arial" w:hAnsi="Arial"/>
                <w:sz w:val="14"/>
                <w:szCs w:val="14"/>
                <w:color w:val="auto"/>
              </w:rPr>
              <w:t>Consumer Services</w:t>
            </w:r>
          </w:p>
        </w:tc>
        <w:tc>
          <w:tcPr>
            <w:tcW w:w="2100" w:type="dxa"/>
            <w:vAlign w:val="bottom"/>
            <w:gridSpan w:val="3"/>
            <w:vMerge w:val="restart"/>
          </w:tcPr>
          <w:p>
            <w:pPr>
              <w:ind w:left="18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4"/>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1,647,767</w:t>
            </w:r>
          </w:p>
        </w:tc>
        <w:tc>
          <w:tcPr>
            <w:tcW w:w="26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Expedited Travel L.L.C.</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10.00%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10/10/2019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11,475,490</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11,401,380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11,647,623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My Alarm Center, LLC</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12.00% Cash, 7/9/2019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7,500,000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7,450,500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6.50%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7/1/2019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1,572,921</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1,562,787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1,556,248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10.25% Cash, 7/1/2020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9,962,104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9,827,000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9.75% Cash, 7/1/2022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12,000,000</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11,829,030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10,980,000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Total Consumer Services</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43,255,301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43,109,138</w:t>
            </w:r>
          </w:p>
        </w:tc>
        <w:tc>
          <w:tcPr>
            <w:tcW w:w="26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 (g)</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Education</w:t>
            </w: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544,761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30,241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M/C Acquisition Corp., L.L.C. (d)</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Education</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First Lien Term Loan 1.00%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3/31/2016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2,321,073</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1,193,790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8,087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Texas Teachers of Tomorrow, LLC (g), (h)</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Education</w:t>
            </w: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785,475</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Texas Teachers of Tomorrow, LLC</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Education</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10.75% Cash, 6/2/2021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9,902,816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9,900,000</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Education</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11,876,847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10,693,562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7"/>
        </w:trPr>
        <w:tc>
          <w:tcPr>
            <w:tcW w:w="3100" w:type="dxa"/>
            <w:vAlign w:val="bottom"/>
            <w:gridSpan w:val="4"/>
          </w:tcPr>
          <w:p>
            <w:pPr>
              <w:spacing w:after="0" w:line="137" w:lineRule="exact"/>
              <w:rPr>
                <w:sz w:val="20"/>
                <w:szCs w:val="20"/>
                <w:color w:val="auto"/>
              </w:rPr>
            </w:pPr>
            <w:r>
              <w:rPr>
                <w:rFonts w:ascii="Arial" w:cs="Arial" w:eastAsia="Arial" w:hAnsi="Arial"/>
                <w:sz w:val="14"/>
                <w:szCs w:val="14"/>
                <w:color w:val="auto"/>
              </w:rPr>
              <w:t>TM Restaurant Group L.L.C.</w:t>
            </w:r>
          </w:p>
        </w:tc>
        <w:tc>
          <w:tcPr>
            <w:tcW w:w="1860" w:type="dxa"/>
            <w:vAlign w:val="bottom"/>
          </w:tcPr>
          <w:p>
            <w:pPr>
              <w:spacing w:after="0" w:line="137" w:lineRule="exact"/>
              <w:rPr>
                <w:sz w:val="20"/>
                <w:szCs w:val="20"/>
                <w:color w:val="auto"/>
              </w:rPr>
            </w:pPr>
            <w:r>
              <w:rPr>
                <w:rFonts w:ascii="Arial" w:cs="Arial" w:eastAsia="Arial" w:hAnsi="Arial"/>
                <w:sz w:val="14"/>
                <w:szCs w:val="14"/>
                <w:color w:val="auto"/>
              </w:rPr>
              <w:t>Food and Beverage</w:t>
            </w:r>
          </w:p>
        </w:tc>
        <w:tc>
          <w:tcPr>
            <w:tcW w:w="2100" w:type="dxa"/>
            <w:vAlign w:val="bottom"/>
            <w:gridSpan w:val="3"/>
          </w:tcPr>
          <w:p>
            <w:pPr>
              <w:ind w:left="180"/>
              <w:spacing w:after="0" w:line="137" w:lineRule="exact"/>
              <w:rPr>
                <w:sz w:val="20"/>
                <w:szCs w:val="20"/>
                <w:color w:val="auto"/>
              </w:rPr>
            </w:pPr>
            <w:r>
              <w:rPr>
                <w:rFonts w:ascii="Arial" w:cs="Arial" w:eastAsia="Arial" w:hAnsi="Arial"/>
                <w:sz w:val="14"/>
                <w:szCs w:val="14"/>
                <w:color w:val="auto"/>
              </w:rPr>
              <w:t>First Lien Term Loan 9.75%</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7/16/2017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9,622,319</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9,527,041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9,131,048</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Food and Beverage</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9,527,041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9,131,048</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7"/>
        </w:trPr>
        <w:tc>
          <w:tcPr>
            <w:tcW w:w="3100" w:type="dxa"/>
            <w:vAlign w:val="bottom"/>
            <w:gridSpan w:val="4"/>
          </w:tcPr>
          <w:p>
            <w:pPr>
              <w:spacing w:after="0" w:line="137" w:lineRule="exact"/>
              <w:rPr>
                <w:sz w:val="20"/>
                <w:szCs w:val="20"/>
                <w:color w:val="auto"/>
              </w:rPr>
            </w:pPr>
            <w:r>
              <w:rPr>
                <w:rFonts w:ascii="Arial" w:cs="Arial" w:eastAsia="Arial" w:hAnsi="Arial"/>
                <w:sz w:val="14"/>
                <w:szCs w:val="14"/>
                <w:color w:val="auto"/>
              </w:rPr>
              <w:t>Bristol Hospice, LLC</w:t>
            </w:r>
          </w:p>
        </w:tc>
        <w:tc>
          <w:tcPr>
            <w:tcW w:w="1860" w:type="dxa"/>
            <w:vAlign w:val="bottom"/>
          </w:tcPr>
          <w:p>
            <w:pPr>
              <w:spacing w:after="0" w:line="137" w:lineRule="exact"/>
              <w:rPr>
                <w:sz w:val="20"/>
                <w:szCs w:val="20"/>
                <w:color w:val="auto"/>
              </w:rPr>
            </w:pPr>
            <w:r>
              <w:rPr>
                <w:rFonts w:ascii="Arial" w:cs="Arial" w:eastAsia="Arial" w:hAnsi="Arial"/>
                <w:sz w:val="14"/>
                <w:szCs w:val="14"/>
                <w:color w:val="auto"/>
              </w:rPr>
              <w:t>Healthcare Services</w:t>
            </w:r>
          </w:p>
        </w:tc>
        <w:tc>
          <w:tcPr>
            <w:tcW w:w="2100" w:type="dxa"/>
            <w:vAlign w:val="bottom"/>
            <w:gridSpan w:val="3"/>
          </w:tcPr>
          <w:p>
            <w:pPr>
              <w:ind w:left="180"/>
              <w:spacing w:after="0" w:line="137" w:lineRule="exact"/>
              <w:rPr>
                <w:sz w:val="20"/>
                <w:szCs w:val="20"/>
                <w:color w:val="auto"/>
              </w:rPr>
            </w:pPr>
            <w:r>
              <w:rPr>
                <w:rFonts w:ascii="Arial" w:cs="Arial" w:eastAsia="Arial" w:hAnsi="Arial"/>
                <w:sz w:val="14"/>
                <w:szCs w:val="14"/>
                <w:color w:val="auto"/>
              </w:rPr>
              <w:t>Senior Secured Note 11.00%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(10.00% Cash/1.00% PIK),</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color w:val="auto"/>
              </w:rPr>
              <w:t>11/29/2018</w:t>
            </w:r>
          </w:p>
        </w:tc>
        <w:tc>
          <w:tcPr>
            <w:tcW w:w="1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5,404,747</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5,339,820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5,404,747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Services</w:t>
            </w: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334,000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Roscoe Medical, Inc.</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Healthcare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11.25% Cash, 9/26/2019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4,141,519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3,822,000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Ohio Medical, LLC (g)</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Services</w:t>
            </w: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Ohio Medical, LLC</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Healthcare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Senior Subordinated Note</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color w:val="auto"/>
              </w:rPr>
              <w:t>12.00% , 7/15/2021</w:t>
            </w:r>
          </w:p>
        </w:tc>
        <w:tc>
          <w:tcPr>
            <w:tcW w:w="1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7,300,000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7,228,452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7,227,000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Smile Brands Group Inc. (d)</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10.50%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(9.00% Cash/1.50% PIK),</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8/16/2019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4,420,900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4,362,266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3,216,647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rPr>
              <w:t>Zest Holdings, LLC (d)</w:t>
            </w:r>
          </w:p>
        </w:tc>
        <w:tc>
          <w:tcPr>
            <w:tcW w:w="1860" w:type="dxa"/>
            <w:vAlign w:val="bottom"/>
          </w:tcPr>
          <w:p>
            <w:pPr>
              <w:spacing w:after="0" w:line="130" w:lineRule="exact"/>
              <w:rPr>
                <w:sz w:val="20"/>
                <w:szCs w:val="20"/>
                <w:color w:val="auto"/>
              </w:rPr>
            </w:pPr>
            <w:r>
              <w:rPr>
                <w:rFonts w:ascii="Arial" w:cs="Arial" w:eastAsia="Arial" w:hAnsi="Arial"/>
                <w:sz w:val="14"/>
                <w:szCs w:val="14"/>
                <w:color w:val="auto"/>
              </w:rPr>
              <w:t>Healthcare Services</w:t>
            </w:r>
          </w:p>
        </w:tc>
        <w:tc>
          <w:tcPr>
            <w:tcW w:w="210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First Lien Term Loan 5.25%</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8/16/2020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4,207,821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4,142,093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4,130,692</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Total Healthcare Services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26,214,150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24,635,086</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37"/>
        </w:trPr>
        <w:tc>
          <w:tcPr>
            <w:tcW w:w="3100" w:type="dxa"/>
            <w:vAlign w:val="bottom"/>
            <w:gridSpan w:val="4"/>
          </w:tcPr>
          <w:p>
            <w:pPr>
              <w:spacing w:after="0" w:line="137" w:lineRule="exact"/>
              <w:rPr>
                <w:sz w:val="20"/>
                <w:szCs w:val="20"/>
                <w:color w:val="auto"/>
              </w:rPr>
            </w:pPr>
            <w:r>
              <w:rPr>
                <w:rFonts w:ascii="Arial" w:cs="Arial" w:eastAsia="Arial" w:hAnsi="Arial"/>
                <w:sz w:val="14"/>
                <w:szCs w:val="14"/>
                <w:color w:val="auto"/>
              </w:rPr>
              <w:t>HMN Holdco, LLC</w:t>
            </w:r>
          </w:p>
        </w:tc>
        <w:tc>
          <w:tcPr>
            <w:tcW w:w="1860" w:type="dxa"/>
            <w:vAlign w:val="bottom"/>
          </w:tcPr>
          <w:p>
            <w:pPr>
              <w:spacing w:after="0" w:line="137" w:lineRule="exact"/>
              <w:rPr>
                <w:sz w:val="20"/>
                <w:szCs w:val="20"/>
                <w:color w:val="auto"/>
              </w:rPr>
            </w:pPr>
            <w:r>
              <w:rPr>
                <w:rFonts w:ascii="Arial" w:cs="Arial" w:eastAsia="Arial" w:hAnsi="Arial"/>
                <w:sz w:val="14"/>
                <w:szCs w:val="14"/>
                <w:color w:val="auto"/>
              </w:rPr>
              <w:t>Media</w:t>
            </w:r>
          </w:p>
        </w:tc>
        <w:tc>
          <w:tcPr>
            <w:tcW w:w="2100" w:type="dxa"/>
            <w:vAlign w:val="bottom"/>
            <w:gridSpan w:val="3"/>
          </w:tcPr>
          <w:p>
            <w:pPr>
              <w:ind w:left="180"/>
              <w:spacing w:after="0" w:line="137" w:lineRule="exact"/>
              <w:rPr>
                <w:sz w:val="20"/>
                <w:szCs w:val="20"/>
                <w:color w:val="auto"/>
              </w:rPr>
            </w:pPr>
            <w:r>
              <w:rPr>
                <w:rFonts w:ascii="Arial" w:cs="Arial" w:eastAsia="Arial" w:hAnsi="Arial"/>
                <w:sz w:val="14"/>
                <w:szCs w:val="14"/>
                <w:color w:val="auto"/>
              </w:rPr>
              <w:t>First Lien Term Loan 10.00%</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color w:val="auto"/>
              </w:rPr>
              <w:t>Cash, 5/16/2019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8,937,982</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8,812,479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8,937,983</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Media</w:t>
            </w:r>
          </w:p>
        </w:tc>
        <w:tc>
          <w:tcPr>
            <w:tcW w:w="210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10.00%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5/16/2019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1,600,000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1,572,821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HMN Holdco, LLC</w:t>
            </w: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Media</w:t>
            </w:r>
          </w:p>
        </w:tc>
        <w:tc>
          <w:tcPr>
            <w:tcW w:w="21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Class A Series</w:t>
            </w:r>
          </w:p>
        </w:tc>
        <w:tc>
          <w:tcPr>
            <w:tcW w:w="16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4,264</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61,647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314,683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21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Class A Warrant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30,320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438,353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1,889,542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color w:val="auto"/>
              </w:rPr>
              <w:t>HMN Holdco, LLC (g)</w:t>
            </w:r>
          </w:p>
        </w:tc>
        <w:tc>
          <w:tcPr>
            <w:tcW w:w="1980" w:type="dxa"/>
            <w:vAlign w:val="bottom"/>
          </w:tcPr>
          <w:p>
            <w:pPr>
              <w:ind w:left="120"/>
              <w:spacing w:after="0"/>
              <w:rPr>
                <w:sz w:val="20"/>
                <w:szCs w:val="20"/>
                <w:color w:val="auto"/>
              </w:rPr>
            </w:pPr>
            <w:r>
              <w:rPr>
                <w:rFonts w:ascii="Arial" w:cs="Arial" w:eastAsia="Arial" w:hAnsi="Arial"/>
                <w:sz w:val="14"/>
                <w:szCs w:val="14"/>
                <w:color w:val="auto"/>
              </w:rPr>
              <w:t>Media</w:t>
            </w:r>
          </w:p>
        </w:tc>
        <w:tc>
          <w:tcPr>
            <w:tcW w:w="2100" w:type="dxa"/>
            <w:vAlign w:val="bottom"/>
          </w:tcPr>
          <w:p>
            <w:pPr>
              <w:ind w:left="180"/>
              <w:spacing w:after="0"/>
              <w:rPr>
                <w:sz w:val="20"/>
                <w:szCs w:val="20"/>
                <w:color w:val="auto"/>
              </w:rPr>
            </w:pPr>
            <w:r>
              <w:rPr>
                <w:rFonts w:ascii="Arial" w:cs="Arial" w:eastAsia="Arial" w:hAnsi="Arial"/>
                <w:sz w:val="14"/>
                <w:szCs w:val="14"/>
                <w:color w:val="auto"/>
              </w:rPr>
              <w:t>Warrants to Purchase Limited</w:t>
            </w:r>
          </w:p>
        </w:tc>
        <w:tc>
          <w:tcPr>
            <w:tcW w:w="1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57,872</w:t>
            </w: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3,309,121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00" w:type="dxa"/>
            <w:vAlign w:val="bottom"/>
          </w:tcPr>
          <w:p>
            <w:pPr>
              <w:ind w:left="180"/>
              <w:spacing w:after="0" w:line="149" w:lineRule="exact"/>
              <w:rPr>
                <w:sz w:val="20"/>
                <w:szCs w:val="20"/>
                <w:color w:val="auto"/>
              </w:rPr>
            </w:pPr>
            <w:r>
              <w:rPr>
                <w:rFonts w:ascii="Arial" w:cs="Arial" w:eastAsia="Arial" w:hAnsi="Arial"/>
                <w:sz w:val="14"/>
                <w:szCs w:val="14"/>
                <w:color w:val="auto"/>
              </w:rPr>
              <w:t>Liability Company Interests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9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Media</w:t>
            </w:r>
          </w:p>
        </w:tc>
        <w:tc>
          <w:tcPr>
            <w:tcW w:w="21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Warrants to Purchase Limited</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Liability Company Interests</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8,139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523,012</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00" w:type="dxa"/>
            <w:vAlign w:val="bottom"/>
            <w:vMerge w:val="restart"/>
          </w:tcPr>
          <w:p>
            <w:pPr>
              <w:jc w:val="right"/>
              <w:ind w:right="108"/>
              <w:spacing w:after="0"/>
              <w:rPr>
                <w:sz w:val="20"/>
                <w:szCs w:val="20"/>
                <w:color w:val="auto"/>
              </w:rPr>
            </w:pPr>
            <w:r>
              <w:rPr>
                <w:rFonts w:ascii="Arial" w:cs="Arial" w:eastAsia="Arial" w:hAnsi="Arial"/>
                <w:sz w:val="14"/>
                <w:szCs w:val="14"/>
                <w:color w:val="auto"/>
              </w:rPr>
              <w:t>Total Media</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10,885,300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16,574,341</w:t>
            </w:r>
          </w:p>
        </w:tc>
        <w:tc>
          <w:tcPr>
            <w:tcW w:w="26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w:t>
            </w:r>
          </w:p>
        </w:tc>
        <w:tc>
          <w:tcPr>
            <w:tcW w:w="1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Metals</w:t>
            </w:r>
          </w:p>
        </w:tc>
        <w:tc>
          <w:tcPr>
            <w:tcW w:w="2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35,000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9,217,564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2,026,150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tcPr>
          <w:p>
            <w:pPr>
              <w:spacing w:after="0" w:line="130" w:lineRule="exact"/>
              <w:rPr>
                <w:sz w:val="20"/>
                <w:szCs w:val="20"/>
                <w:color w:val="auto"/>
              </w:rPr>
            </w:pPr>
            <w:r>
              <w:rPr>
                <w:rFonts w:ascii="Arial" w:cs="Arial" w:eastAsia="Arial" w:hAnsi="Arial"/>
                <w:sz w:val="14"/>
                <w:szCs w:val="14"/>
                <w:color w:val="auto"/>
              </w:rPr>
              <w:t>Elyria Foundry Company, L.L.C.</w:t>
            </w:r>
          </w:p>
        </w:tc>
        <w:tc>
          <w:tcPr>
            <w:tcW w:w="1980" w:type="dxa"/>
            <w:vAlign w:val="bottom"/>
          </w:tcPr>
          <w:p>
            <w:pPr>
              <w:ind w:left="120"/>
              <w:spacing w:after="0" w:line="130" w:lineRule="exact"/>
              <w:rPr>
                <w:sz w:val="20"/>
                <w:szCs w:val="20"/>
                <w:color w:val="auto"/>
              </w:rPr>
            </w:pPr>
            <w:r>
              <w:rPr>
                <w:rFonts w:ascii="Arial" w:cs="Arial" w:eastAsia="Arial" w:hAnsi="Arial"/>
                <w:sz w:val="14"/>
                <w:szCs w:val="14"/>
                <w:color w:val="auto"/>
              </w:rPr>
              <w:t>Metals</w:t>
            </w:r>
          </w:p>
        </w:tc>
        <w:tc>
          <w:tcPr>
            <w:tcW w:w="2100" w:type="dxa"/>
            <w:vAlign w:val="bottom"/>
          </w:tcPr>
          <w:p>
            <w:pPr>
              <w:ind w:left="180"/>
              <w:spacing w:after="0" w:line="130" w:lineRule="exact"/>
              <w:rPr>
                <w:sz w:val="20"/>
                <w:szCs w:val="20"/>
                <w:color w:val="auto"/>
              </w:rPr>
            </w:pPr>
            <w:r>
              <w:rPr>
                <w:rFonts w:ascii="Arial" w:cs="Arial" w:eastAsia="Arial" w:hAnsi="Arial"/>
                <w:sz w:val="14"/>
                <w:szCs w:val="14"/>
                <w:color w:val="auto"/>
              </w:rPr>
              <w:t>Revolver 10.00% Cash,</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Arial" w:cs="Arial" w:eastAsia="Arial" w:hAnsi="Arial"/>
                <w:sz w:val="14"/>
                <w:szCs w:val="14"/>
                <w:color w:val="auto"/>
              </w:rPr>
              <w:t>3/31/2017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8,500,000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8,500,000</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1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Total Metals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17,717,564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10,526,150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rPr>
              <w:t>Avionte Holdings, LLC (g)</w:t>
            </w:r>
          </w:p>
        </w:tc>
        <w:tc>
          <w:tcPr>
            <w:tcW w:w="1980" w:type="dxa"/>
            <w:vAlign w:val="bottom"/>
            <w:vMerge w:val="restart"/>
          </w:tcPr>
          <w:p>
            <w:pPr>
              <w:ind w:left="120"/>
              <w:spacing w:after="0"/>
              <w:rPr>
                <w:sz w:val="20"/>
                <w:szCs w:val="20"/>
                <w:color w:val="auto"/>
              </w:rPr>
            </w:pPr>
            <w:r>
              <w:rPr>
                <w:rFonts w:ascii="Arial" w:cs="Arial" w:eastAsia="Arial" w:hAnsi="Arial"/>
                <w:sz w:val="14"/>
                <w:szCs w:val="14"/>
                <w:color w:val="auto"/>
              </w:rPr>
              <w:t>Software as a Service</w:t>
            </w:r>
          </w:p>
        </w:tc>
        <w:tc>
          <w:tcPr>
            <w:tcW w:w="2100" w:type="dxa"/>
            <w:vAlign w:val="bottom"/>
            <w:vMerge w:val="restart"/>
          </w:tcPr>
          <w:p>
            <w:pPr>
              <w:ind w:left="18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2"/>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100,000</w:t>
            </w: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169,850</w:t>
            </w:r>
          </w:p>
        </w:tc>
        <w:tc>
          <w:tcPr>
            <w:tcW w:w="26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w:t>
            </w:r>
          </w:p>
        </w:tc>
        <w:tc>
          <w:tcPr>
            <w:tcW w:w="19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 as a Service</w:t>
            </w:r>
          </w:p>
        </w:tc>
        <w:tc>
          <w:tcPr>
            <w:tcW w:w="21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9.75%</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1/8/2019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2,406,342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2,376,045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2,382,844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tcPr>
          <w:p>
            <w:pPr>
              <w:spacing w:after="0" w:line="130" w:lineRule="exact"/>
              <w:rPr>
                <w:sz w:val="20"/>
                <w:szCs w:val="20"/>
                <w:color w:val="auto"/>
              </w:rPr>
            </w:pPr>
            <w:r>
              <w:rPr>
                <w:rFonts w:ascii="Arial" w:cs="Arial" w:eastAsia="Arial" w:hAnsi="Arial"/>
                <w:sz w:val="14"/>
                <w:szCs w:val="14"/>
                <w:color w:val="auto"/>
              </w:rPr>
              <w:t>Avionte Holdings, LLC (j), (k)</w:t>
            </w:r>
          </w:p>
        </w:tc>
        <w:tc>
          <w:tcPr>
            <w:tcW w:w="1980" w:type="dxa"/>
            <w:vAlign w:val="bottom"/>
          </w:tcPr>
          <w:p>
            <w:pPr>
              <w:ind w:left="120"/>
              <w:spacing w:after="0" w:line="130" w:lineRule="exact"/>
              <w:rPr>
                <w:sz w:val="20"/>
                <w:szCs w:val="20"/>
                <w:color w:val="auto"/>
              </w:rPr>
            </w:pPr>
            <w:r>
              <w:rPr>
                <w:rFonts w:ascii="Arial" w:cs="Arial" w:eastAsia="Arial" w:hAnsi="Arial"/>
                <w:sz w:val="14"/>
                <w:szCs w:val="14"/>
                <w:color w:val="auto"/>
              </w:rPr>
              <w:t>Software as a Service</w:t>
            </w:r>
          </w:p>
        </w:tc>
        <w:tc>
          <w:tcPr>
            <w:tcW w:w="2100" w:type="dxa"/>
            <w:vAlign w:val="bottom"/>
          </w:tcPr>
          <w:p>
            <w:pPr>
              <w:ind w:left="180"/>
              <w:spacing w:after="0" w:line="130" w:lineRule="exact"/>
              <w:rPr>
                <w:sz w:val="20"/>
                <w:szCs w:val="20"/>
                <w:color w:val="auto"/>
              </w:rPr>
            </w:pPr>
            <w:r>
              <w:rPr>
                <w:rFonts w:ascii="Arial" w:cs="Arial" w:eastAsia="Arial" w:hAnsi="Arial"/>
                <w:sz w:val="14"/>
                <w:szCs w:val="14"/>
                <w:color w:val="auto"/>
              </w:rPr>
              <w:t>Delayed Draw Term Loan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Arial" w:cs="Arial" w:eastAsia="Arial" w:hAnsi="Arial"/>
                <w:sz w:val="14"/>
                <w:szCs w:val="14"/>
                <w:color w:val="auto"/>
              </w:rPr>
              <w:t>A 9.75% Cash, 1/8/2019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Censis Technologies, Inc.</w:t>
            </w:r>
          </w:p>
        </w:tc>
        <w:tc>
          <w:tcPr>
            <w:tcW w:w="19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 as a Service</w:t>
            </w:r>
          </w:p>
        </w:tc>
        <w:tc>
          <w:tcPr>
            <w:tcW w:w="21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B</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11.00% Cash, 7/24/2019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11,550,000</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11,377,810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11,459,418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980" w:type="dxa"/>
            <w:vAlign w:val="bottom"/>
          </w:tcPr>
          <w:p>
            <w:pPr>
              <w:ind w:left="120"/>
              <w:spacing w:after="0" w:line="149" w:lineRule="exact"/>
              <w:rPr>
                <w:sz w:val="20"/>
                <w:szCs w:val="20"/>
                <w:color w:val="auto"/>
              </w:rPr>
            </w:pPr>
            <w:r>
              <w:rPr>
                <w:rFonts w:ascii="Arial" w:cs="Arial" w:eastAsia="Arial" w:hAnsi="Arial"/>
                <w:sz w:val="14"/>
                <w:szCs w:val="14"/>
                <w:color w:val="auto"/>
              </w:rPr>
              <w:t>Software as a Service</w:t>
            </w:r>
          </w:p>
        </w:tc>
        <w:tc>
          <w:tcPr>
            <w:tcW w:w="2100" w:type="dxa"/>
            <w:vAlign w:val="bottom"/>
          </w:tcPr>
          <w:p>
            <w:pPr>
              <w:ind w:left="180"/>
              <w:spacing w:after="0" w:line="149" w:lineRule="exact"/>
              <w:rPr>
                <w:sz w:val="20"/>
                <w:szCs w:val="20"/>
                <w:color w:val="auto"/>
              </w:rPr>
            </w:pPr>
            <w:r>
              <w:rPr>
                <w:rFonts w:ascii="Arial" w:cs="Arial" w:eastAsia="Arial" w:hAnsi="Arial"/>
                <w:sz w:val="14"/>
                <w:szCs w:val="14"/>
                <w:color w:val="auto"/>
              </w:rPr>
              <w:t>Limited Partner Interests</w:t>
            </w:r>
          </w:p>
        </w:tc>
        <w:tc>
          <w:tcPr>
            <w:tcW w:w="16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999</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999,000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810,642</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Finalsite Holdings, Inc.</w:t>
            </w:r>
          </w:p>
        </w:tc>
        <w:tc>
          <w:tcPr>
            <w:tcW w:w="19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 as a Service</w:t>
            </w:r>
          </w:p>
        </w:tc>
        <w:tc>
          <w:tcPr>
            <w:tcW w:w="21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Second Lien Term Loan</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10.25% Cash, 5/21/2020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7,440,729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980" w:type="dxa"/>
            <w:vAlign w:val="bottom"/>
          </w:tcPr>
          <w:p>
            <w:pPr>
              <w:ind w:left="120"/>
              <w:spacing w:after="0" w:line="149" w:lineRule="exact"/>
              <w:rPr>
                <w:sz w:val="20"/>
                <w:szCs w:val="20"/>
                <w:color w:val="auto"/>
              </w:rPr>
            </w:pPr>
            <w:r>
              <w:rPr>
                <w:rFonts w:ascii="Arial" w:cs="Arial" w:eastAsia="Arial" w:hAnsi="Arial"/>
                <w:sz w:val="14"/>
                <w:szCs w:val="14"/>
                <w:color w:val="auto"/>
              </w:rPr>
              <w:t>Software as a Service</w:t>
            </w:r>
          </w:p>
        </w:tc>
        <w:tc>
          <w:tcPr>
            <w:tcW w:w="2100" w:type="dxa"/>
            <w:vAlign w:val="bottom"/>
          </w:tcPr>
          <w:p>
            <w:pPr>
              <w:ind w:left="180"/>
              <w:spacing w:after="0" w:line="149" w:lineRule="exact"/>
              <w:rPr>
                <w:sz w:val="20"/>
                <w:szCs w:val="20"/>
                <w:color w:val="auto"/>
              </w:rPr>
            </w:pPr>
            <w:r>
              <w:rPr>
                <w:rFonts w:ascii="Arial" w:cs="Arial" w:eastAsia="Arial" w:hAnsi="Arial"/>
                <w:sz w:val="14"/>
                <w:szCs w:val="14"/>
                <w:color w:val="auto"/>
              </w:rPr>
              <w:t>Common Stock Class A Units</w:t>
            </w:r>
          </w:p>
        </w:tc>
        <w:tc>
          <w:tcPr>
            <w:tcW w:w="16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232,616</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232,616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427,409</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9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 as a Service</w:t>
            </w:r>
          </w:p>
        </w:tc>
        <w:tc>
          <w:tcPr>
            <w:tcW w:w="21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10.25%</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12/18/2020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6,842,573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tcPr>
          <w:p>
            <w:pPr>
              <w:spacing w:after="0" w:line="130" w:lineRule="exact"/>
              <w:rPr>
                <w:sz w:val="20"/>
                <w:szCs w:val="20"/>
                <w:color w:val="auto"/>
              </w:rPr>
            </w:pPr>
            <w:r>
              <w:rPr>
                <w:rFonts w:ascii="Arial" w:cs="Arial" w:eastAsia="Arial" w:hAnsi="Arial"/>
                <w:sz w:val="14"/>
                <w:szCs w:val="14"/>
                <w:color w:val="auto"/>
              </w:rPr>
              <w:t>Identity Automation Systems (j), (k)</w:t>
            </w:r>
          </w:p>
        </w:tc>
        <w:tc>
          <w:tcPr>
            <w:tcW w:w="1980" w:type="dxa"/>
            <w:vAlign w:val="bottom"/>
          </w:tcPr>
          <w:p>
            <w:pPr>
              <w:ind w:left="120"/>
              <w:spacing w:after="0" w:line="130" w:lineRule="exact"/>
              <w:rPr>
                <w:sz w:val="20"/>
                <w:szCs w:val="20"/>
                <w:color w:val="auto"/>
              </w:rPr>
            </w:pPr>
            <w:r>
              <w:rPr>
                <w:rFonts w:ascii="Arial" w:cs="Arial" w:eastAsia="Arial" w:hAnsi="Arial"/>
                <w:sz w:val="14"/>
                <w:szCs w:val="14"/>
                <w:color w:val="auto"/>
              </w:rPr>
              <w:t>Software as a Service</w:t>
            </w:r>
          </w:p>
        </w:tc>
        <w:tc>
          <w:tcPr>
            <w:tcW w:w="2100" w:type="dxa"/>
            <w:vAlign w:val="bottom"/>
          </w:tcPr>
          <w:p>
            <w:pPr>
              <w:ind w:left="180"/>
              <w:spacing w:after="0" w:line="130" w:lineRule="exact"/>
              <w:rPr>
                <w:sz w:val="20"/>
                <w:szCs w:val="20"/>
                <w:color w:val="auto"/>
              </w:rPr>
            </w:pPr>
            <w:r>
              <w:rPr>
                <w:rFonts w:ascii="Arial" w:cs="Arial" w:eastAsia="Arial" w:hAnsi="Arial"/>
                <w:sz w:val="14"/>
                <w:szCs w:val="14"/>
                <w:color w:val="auto"/>
              </w:rPr>
              <w:t>Delayed Draw Term Loan</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Arial" w:cs="Arial" w:eastAsia="Arial" w:hAnsi="Arial"/>
                <w:sz w:val="14"/>
                <w:szCs w:val="14"/>
                <w:color w:val="auto"/>
              </w:rPr>
              <w:t>10.25% Cash, 12/18/2020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Mercury Network, LLC</w:t>
            </w:r>
          </w:p>
        </w:tc>
        <w:tc>
          <w:tcPr>
            <w:tcW w:w="19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 as a Service</w:t>
            </w:r>
          </w:p>
        </w:tc>
        <w:tc>
          <w:tcPr>
            <w:tcW w:w="21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First Lien Term Loan 9.75%</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4/24/2020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9,025,000</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8,944,211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9,025,000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1980" w:type="dxa"/>
            <w:vAlign w:val="bottom"/>
          </w:tcPr>
          <w:p>
            <w:pPr>
              <w:ind w:left="120"/>
              <w:spacing w:after="0" w:line="149" w:lineRule="exact"/>
              <w:rPr>
                <w:sz w:val="20"/>
                <w:szCs w:val="20"/>
                <w:color w:val="auto"/>
              </w:rPr>
            </w:pPr>
            <w:r>
              <w:rPr>
                <w:rFonts w:ascii="Arial" w:cs="Arial" w:eastAsia="Arial" w:hAnsi="Arial"/>
                <w:sz w:val="14"/>
                <w:szCs w:val="14"/>
                <w:color w:val="auto"/>
              </w:rPr>
              <w:t>Software as a Service</w:t>
            </w:r>
          </w:p>
        </w:tc>
        <w:tc>
          <w:tcPr>
            <w:tcW w:w="2100" w:type="dxa"/>
            <w:vAlign w:val="bottom"/>
          </w:tcPr>
          <w:p>
            <w:pPr>
              <w:ind w:left="1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413,043</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413,043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512,173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1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Total Software as a Service</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38,726,027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39,187,336</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33"/>
        </w:trPr>
        <w:tc>
          <w:tcPr>
            <w:tcW w:w="2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Sub Total Non-control/Non-affiliated</w:t>
            </w:r>
          </w:p>
        </w:tc>
        <w:tc>
          <w:tcPr>
            <w:tcW w:w="19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investments</w:t>
            </w:r>
          </w:p>
        </w:tc>
        <w:tc>
          <w:tcPr>
            <w:tcW w:w="19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268,145,090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271,168,186</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Control investments—10.3% (b)</w:t>
            </w:r>
          </w:p>
        </w:tc>
        <w:tc>
          <w:tcPr>
            <w:tcW w:w="198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tcPr>
          <w:p>
            <w:pPr>
              <w:spacing w:after="0" w:line="130" w:lineRule="exact"/>
              <w:rPr>
                <w:sz w:val="20"/>
                <w:szCs w:val="20"/>
                <w:color w:val="auto"/>
              </w:rPr>
            </w:pPr>
            <w:r>
              <w:rPr>
                <w:rFonts w:ascii="Arial" w:cs="Arial" w:eastAsia="Arial" w:hAnsi="Arial"/>
                <w:sz w:val="14"/>
                <w:szCs w:val="14"/>
                <w:color w:val="auto"/>
                <w:w w:val="96"/>
              </w:rPr>
              <w:t>Saratoga Investment Corp. CLO 2013-1, Ltd. (a),</w:t>
            </w:r>
          </w:p>
        </w:tc>
        <w:tc>
          <w:tcPr>
            <w:tcW w:w="1980" w:type="dxa"/>
            <w:vAlign w:val="bottom"/>
          </w:tcPr>
          <w:p>
            <w:pPr>
              <w:ind w:left="120"/>
              <w:spacing w:after="0" w:line="130" w:lineRule="exact"/>
              <w:rPr>
                <w:sz w:val="20"/>
                <w:szCs w:val="20"/>
                <w:color w:val="auto"/>
              </w:rPr>
            </w:pPr>
            <w:r>
              <w:rPr>
                <w:rFonts w:ascii="Arial" w:cs="Arial" w:eastAsia="Arial" w:hAnsi="Arial"/>
                <w:sz w:val="14"/>
                <w:szCs w:val="14"/>
                <w:color w:val="auto"/>
              </w:rPr>
              <w:t>Structured Finance Securities</w:t>
            </w:r>
          </w:p>
        </w:tc>
        <w:tc>
          <w:tcPr>
            <w:tcW w:w="2100" w:type="dxa"/>
            <w:vAlign w:val="bottom"/>
          </w:tcPr>
          <w:p>
            <w:pPr>
              <w:ind w:left="180"/>
              <w:spacing w:after="0" w:line="130" w:lineRule="exact"/>
              <w:rPr>
                <w:sz w:val="20"/>
                <w:szCs w:val="20"/>
                <w:color w:val="auto"/>
              </w:rPr>
            </w:pPr>
            <w:r>
              <w:rPr>
                <w:rFonts w:ascii="Arial" w:cs="Arial" w:eastAsia="Arial" w:hAnsi="Arial"/>
                <w:sz w:val="14"/>
                <w:szCs w:val="14"/>
                <w:color w:val="auto"/>
              </w:rPr>
              <w:t>Other/Structured Finance</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140"/>
              <w:spacing w:after="0" w:line="149" w:lineRule="exact"/>
              <w:rPr>
                <w:sz w:val="20"/>
                <w:szCs w:val="20"/>
                <w:color w:val="auto"/>
              </w:rPr>
            </w:pPr>
            <w:r>
              <w:rPr>
                <w:rFonts w:ascii="Arial" w:cs="Arial" w:eastAsia="Arial" w:hAnsi="Arial"/>
                <w:sz w:val="14"/>
                <w:szCs w:val="14"/>
                <w:color w:val="auto"/>
              </w:rPr>
              <w:t>(d), (e), (f)</w:t>
            </w:r>
          </w:p>
        </w:tc>
        <w:tc>
          <w:tcPr>
            <w:tcW w:w="1980" w:type="dxa"/>
            <w:vAlign w:val="bottom"/>
          </w:tcPr>
          <w:p>
            <w:pPr>
              <w:spacing w:after="0"/>
              <w:rPr>
                <w:sz w:val="12"/>
                <w:szCs w:val="12"/>
                <w:color w:val="auto"/>
              </w:rPr>
            </w:pPr>
          </w:p>
        </w:tc>
        <w:tc>
          <w:tcPr>
            <w:tcW w:w="2100" w:type="dxa"/>
            <w:vAlign w:val="bottom"/>
          </w:tcPr>
          <w:p>
            <w:pPr>
              <w:ind w:left="180"/>
              <w:spacing w:after="0" w:line="149" w:lineRule="exact"/>
              <w:rPr>
                <w:sz w:val="20"/>
                <w:szCs w:val="20"/>
                <w:color w:val="auto"/>
              </w:rPr>
            </w:pPr>
            <w:r>
              <w:rPr>
                <w:rFonts w:ascii="Arial" w:cs="Arial" w:eastAsia="Arial" w:hAnsi="Arial"/>
                <w:sz w:val="14"/>
                <w:szCs w:val="14"/>
                <w:color w:val="auto"/>
              </w:rPr>
              <w:t>Securities 16.14%,</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00" w:type="dxa"/>
            <w:vAlign w:val="bottom"/>
          </w:tcPr>
          <w:p>
            <w:pPr>
              <w:ind w:left="180"/>
              <w:spacing w:after="0"/>
              <w:rPr>
                <w:sz w:val="20"/>
                <w:szCs w:val="20"/>
                <w:color w:val="auto"/>
              </w:rPr>
            </w:pPr>
            <w:r>
              <w:rPr>
                <w:rFonts w:ascii="Arial" w:cs="Arial" w:eastAsia="Arial" w:hAnsi="Arial"/>
                <w:sz w:val="14"/>
                <w:szCs w:val="14"/>
                <w:color w:val="auto"/>
              </w:rPr>
              <w:t>10/17/2023</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30,000,000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13,030,751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12,827,980</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19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13,030,751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12,827,980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INVESTMENTS—226.9% (b)</w:t>
            </w:r>
          </w:p>
        </w:tc>
        <w:tc>
          <w:tcPr>
            <w:tcW w:w="1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281,175,841</w:t>
            </w: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$ 283,996,166</w:t>
            </w:r>
          </w:p>
        </w:tc>
        <w:tc>
          <w:tcPr>
            <w:tcW w:w="260" w:type="dxa"/>
            <w:vAlign w:val="bottom"/>
            <w:vMerge w:val="continue"/>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24"/>
                <w:szCs w:val="24"/>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24"/>
                <w:szCs w:val="2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and cash equivalents and cash and cash</w:t>
            </w:r>
          </w:p>
        </w:tc>
        <w:tc>
          <w:tcPr>
            <w:tcW w:w="1980" w:type="dxa"/>
            <w:vAlign w:val="bottom"/>
            <w:tcBorders>
              <w:top w:val="single" w:sz="8" w:color="CCEEFF"/>
            </w:tcBorders>
            <w:shd w:val="clear" w:color="auto" w:fill="CCEEFF"/>
          </w:tcPr>
          <w:p>
            <w:pPr>
              <w:spacing w:after="0"/>
              <w:rPr>
                <w:sz w:val="9"/>
                <w:szCs w:val="9"/>
                <w:color w:val="auto"/>
              </w:rPr>
            </w:pPr>
          </w:p>
        </w:tc>
        <w:tc>
          <w:tcPr>
            <w:tcW w:w="2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 reserve accounts—5.6%</w:t>
            </w: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1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7,034,783</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7,034,783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7,034,783</w:t>
            </w:r>
          </w:p>
        </w:tc>
        <w:tc>
          <w:tcPr>
            <w:tcW w:w="2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Total cash and cash equivalents and cash and</w:t>
            </w:r>
          </w:p>
        </w:tc>
        <w:tc>
          <w:tcPr>
            <w:tcW w:w="198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7,034,783</w:t>
            </w:r>
          </w:p>
        </w:tc>
        <w:tc>
          <w:tcPr>
            <w:tcW w:w="2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7,034,783</w:t>
            </w: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7,034,783</w:t>
            </w:r>
          </w:p>
        </w:tc>
        <w:tc>
          <w:tcPr>
            <w:tcW w:w="260" w:type="dxa"/>
            <w:vAlign w:val="bottom"/>
            <w:vMerge w:val="restart"/>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cash equivalents, reserve accounts</w:t>
            </w:r>
          </w:p>
        </w:tc>
        <w:tc>
          <w:tcPr>
            <w:tcW w:w="19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right="260" w:hanging="452"/>
        <w:spacing w:after="0" w:line="29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5.2% of the Company’s portfolio at fair value. As a BDC, the Company can only invest 30% of its portfolio in non-qualifying assets.</w:t>
      </w: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Percentages are based on net assets of $125,149,875 as of February 29,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7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16.14%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Sales</w:t>
            </w:r>
          </w:p>
        </w:tc>
        <w:tc>
          <w:tcPr>
            <w:tcW w:w="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Management</w:t>
            </w:r>
          </w:p>
        </w:tc>
        <w:tc>
          <w:tcPr>
            <w:tcW w:w="3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Redemptions</w:t>
            </w:r>
          </w:p>
        </w:tc>
        <w:tc>
          <w:tcPr>
            <w:tcW w:w="2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Gains/</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58"/>
        </w:trPr>
        <w:tc>
          <w:tcPr>
            <w:tcW w:w="482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line="158" w:lineRule="exact"/>
              <w:rPr>
                <w:sz w:val="20"/>
                <w:szCs w:val="20"/>
                <w:color w:val="auto"/>
              </w:rPr>
            </w:pPr>
            <w:r>
              <w:rPr>
                <w:rFonts w:ascii="Arial" w:cs="Arial" w:eastAsia="Arial" w:hAnsi="Arial"/>
                <w:sz w:val="14"/>
                <w:szCs w:val="14"/>
                <w:b w:val="1"/>
                <w:bCs w:val="1"/>
                <w:color w:val="auto"/>
                <w:w w:val="88"/>
              </w:rPr>
              <w:t>(Cost)</w:t>
            </w:r>
          </w:p>
        </w:tc>
        <w:tc>
          <w:tcPr>
            <w:tcW w:w="2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Fee Income</w:t>
            </w:r>
          </w:p>
        </w:tc>
        <w:tc>
          <w:tcPr>
            <w:tcW w:w="300" w:type="dxa"/>
            <w:vAlign w:val="bottom"/>
          </w:tcPr>
          <w:p>
            <w:pPr>
              <w:spacing w:after="0"/>
              <w:rPr>
                <w:sz w:val="13"/>
                <w:szCs w:val="13"/>
                <w:color w:val="auto"/>
              </w:rPr>
            </w:pPr>
          </w:p>
        </w:tc>
        <w:tc>
          <w:tcPr>
            <w:tcW w:w="8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3"/>
              </w:rPr>
              <w:t>(Losses)</w:t>
            </w: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Saratoga Investment Corp. CLO 2013-1, Ltd.</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$2,665,648</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$1,494,779</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(202,771)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Non-income producing at February 29,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29, 2016 (see Note 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entire commitment was unfunded at February 29,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29,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1440" w:gutter="0" w:footer="0" w:header="0"/>
        </w:sectPr>
      </w:pPr>
    </w:p>
    <w:bookmarkStart w:id="93" w:name="page94"/>
    <w:bookmarkEnd w:id="9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Investment Interest Rate /</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Principal/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86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5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6"/>
        </w:trPr>
        <w:tc>
          <w:tcPr>
            <w:tcW w:w="4040" w:type="dxa"/>
            <w:vAlign w:val="bottom"/>
            <w:gridSpan w:val="3"/>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40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Non-control/Non-affiliated</w:t>
            </w:r>
          </w:p>
        </w:tc>
        <w:tc>
          <w:tcPr>
            <w:tcW w:w="1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investments—182.3% (b)</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National Truck Protection Co., Inc. (d), (g)</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Automotive</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Aftermarket</w:t>
            </w: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1,116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1,769,432</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15.50%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Aftermarket</w:t>
            </w: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9/13/2018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7,737,848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7,737,848</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7,737,848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Take 5 Oil Change, L.L.C. (d), (g)</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Automotive</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Aftermarket</w:t>
            </w: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7,128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480,535</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1,472,502</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Total Automotive Aftermarket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9,218,383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10,979,782</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4"/>
                <w:szCs w:val="14"/>
                <w:color w:val="auto"/>
              </w:rPr>
              <w:t>Legacy Cabinets Holdings (d), (g)</w:t>
            </w:r>
          </w:p>
        </w:tc>
        <w:tc>
          <w:tcPr>
            <w:tcW w:w="1340" w:type="dxa"/>
            <w:vAlign w:val="bottom"/>
            <w:vMerge w:val="restart"/>
          </w:tcPr>
          <w:p>
            <w:pPr>
              <w:spacing w:after="0"/>
              <w:rPr>
                <w:sz w:val="20"/>
                <w:szCs w:val="20"/>
                <w:color w:val="auto"/>
              </w:rPr>
            </w:pPr>
            <w:r>
              <w:rPr>
                <w:rFonts w:ascii="Arial" w:cs="Arial" w:eastAsia="Arial" w:hAnsi="Arial"/>
                <w:sz w:val="14"/>
                <w:szCs w:val="14"/>
                <w:color w:val="auto"/>
              </w:rPr>
              <w:t>Building Products</w:t>
            </w:r>
          </w:p>
        </w:tc>
        <w:tc>
          <w:tcPr>
            <w:tcW w:w="2220" w:type="dxa"/>
            <w:vAlign w:val="bottom"/>
            <w:gridSpan w:val="3"/>
            <w:vMerge w:val="restart"/>
          </w:tcPr>
          <w:p>
            <w:pPr>
              <w:ind w:left="200"/>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2,535</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3"/>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2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1,493,470</w:t>
            </w:r>
          </w:p>
        </w:tc>
        <w:tc>
          <w:tcPr>
            <w:tcW w:w="30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2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139,424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942,624</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Building Products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 Lien Term Loan 10.00%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8/13/2016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1,000,000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1,360,324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3,436,094</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7"/>
        </w:trPr>
        <w:tc>
          <w:tcPr>
            <w:tcW w:w="4040" w:type="dxa"/>
            <w:vAlign w:val="bottom"/>
            <w:gridSpan w:val="3"/>
          </w:tcPr>
          <w:p>
            <w:pPr>
              <w:spacing w:after="0" w:line="137" w:lineRule="exact"/>
              <w:rPr>
                <w:sz w:val="20"/>
                <w:szCs w:val="20"/>
                <w:color w:val="auto"/>
              </w:rPr>
            </w:pPr>
            <w:r>
              <w:rPr>
                <w:rFonts w:ascii="Arial" w:cs="Arial" w:eastAsia="Arial" w:hAnsi="Arial"/>
                <w:sz w:val="14"/>
                <w:szCs w:val="14"/>
                <w:color w:val="auto"/>
              </w:rPr>
              <w:t>BMC Software, Inc. (d)</w:t>
            </w:r>
          </w:p>
        </w:tc>
        <w:tc>
          <w:tcPr>
            <w:tcW w:w="1340" w:type="dxa"/>
            <w:vAlign w:val="bottom"/>
          </w:tcPr>
          <w:p>
            <w:pPr>
              <w:spacing w:after="0" w:line="137" w:lineRule="exact"/>
              <w:rPr>
                <w:sz w:val="20"/>
                <w:szCs w:val="20"/>
                <w:color w:val="auto"/>
              </w:rPr>
            </w:pPr>
            <w:r>
              <w:rPr>
                <w:rFonts w:ascii="Arial" w:cs="Arial" w:eastAsia="Arial" w:hAnsi="Arial"/>
                <w:sz w:val="14"/>
                <w:szCs w:val="14"/>
                <w:color w:val="auto"/>
              </w:rPr>
              <w:t>Business Services</w:t>
            </w:r>
          </w:p>
        </w:tc>
        <w:tc>
          <w:tcPr>
            <w:tcW w:w="2220" w:type="dxa"/>
            <w:vAlign w:val="bottom"/>
            <w:gridSpan w:val="3"/>
          </w:tcPr>
          <w:p>
            <w:pPr>
              <w:ind w:left="200"/>
              <w:spacing w:after="0" w:line="137" w:lineRule="exact"/>
              <w:rPr>
                <w:sz w:val="20"/>
                <w:szCs w:val="20"/>
                <w:color w:val="auto"/>
              </w:rPr>
            </w:pPr>
            <w:r>
              <w:rPr>
                <w:rFonts w:ascii="Arial" w:cs="Arial" w:eastAsia="Arial" w:hAnsi="Arial"/>
                <w:sz w:val="14"/>
                <w:szCs w:val="14"/>
                <w:color w:val="auto"/>
              </w:rPr>
              <w:t>First Lien Term Loan 5.00%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9/10/2020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5,731,667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5,686,622</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5,478,327</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Senior Secured Note 12.50%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1/1/2018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7,000,000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6,910,112</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7,350,000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Easy Ice, LLC (d)</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 Lien Term Loan 9.50%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1/15/2020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12,000,000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11,872,639</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12,000,000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Senior Secured Note 10.00%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1/23/2020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8,400,000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8,260,787</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8,400,000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22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49,318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400,000</w:t>
            </w:r>
          </w:p>
        </w:tc>
        <w:tc>
          <w:tcPr>
            <w:tcW w:w="1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391,584</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5.50%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(Help/Systems, LLC) (d)</w:t>
            </w: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6/28/2019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1,955,051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1,941,417</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1,925,725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 Lien Term Loan 9.50%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(Help/Systems, LLC) (d)</w:t>
            </w: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6/28/2020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2,000,000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1,975,767</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1,965,000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11.00%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11/29/2017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5,259,171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5,205,142</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5,259,171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Knowland Technology Holdings, L.L.C. (j), (k), (l)</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Delayed Draw Term Loan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11.00% Cash, 11/29/2017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14.00%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(12.00% Cash/2.00% PIK),</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3/6/2018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9,436,991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9,312,095</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9,295,437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Warrants to Purchase Limited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Liability Company Interests</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62,341</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51,564,581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52,127,585</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37"/>
        </w:trPr>
        <w:tc>
          <w:tcPr>
            <w:tcW w:w="4040" w:type="dxa"/>
            <w:vAlign w:val="bottom"/>
            <w:gridSpan w:val="3"/>
          </w:tcPr>
          <w:p>
            <w:pPr>
              <w:spacing w:after="0" w:line="137" w:lineRule="exact"/>
              <w:rPr>
                <w:sz w:val="20"/>
                <w:szCs w:val="20"/>
                <w:color w:val="auto"/>
              </w:rPr>
            </w:pPr>
            <w:r>
              <w:rPr>
                <w:rFonts w:ascii="Arial" w:cs="Arial" w:eastAsia="Arial" w:hAnsi="Arial"/>
                <w:sz w:val="14"/>
                <w:szCs w:val="14"/>
                <w:color w:val="auto"/>
              </w:rPr>
              <w:t>Advanced Air &amp; Heat of Florida, LLC</w:t>
            </w:r>
          </w:p>
        </w:tc>
        <w:tc>
          <w:tcPr>
            <w:tcW w:w="1340" w:type="dxa"/>
            <w:vAlign w:val="bottom"/>
          </w:tcPr>
          <w:p>
            <w:pPr>
              <w:spacing w:after="0" w:line="137" w:lineRule="exact"/>
              <w:rPr>
                <w:sz w:val="20"/>
                <w:szCs w:val="20"/>
                <w:color w:val="auto"/>
              </w:rPr>
            </w:pPr>
            <w:r>
              <w:rPr>
                <w:rFonts w:ascii="Arial" w:cs="Arial" w:eastAsia="Arial" w:hAnsi="Arial"/>
                <w:sz w:val="14"/>
                <w:szCs w:val="14"/>
                <w:color w:val="auto"/>
              </w:rPr>
              <w:t>Consumer Products</w:t>
            </w:r>
          </w:p>
        </w:tc>
        <w:tc>
          <w:tcPr>
            <w:tcW w:w="2220" w:type="dxa"/>
            <w:vAlign w:val="bottom"/>
            <w:gridSpan w:val="3"/>
          </w:tcPr>
          <w:p>
            <w:pPr>
              <w:ind w:left="200"/>
              <w:spacing w:after="0" w:line="137" w:lineRule="exact"/>
              <w:rPr>
                <w:sz w:val="20"/>
                <w:szCs w:val="20"/>
                <w:color w:val="auto"/>
              </w:rPr>
            </w:pPr>
            <w:r>
              <w:rPr>
                <w:rFonts w:ascii="Arial" w:cs="Arial" w:eastAsia="Arial" w:hAnsi="Arial"/>
                <w:sz w:val="14"/>
                <w:szCs w:val="14"/>
                <w:color w:val="auto"/>
              </w:rPr>
              <w:t>First Lien Term Loan 10.00%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1/31/2019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5,955,441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5,881,694</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5,955,441</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Group International, Inc.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12.00%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(11.00% Cash/1.00 PIK),</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5/24/2016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3,569,127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3,537,732</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3,283,597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Targus Holdings, Inc. (d), (g)</w:t>
            </w: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2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62,413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566,765</w:t>
            </w:r>
          </w:p>
        </w:tc>
        <w:tc>
          <w:tcPr>
            <w:tcW w:w="1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 (g)</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Unsecured Note 10.00% PIK,</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6/14/2019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2,054,158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2,054,158</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Targus Holdings, Inc. (d), (g)</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Consumer Products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Unsecured Note 16.00% PIK,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color w:val="auto"/>
              </w:rPr>
              <w:t>10/26/2018</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429,797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425,227</w:t>
            </w:r>
          </w:p>
        </w:tc>
        <w:tc>
          <w:tcPr>
            <w:tcW w:w="1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Consumer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12,465,576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9,239,038</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7"/>
        </w:trPr>
        <w:tc>
          <w:tcPr>
            <w:tcW w:w="4040" w:type="dxa"/>
            <w:vAlign w:val="bottom"/>
            <w:gridSpan w:val="3"/>
          </w:tcPr>
          <w:p>
            <w:pPr>
              <w:spacing w:after="0" w:line="137" w:lineRule="exact"/>
              <w:rPr>
                <w:sz w:val="20"/>
                <w:szCs w:val="20"/>
                <w:color w:val="auto"/>
              </w:rPr>
            </w:pPr>
            <w:r>
              <w:rPr>
                <w:rFonts w:ascii="Arial" w:cs="Arial" w:eastAsia="Arial" w:hAnsi="Arial"/>
                <w:sz w:val="14"/>
                <w:szCs w:val="14"/>
                <w:color w:val="auto"/>
              </w:rPr>
              <w:t>CFF Acquisition L.L.C. (d)</w:t>
            </w:r>
          </w:p>
        </w:tc>
        <w:tc>
          <w:tcPr>
            <w:tcW w:w="1340" w:type="dxa"/>
            <w:vAlign w:val="bottom"/>
          </w:tcPr>
          <w:p>
            <w:pPr>
              <w:spacing w:after="0" w:line="137" w:lineRule="exact"/>
              <w:rPr>
                <w:sz w:val="20"/>
                <w:szCs w:val="20"/>
                <w:color w:val="auto"/>
              </w:rPr>
            </w:pPr>
            <w:r>
              <w:rPr>
                <w:rFonts w:ascii="Arial" w:cs="Arial" w:eastAsia="Arial" w:hAnsi="Arial"/>
                <w:sz w:val="14"/>
                <w:szCs w:val="14"/>
                <w:color w:val="auto"/>
              </w:rPr>
              <w:t>Consumer Services</w:t>
            </w:r>
          </w:p>
        </w:tc>
        <w:tc>
          <w:tcPr>
            <w:tcW w:w="2220" w:type="dxa"/>
            <w:vAlign w:val="bottom"/>
            <w:gridSpan w:val="3"/>
          </w:tcPr>
          <w:p>
            <w:pPr>
              <w:ind w:left="200"/>
              <w:spacing w:after="0" w:line="137" w:lineRule="exact"/>
              <w:rPr>
                <w:sz w:val="20"/>
                <w:szCs w:val="20"/>
                <w:color w:val="auto"/>
              </w:rPr>
            </w:pPr>
            <w:r>
              <w:rPr>
                <w:rFonts w:ascii="Arial" w:cs="Arial" w:eastAsia="Arial" w:hAnsi="Arial"/>
                <w:sz w:val="14"/>
                <w:szCs w:val="14"/>
                <w:color w:val="auto"/>
              </w:rPr>
              <w:t>First Lien Term Loan 7.50%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7/31/2015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716,179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714,270</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716,179</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2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1,069,157</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 Lien Term Loan 10.00%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10/10/2019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13,750,000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13,609,579</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13,750,000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6.25%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7/1/2019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3,709,677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3,680,863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3,652,919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Consumer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 Lien Term Loan 9.75%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7/1/2020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5,000,000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4,937,212</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4,981,000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23,941,924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24,169,255</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340" w:type="dxa"/>
            <w:vAlign w:val="bottom"/>
            <w:vMerge w:val="restart"/>
          </w:tcPr>
          <w:p>
            <w:pPr>
              <w:spacing w:after="0"/>
              <w:rPr>
                <w:sz w:val="20"/>
                <w:szCs w:val="20"/>
                <w:color w:val="auto"/>
              </w:rPr>
            </w:pPr>
            <w:r>
              <w:rPr>
                <w:rFonts w:ascii="Arial" w:cs="Arial" w:eastAsia="Arial" w:hAnsi="Arial"/>
                <w:sz w:val="14"/>
                <w:szCs w:val="14"/>
                <w:color w:val="auto"/>
              </w:rPr>
              <w:t>Education</w:t>
            </w:r>
          </w:p>
        </w:tc>
        <w:tc>
          <w:tcPr>
            <w:tcW w:w="2220" w:type="dxa"/>
            <w:vAlign w:val="bottom"/>
            <w:gridSpan w:val="3"/>
            <w:vMerge w:val="restart"/>
          </w:tcPr>
          <w:p>
            <w:pPr>
              <w:ind w:left="200"/>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544,761</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3"/>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2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1.00%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3/31/2015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2,362,978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1,235,695</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100,951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1,265,936</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100,951</w:t>
            </w:r>
          </w:p>
        </w:tc>
        <w:tc>
          <w:tcPr>
            <w:tcW w:w="300" w:type="dxa"/>
            <w:vAlign w:val="bottom"/>
            <w:vMerge w:val="continue"/>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Group Dekko, Inc.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Electronics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11.00% (10.00% Cash/1.00%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PIK), 5/1/2016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6,950,048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6,950,048</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6,667,181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Total Electronics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6,950,048</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6,667,181</w:t>
            </w:r>
          </w:p>
        </w:tc>
        <w:tc>
          <w:tcPr>
            <w:tcW w:w="300" w:type="dxa"/>
            <w:vAlign w:val="bottom"/>
            <w:vMerge w:val="continue"/>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TB Corp.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Food and Beverage</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5.76%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6/19/2018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5,050,436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5,038,131</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5,037,810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TB Corp. (d)</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Food and Beverage</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Unsecured Note 13.50%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(12.00% Cash/1.50% PIK),</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color w:val="auto"/>
              </w:rPr>
              <w:t>12/20/2018</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2,546,121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2,512,732</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2,546,121</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Food and Beverage</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7.75%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7/16/2017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2,791,595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2,791,595</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2,763,679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Total Food and Beverage</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10,342,458</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10,347,610</w:t>
            </w:r>
          </w:p>
        </w:tc>
        <w:tc>
          <w:tcPr>
            <w:tcW w:w="300" w:type="dxa"/>
            <w:vAlign w:val="bottom"/>
            <w:vMerge w:val="continue"/>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Senior Secured Note 11.00%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(10.00% Cash/1.00% PIK),</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11/29/2018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5,459,134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5,374,249</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5,459,134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Bristol Hospice, LLC (j), (l)</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Healthcare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Delayed Draw Term Loan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11.00% (10.00% Cash/1.00%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PIK), 11/29/2018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Services</w:t>
            </w:r>
          </w:p>
        </w:tc>
        <w:tc>
          <w:tcPr>
            <w:tcW w:w="22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294,500</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Roscoe Medical, Inc.</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Healthcare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11.25% Cash, 9/26/2019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4,200,000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4,129,704</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3,990,000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Smile Brands Group Inc.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7.50%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8/16/2019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4,443,750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4,373,369</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4,159,350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tcPr>
          <w:p>
            <w:pPr>
              <w:spacing w:after="0" w:line="130" w:lineRule="exact"/>
              <w:rPr>
                <w:sz w:val="20"/>
                <w:szCs w:val="20"/>
                <w:color w:val="auto"/>
              </w:rPr>
            </w:pPr>
            <w:r>
              <w:rPr>
                <w:rFonts w:ascii="Arial" w:cs="Arial" w:eastAsia="Arial" w:hAnsi="Arial"/>
                <w:sz w:val="14"/>
                <w:szCs w:val="14"/>
                <w:color w:val="auto"/>
              </w:rPr>
              <w:t>Surgical Specialties Corporation (US), Inc. (d)</w:t>
            </w:r>
          </w:p>
        </w:tc>
        <w:tc>
          <w:tcPr>
            <w:tcW w:w="1340" w:type="dxa"/>
            <w:vAlign w:val="bottom"/>
          </w:tcPr>
          <w:p>
            <w:pPr>
              <w:spacing w:after="0" w:line="130" w:lineRule="exact"/>
              <w:rPr>
                <w:sz w:val="20"/>
                <w:szCs w:val="20"/>
                <w:color w:val="auto"/>
              </w:rPr>
            </w:pPr>
            <w:r>
              <w:rPr>
                <w:rFonts w:ascii="Arial" w:cs="Arial" w:eastAsia="Arial" w:hAnsi="Arial"/>
                <w:sz w:val="14"/>
                <w:szCs w:val="14"/>
                <w:color w:val="auto"/>
              </w:rPr>
              <w:t>Healthcare Services</w:t>
            </w:r>
          </w:p>
        </w:tc>
        <w:tc>
          <w:tcPr>
            <w:tcW w:w="222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 Lien Term Loan 7.25%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gridSpan w:val="3"/>
          </w:tcPr>
          <w:p>
            <w:pPr>
              <w:ind w:left="200"/>
              <w:spacing w:after="0"/>
              <w:rPr>
                <w:sz w:val="20"/>
                <w:szCs w:val="20"/>
                <w:color w:val="auto"/>
              </w:rPr>
            </w:pPr>
            <w:r>
              <w:rPr>
                <w:rFonts w:ascii="Arial" w:cs="Arial" w:eastAsia="Arial" w:hAnsi="Arial"/>
                <w:sz w:val="14"/>
                <w:szCs w:val="14"/>
                <w:color w:val="auto"/>
              </w:rPr>
              <w:t>Cash, 8/22/2018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2,312,500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2,295,234</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2,277,813</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Zest Holdings, LLC (d)</w:t>
            </w:r>
          </w:p>
        </w:tc>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2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 5.25%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Cash, 8/16/2020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4,443,919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4,361,438</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4,460,806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Total Healthcare Services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21,033,994</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20,641,603</w:t>
            </w:r>
          </w:p>
        </w:tc>
        <w:tc>
          <w:tcPr>
            <w:tcW w:w="300" w:type="dxa"/>
            <w:vAlign w:val="bottom"/>
            <w:vMerge w:val="continue"/>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4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HMN Holdco, LLC</w:t>
            </w:r>
          </w:p>
        </w:tc>
        <w:tc>
          <w:tcPr>
            <w:tcW w:w="1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Media</w:t>
            </w: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First Lien Term Loan 14.00%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w w:val="99"/>
              </w:rPr>
              <w:t>9,368,327</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93"/>
              </w:rPr>
              <w:t>9,206,438</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9,579,115</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(12.00% Cash/2.00% PIK),</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5/16/2019</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HMN Holdco, LLC</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Media</w:t>
            </w:r>
          </w:p>
        </w:tc>
        <w:tc>
          <w:tcPr>
            <w:tcW w:w="206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First Lien Term Loan 12.00%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color w:val="auto"/>
              </w:rPr>
              <w:t>Cash, 5/16/2020</w:t>
            </w:r>
          </w:p>
        </w:tc>
        <w:tc>
          <w:tcPr>
            <w:tcW w:w="5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w w:val="99"/>
              </w:rPr>
              <w:t>1,600,000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w w:val="93"/>
              </w:rPr>
              <w:t>1,569,149</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1,576,000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(j), (k)</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Media</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Deferred Draw Term Loan</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12.00% Cash, 5/16/2020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(36,000)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HMN Holdco, LLC (g)</w:t>
            </w:r>
          </w:p>
        </w:tc>
        <w:tc>
          <w:tcPr>
            <w:tcW w:w="1900" w:type="dxa"/>
            <w:vAlign w:val="bottom"/>
          </w:tcPr>
          <w:p>
            <w:pPr>
              <w:ind w:left="500"/>
              <w:spacing w:after="0" w:line="149" w:lineRule="exact"/>
              <w:rPr>
                <w:sz w:val="20"/>
                <w:szCs w:val="20"/>
                <w:color w:val="auto"/>
              </w:rPr>
            </w:pPr>
            <w:r>
              <w:rPr>
                <w:rFonts w:ascii="Arial" w:cs="Arial" w:eastAsia="Arial" w:hAnsi="Arial"/>
                <w:sz w:val="14"/>
                <w:szCs w:val="14"/>
                <w:color w:val="auto"/>
              </w:rPr>
              <w:t>Media</w:t>
            </w:r>
          </w:p>
        </w:tc>
        <w:tc>
          <w:tcPr>
            <w:tcW w:w="1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Class A Series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4,264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61,647</w:t>
            </w:r>
          </w:p>
        </w:tc>
        <w:tc>
          <w:tcPr>
            <w:tcW w:w="11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223,604</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 (g)</w:t>
            </w:r>
          </w:p>
        </w:tc>
        <w:tc>
          <w:tcPr>
            <w:tcW w:w="19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Media</w:t>
            </w:r>
          </w:p>
        </w:tc>
        <w:tc>
          <w:tcPr>
            <w:tcW w:w="1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Class A Warrant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30,320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438,353</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1,247,365</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Media</w:t>
            </w:r>
          </w:p>
        </w:tc>
        <w:tc>
          <w:tcPr>
            <w:tcW w:w="206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Warrants to Purchase Limited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Liability Company Interests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color w:val="auto"/>
              </w:rPr>
              <w:t>(Common)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rPr>
              <w:t>57,872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2,085,128</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Media</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Warrants to Purchase Limited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Liability Company Interests</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8,139</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350,464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0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Total Media</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11,275,587</w:t>
            </w:r>
          </w:p>
        </w:tc>
        <w:tc>
          <w:tcPr>
            <w:tcW w:w="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15,025,676</w:t>
            </w:r>
          </w:p>
        </w:tc>
        <w:tc>
          <w:tcPr>
            <w:tcW w:w="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 (d), (g)</w:t>
            </w:r>
          </w:p>
        </w:tc>
        <w:tc>
          <w:tcPr>
            <w:tcW w:w="19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Metals</w:t>
            </w:r>
          </w:p>
        </w:tc>
        <w:tc>
          <w:tcPr>
            <w:tcW w:w="1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35,000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9,217,563</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6,762,000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Elyria Foundry Company, L.L.C. (d)</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Metals</w:t>
            </w:r>
          </w:p>
        </w:tc>
        <w:tc>
          <w:tcPr>
            <w:tcW w:w="1520" w:type="dxa"/>
            <w:vAlign w:val="bottom"/>
            <w:gridSpan w:val="2"/>
          </w:tcPr>
          <w:p>
            <w:pPr>
              <w:ind w:left="140"/>
              <w:spacing w:after="0" w:line="130" w:lineRule="exact"/>
              <w:rPr>
                <w:sz w:val="20"/>
                <w:szCs w:val="20"/>
                <w:color w:val="auto"/>
              </w:rPr>
            </w:pPr>
            <w:r>
              <w:rPr>
                <w:rFonts w:ascii="Arial" w:cs="Arial" w:eastAsia="Arial" w:hAnsi="Arial"/>
                <w:sz w:val="14"/>
                <w:szCs w:val="14"/>
                <w:color w:val="auto"/>
                <w:w w:val="97"/>
              </w:rPr>
              <w:t>Revolver 9.00% Cash,</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Arial" w:cs="Arial" w:eastAsia="Arial" w:hAnsi="Arial"/>
                <w:sz w:val="14"/>
                <w:szCs w:val="14"/>
                <w:color w:val="auto"/>
              </w:rPr>
              <w:t>12/31/2020</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w w:val="99"/>
              </w:rPr>
              <w:t>8,500,000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w w:val="93"/>
              </w:rPr>
              <w:t>8,500,000</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8,500,000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Metals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17,717,563</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15,262,000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Network Communications, Inc. (d), (g)</w:t>
            </w:r>
          </w:p>
        </w:tc>
        <w:tc>
          <w:tcPr>
            <w:tcW w:w="1900" w:type="dxa"/>
            <w:vAlign w:val="bottom"/>
            <w:vMerge w:val="restart"/>
          </w:tcPr>
          <w:p>
            <w:pPr>
              <w:ind w:left="500"/>
              <w:spacing w:after="0"/>
              <w:rPr>
                <w:sz w:val="20"/>
                <w:szCs w:val="20"/>
                <w:color w:val="auto"/>
              </w:rPr>
            </w:pPr>
            <w:r>
              <w:rPr>
                <w:rFonts w:ascii="Arial" w:cs="Arial" w:eastAsia="Arial" w:hAnsi="Arial"/>
                <w:sz w:val="14"/>
                <w:szCs w:val="14"/>
                <w:color w:val="auto"/>
              </w:rPr>
              <w:t>Publishing</w:t>
            </w:r>
          </w:p>
        </w:tc>
        <w:tc>
          <w:tcPr>
            <w:tcW w:w="1520" w:type="dxa"/>
            <w:vAlign w:val="bottom"/>
            <w:gridSpan w:val="2"/>
            <w:vMerge w:val="restart"/>
          </w:tcPr>
          <w:p>
            <w:pPr>
              <w:ind w:left="140"/>
              <w:spacing w:after="0"/>
              <w:rPr>
                <w:sz w:val="20"/>
                <w:szCs w:val="20"/>
                <w:color w:val="auto"/>
              </w:rPr>
            </w:pPr>
            <w:r>
              <w:rPr>
                <w:rFonts w:ascii="Arial" w:cs="Arial" w:eastAsia="Arial" w:hAnsi="Arial"/>
                <w:sz w:val="14"/>
                <w:szCs w:val="14"/>
                <w:color w:val="auto"/>
              </w:rPr>
              <w:t>Common Stock</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380,572</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300,652</w:t>
            </w:r>
          </w:p>
        </w:tc>
        <w:tc>
          <w:tcPr>
            <w:tcW w:w="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Network Communications, Inc. (d)</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Publishing</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Unsecured Notes 8.60% PIK,</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1/14/2020</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w w:val="99"/>
              </w:rPr>
              <w:t>2,732,976</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93"/>
              </w:rPr>
              <w:t>2,374,260</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1,684,118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Total Publishing</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3"/>
              </w:rPr>
              <w:t>2,374,260</w:t>
            </w:r>
          </w:p>
        </w:tc>
        <w:tc>
          <w:tcPr>
            <w:tcW w:w="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1,984,770</w:t>
            </w:r>
          </w:p>
        </w:tc>
        <w:tc>
          <w:tcPr>
            <w:tcW w:w="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9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Software as a Service</w:t>
            </w:r>
          </w:p>
        </w:tc>
        <w:tc>
          <w:tcPr>
            <w:tcW w:w="1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100,000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163,000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Avionte Holdings, LLC</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First Lien Term Loan 9.75%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color w:val="auto"/>
              </w:rPr>
              <w:t>Cash, 1/8/2019</w:t>
            </w:r>
          </w:p>
        </w:tc>
        <w:tc>
          <w:tcPr>
            <w:tcW w:w="5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w w:val="99"/>
              </w:rPr>
              <w:t>3,000,000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w w:val="93"/>
              </w:rPr>
              <w:t>2,951,759</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3,000,000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 (j), (l)</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Delayed Draw Term Loan A</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8"/>
              </w:rPr>
              <w:t>9.75% Cash, 1/8/2019</w:t>
            </w:r>
          </w:p>
        </w:tc>
        <w:tc>
          <w:tcPr>
            <w:tcW w:w="5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Censis Technologies, Inc.</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1520" w:type="dxa"/>
            <w:vAlign w:val="bottom"/>
            <w:gridSpan w:val="2"/>
          </w:tcPr>
          <w:p>
            <w:pPr>
              <w:ind w:left="140"/>
              <w:spacing w:after="0" w:line="130" w:lineRule="exact"/>
              <w:rPr>
                <w:sz w:val="20"/>
                <w:szCs w:val="20"/>
                <w:color w:val="auto"/>
              </w:rPr>
            </w:pPr>
            <w:r>
              <w:rPr>
                <w:rFonts w:ascii="Arial" w:cs="Arial" w:eastAsia="Arial" w:hAnsi="Arial"/>
                <w:sz w:val="14"/>
                <w:szCs w:val="14"/>
                <w:color w:val="auto"/>
                <w:w w:val="95"/>
              </w:rPr>
              <w:t>First Lien Term Loan B</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60" w:type="dxa"/>
            <w:vAlign w:val="bottom"/>
            <w:gridSpan w:val="3"/>
          </w:tcPr>
          <w:p>
            <w:pPr>
              <w:ind w:left="140"/>
              <w:spacing w:after="0"/>
              <w:rPr>
                <w:sz w:val="20"/>
                <w:szCs w:val="20"/>
                <w:color w:val="auto"/>
              </w:rPr>
            </w:pPr>
            <w:r>
              <w:rPr>
                <w:rFonts w:ascii="Arial" w:cs="Arial" w:eastAsia="Arial" w:hAnsi="Arial"/>
                <w:sz w:val="14"/>
                <w:szCs w:val="14"/>
                <w:color w:val="auto"/>
              </w:rPr>
              <w:t>11.00% Cash, 7/24/2019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w w:val="88"/>
              </w:rPr>
              <w:t>11,850,000</w:t>
            </w:r>
          </w:p>
        </w:tc>
        <w:tc>
          <w:tcPr>
            <w:tcW w:w="840" w:type="dxa"/>
            <w:vAlign w:val="bottom"/>
            <w:gridSpan w:val="5"/>
          </w:tcPr>
          <w:p>
            <w:pPr>
              <w:jc w:val="right"/>
              <w:ind w:right="20"/>
              <w:spacing w:after="0"/>
              <w:rPr>
                <w:sz w:val="20"/>
                <w:szCs w:val="20"/>
                <w:color w:val="auto"/>
              </w:rPr>
            </w:pPr>
            <w:r>
              <w:rPr>
                <w:rFonts w:ascii="Arial" w:cs="Arial" w:eastAsia="Arial" w:hAnsi="Arial"/>
                <w:sz w:val="14"/>
                <w:szCs w:val="14"/>
                <w:color w:val="auto"/>
              </w:rPr>
              <w:t>11,634,939</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11,850,000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9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Limited Partner Interests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999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999,000</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981,627</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1900" w:type="dxa"/>
            <w:vAlign w:val="bottom"/>
          </w:tcPr>
          <w:p>
            <w:pPr>
              <w:ind w:left="500"/>
              <w:spacing w:after="0" w:line="149" w:lineRule="exact"/>
              <w:rPr>
                <w:sz w:val="20"/>
                <w:szCs w:val="20"/>
                <w:color w:val="auto"/>
              </w:rPr>
            </w:pPr>
            <w:r>
              <w:rPr>
                <w:rFonts w:ascii="Arial" w:cs="Arial" w:eastAsia="Arial" w:hAnsi="Arial"/>
                <w:sz w:val="14"/>
                <w:szCs w:val="14"/>
                <w:color w:val="auto"/>
              </w:rPr>
              <w:t>Software as a Service</w:t>
            </w:r>
          </w:p>
        </w:tc>
        <w:tc>
          <w:tcPr>
            <w:tcW w:w="1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Common Stock</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1,282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1,282</w:t>
            </w:r>
          </w:p>
        </w:tc>
        <w:tc>
          <w:tcPr>
            <w:tcW w:w="11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1,769</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Community Investors, Inc.</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Last Out Term Loan</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11.78% Cash, 9/30/2019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w w:val="88"/>
              </w:rPr>
              <w:t>12,000,000</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12,000,000</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12,000,000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Community Investors, Inc.</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1520" w:type="dxa"/>
            <w:vAlign w:val="bottom"/>
            <w:gridSpan w:val="2"/>
          </w:tcPr>
          <w:p>
            <w:pPr>
              <w:ind w:left="140"/>
              <w:spacing w:after="0" w:line="130" w:lineRule="exact"/>
              <w:rPr>
                <w:sz w:val="20"/>
                <w:szCs w:val="20"/>
                <w:color w:val="auto"/>
              </w:rPr>
            </w:pPr>
            <w:r>
              <w:rPr>
                <w:rFonts w:ascii="Arial" w:cs="Arial" w:eastAsia="Arial" w:hAnsi="Arial"/>
                <w:sz w:val="14"/>
                <w:szCs w:val="14"/>
                <w:color w:val="auto"/>
                <w:w w:val="95"/>
              </w:rPr>
              <w:t>First Lien Term Loan B</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60" w:type="dxa"/>
            <w:vAlign w:val="bottom"/>
            <w:gridSpan w:val="3"/>
          </w:tcPr>
          <w:p>
            <w:pPr>
              <w:ind w:left="140"/>
              <w:spacing w:after="0"/>
              <w:rPr>
                <w:sz w:val="20"/>
                <w:szCs w:val="20"/>
                <w:color w:val="auto"/>
              </w:rPr>
            </w:pPr>
            <w:r>
              <w:rPr>
                <w:rFonts w:ascii="Arial" w:cs="Arial" w:eastAsia="Arial" w:hAnsi="Arial"/>
                <w:sz w:val="14"/>
                <w:szCs w:val="14"/>
                <w:color w:val="auto"/>
              </w:rPr>
              <w:t>12.25% Cash, 12/31/2020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w w:val="99"/>
              </w:rPr>
              <w:t>2,500,000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w w:val="93"/>
              </w:rPr>
              <w:t>2,500,000</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2,500,000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(g)</w:t>
            </w:r>
          </w:p>
        </w:tc>
        <w:tc>
          <w:tcPr>
            <w:tcW w:w="19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Software as a Service</w:t>
            </w:r>
          </w:p>
        </w:tc>
        <w:tc>
          <w:tcPr>
            <w:tcW w:w="1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10%</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63,463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149,138</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87,579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Community Investors, Inc.</w:t>
            </w:r>
          </w:p>
        </w:tc>
        <w:tc>
          <w:tcPr>
            <w:tcW w:w="1900" w:type="dxa"/>
            <w:vAlign w:val="bottom"/>
          </w:tcPr>
          <w:p>
            <w:pPr>
              <w:ind w:left="500"/>
              <w:spacing w:after="0" w:line="149"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Preferred Stock - A2 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38,641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100,853</w:t>
            </w:r>
          </w:p>
        </w:tc>
        <w:tc>
          <w:tcPr>
            <w:tcW w:w="11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53,325</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Community Investors, Inc. (g)</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Preferred Stock - A Shares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w:t>
            </w: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135,584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135,584</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187,106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Finalsite Holdings, Inc.</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Second Lien Term Loan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60" w:type="dxa"/>
            <w:vAlign w:val="bottom"/>
            <w:gridSpan w:val="3"/>
          </w:tcPr>
          <w:p>
            <w:pPr>
              <w:ind w:left="140"/>
              <w:spacing w:after="0"/>
              <w:rPr>
                <w:sz w:val="20"/>
                <w:szCs w:val="20"/>
                <w:color w:val="auto"/>
              </w:rPr>
            </w:pPr>
            <w:r>
              <w:rPr>
                <w:rFonts w:ascii="Arial" w:cs="Arial" w:eastAsia="Arial" w:hAnsi="Arial"/>
                <w:sz w:val="14"/>
                <w:szCs w:val="14"/>
                <w:color w:val="auto"/>
              </w:rPr>
              <w:t>10.25% Cash, 11/21/2019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w w:val="99"/>
              </w:rPr>
              <w:t>7,500,000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w w:val="93"/>
              </w:rPr>
              <w:t>7,429,305</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7,500,000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9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Class A Units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232,616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232,616</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225,638</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900" w:type="dxa"/>
            <w:vAlign w:val="bottom"/>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First Lien Term Loan 10.25%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color w:val="auto"/>
              </w:rPr>
              <w:t>Cash, 8/25/2019</w:t>
            </w:r>
          </w:p>
        </w:tc>
        <w:tc>
          <w:tcPr>
            <w:tcW w:w="5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w w:val="99"/>
              </w:rPr>
              <w:t>4,475,000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w w:val="93"/>
              </w:rPr>
              <w:t>4,433,897</w:t>
            </w:r>
          </w:p>
        </w:tc>
        <w:tc>
          <w:tcPr>
            <w:tcW w:w="1160" w:type="dxa"/>
            <w:vAlign w:val="bottom"/>
            <w:gridSpan w:val="4"/>
          </w:tcPr>
          <w:p>
            <w:pPr>
              <w:jc w:val="right"/>
              <w:ind w:right="60"/>
              <w:spacing w:after="0"/>
              <w:rPr>
                <w:sz w:val="20"/>
                <w:szCs w:val="20"/>
                <w:color w:val="auto"/>
              </w:rPr>
            </w:pPr>
            <w:r>
              <w:rPr>
                <w:rFonts w:ascii="Arial" w:cs="Arial" w:eastAsia="Arial" w:hAnsi="Arial"/>
                <w:sz w:val="14"/>
                <w:szCs w:val="14"/>
                <w:color w:val="auto"/>
              </w:rPr>
              <w:t>4,475,000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Pen-Link, Ltd. (d)</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Software as a Service</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Second Lien Term Loan</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12.50% Cash, 5/26/2019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w w:val="88"/>
              </w:rPr>
              <w:t>10,500,000</w:t>
            </w:r>
          </w:p>
        </w:tc>
        <w:tc>
          <w:tcPr>
            <w:tcW w:w="2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10,326,376</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10,500,000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Total Software as a Service</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52,994,749</w:t>
            </w:r>
          </w:p>
        </w:tc>
        <w:tc>
          <w:tcPr>
            <w:tcW w:w="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53,525,044</w:t>
            </w:r>
          </w:p>
        </w:tc>
        <w:tc>
          <w:tcPr>
            <w:tcW w:w="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Non-control/Non-affiliated investments</w:t>
            </w:r>
          </w:p>
        </w:tc>
        <w:tc>
          <w:tcPr>
            <w:tcW w:w="1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222,505,383</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223,506,589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Control investments—13.9% (b)</w:t>
            </w: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gridSpan w:val="2"/>
            <w:vMerge w:val="continue"/>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Saratoga Investment Corp. CLO 2013-1,</w:t>
            </w:r>
          </w:p>
        </w:tc>
        <w:tc>
          <w:tcPr>
            <w:tcW w:w="19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Structured Finance</w:t>
            </w:r>
          </w:p>
        </w:tc>
        <w:tc>
          <w:tcPr>
            <w:tcW w:w="20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Other/Structured Finance</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Ltd. (a), (d), (e), (f)</w:t>
            </w:r>
          </w:p>
        </w:tc>
        <w:tc>
          <w:tcPr>
            <w:tcW w:w="1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Securities</w:t>
            </w: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99"/>
              </w:rPr>
              <w:t>Securities 14.32%, 10/17/2023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w w:val="88"/>
              </w:rPr>
              <w:t>30,000,000</w:t>
            </w:r>
          </w:p>
        </w:tc>
        <w:tc>
          <w:tcPr>
            <w:tcW w:w="2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15,953,001</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17,031,146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Control investments</w:t>
            </w: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gridSpan w:val="2"/>
            <w:vMerge w:val="continue"/>
          </w:tcPr>
          <w:p>
            <w:pPr>
              <w:spacing w:after="0"/>
              <w:rPr>
                <w:sz w:val="13"/>
                <w:szCs w:val="13"/>
                <w:color w:val="auto"/>
              </w:rPr>
            </w:pPr>
          </w:p>
        </w:tc>
        <w:tc>
          <w:tcPr>
            <w:tcW w:w="1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15,953,001</w:t>
            </w:r>
          </w:p>
        </w:tc>
        <w:tc>
          <w:tcPr>
            <w:tcW w:w="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17,031,146</w:t>
            </w:r>
          </w:p>
        </w:tc>
        <w:tc>
          <w:tcPr>
            <w:tcW w:w="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INVESTMENTS—196.2% (b)</w:t>
            </w:r>
          </w:p>
        </w:tc>
        <w:tc>
          <w:tcPr>
            <w:tcW w:w="19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238,458,384</w:t>
            </w:r>
          </w:p>
        </w:tc>
        <w:tc>
          <w:tcPr>
            <w:tcW w:w="11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$ 240,537,735</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w w:val="93"/>
              </w:rPr>
              <w:t>Fair Value (c)</w:t>
            </w: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9"/>
              </w:rPr>
              <w:t>Number of Shares</w:t>
            </w:r>
          </w:p>
        </w:tc>
        <w:tc>
          <w:tcPr>
            <w:tcW w:w="4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6"/>
            <w:vMerge w:val="continue"/>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5"/>
              </w:rPr>
              <w:t>Cash and cash equivalents and cash and cash equivalents, reserve accounts - 16.4%</w:t>
            </w:r>
          </w:p>
        </w:tc>
        <w:tc>
          <w:tcPr>
            <w:tcW w:w="10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U.S. Bank Money Market (m)</w:t>
            </w:r>
          </w:p>
        </w:tc>
        <w:tc>
          <w:tcPr>
            <w:tcW w:w="1900" w:type="dxa"/>
            <w:vAlign w:val="bottom"/>
          </w:tcPr>
          <w:p>
            <w:pPr>
              <w:spacing w:after="0"/>
              <w:rPr>
                <w:sz w:val="12"/>
                <w:szCs w:val="12"/>
                <w:color w:val="auto"/>
              </w:rPr>
            </w:pPr>
          </w:p>
        </w:tc>
        <w:tc>
          <w:tcPr>
            <w:tcW w:w="15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1"/>
              </w:rPr>
              <w:t>20,063,372</w:t>
            </w:r>
          </w:p>
        </w:tc>
        <w:tc>
          <w:tcPr>
            <w:tcW w:w="1140" w:type="dxa"/>
            <w:vAlign w:val="bottom"/>
            <w:gridSpan w:val="4"/>
          </w:tcPr>
          <w:p>
            <w:pPr>
              <w:ind w:left="4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20,063,372</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20,063,372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cash and cash equivalents and cash and cash equivalents, reserve accounts</w:t>
            </w:r>
          </w:p>
        </w:tc>
        <w:tc>
          <w:tcPr>
            <w:tcW w:w="152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20,063,372</w:t>
            </w:r>
          </w:p>
        </w:tc>
        <w:tc>
          <w:tcPr>
            <w:tcW w:w="1140" w:type="dxa"/>
            <w:vAlign w:val="bottom"/>
            <w:gridSpan w:val="4"/>
            <w:shd w:val="clear" w:color="auto" w:fill="CCEEFF"/>
          </w:tcPr>
          <w:p>
            <w:pPr>
              <w:ind w:left="400"/>
              <w:spacing w:after="0" w:line="149" w:lineRule="exact"/>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20,063,372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20,063,372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91"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a non-qualifyng investment as defined under Section 55 (a) of the Investment Company Act of 1940, as amended. Non-qualifying assets represent 7.5% of the Company’s portfolio at fair value. As a BDC, the Company can only invest 30% of its portfolio in non-qualifying assets.</w:t>
      </w: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Percentages are based on net assets of $122,598,742, as of February 28, 2015.</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7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14.32%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4"/>
                <w:szCs w:val="1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Management</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28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Redemptions</w:t>
            </w:r>
          </w:p>
        </w:tc>
        <w:tc>
          <w:tcPr>
            <w:tcW w:w="2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Gains/</w:t>
            </w:r>
          </w:p>
        </w:tc>
        <w:tc>
          <w:tcPr>
            <w:tcW w:w="2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(Cost)</w:t>
            </w:r>
          </w:p>
        </w:tc>
        <w:tc>
          <w:tcPr>
            <w:tcW w:w="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Fee Income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(Losses)</w:t>
            </w:r>
          </w:p>
        </w:tc>
        <w:tc>
          <w:tcPr>
            <w:tcW w:w="2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2,707,230</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1,520,205</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1,078,145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Non-income producing at February 28,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28, 2015 (See Note 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an analysis of the value of any unfunded loan commitments.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entire commitment was unfunded at February 28, 2015.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28,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8" w:right="239" w:bottom="6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For the year</w:t>
            </w:r>
          </w:p>
        </w:tc>
        <w:tc>
          <w:tcPr>
            <w:tcW w:w="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February 28,</w:t>
            </w:r>
          </w:p>
        </w:tc>
      </w:t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10,678,332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9,673,850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8,874,446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3,276,450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1,270,765</w:t>
            </w: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740,974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(1,942,936)</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(1,648,046)</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11,645,558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11,007,364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8,497,165</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declared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(13,045,149)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(2,156,740)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(12,534,807)</w:t>
            </w:r>
          </w:p>
        </w:tc>
      </w:tr>
      <w:tr>
        <w:trPr>
          <w:trHeight w:val="230"/>
        </w:trPr>
        <w:tc>
          <w:tcPr>
            <w:tcW w:w="20" w:type="dxa"/>
            <w:vAlign w:val="bottom"/>
          </w:tcPr>
          <w:p>
            <w:pPr>
              <w:spacing w:after="0"/>
              <w:rPr>
                <w:sz w:val="20"/>
                <w:szCs w:val="20"/>
                <w:color w:val="auto"/>
              </w:rPr>
            </w:pPr>
          </w:p>
        </w:tc>
        <w:tc>
          <w:tcPr>
            <w:tcW w:w="6160" w:type="dxa"/>
            <w:vAlign w:val="bottom"/>
          </w:tcPr>
          <w:p>
            <w:pPr>
              <w:ind w:left="700"/>
              <w:spacing w:after="0"/>
              <w:rPr>
                <w:sz w:val="20"/>
                <w:szCs w:val="20"/>
                <w:color w:val="auto"/>
              </w:rPr>
            </w:pPr>
            <w:r>
              <w:rPr>
                <w:rFonts w:ascii="Arial" w:cs="Arial" w:eastAsia="Arial" w:hAnsi="Arial"/>
                <w:sz w:val="18"/>
                <w:szCs w:val="18"/>
                <w:color w:val="auto"/>
              </w:rPr>
              <w:t>Net decrease in net assets from shareholder distributions</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(13,045,149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(2,156,740)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(12,534,807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4,665,447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320,189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10,027,697</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(357,931)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capital share transactions</w:t>
            </w:r>
          </w:p>
        </w:tc>
        <w:tc>
          <w:tcPr>
            <w:tcW w:w="1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3,950,724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320,189</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10,027,697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2,551,133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9,170,813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5,990,055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122,598,742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113,427,929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107,437,874</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125,149,875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122,598,742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113,427,929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21.08</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5,672,227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5,401,899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5,379,616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(26,217,902)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(23,905,603)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(31,123,667)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For the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For the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11,645,558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11,007,364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8,497,165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USED BY OPERATING ACTIVITIES:</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(966,906)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(1,204,458)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(1,007,494)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(540,069)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913,773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929,773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(226,252)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(3,276,450)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(740,974)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1,942,936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and redemption of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68,174,143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73,257,332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71,606,736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Purchase of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(109,191,262)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(104,872,326)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(121,073,990)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operating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Cash and cash equivalents, reserve accounts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13,580,708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(14,882,101)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8,793,029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receivable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Management fee receivable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(21,807)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Receivable from unsettled trades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operating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Management and incentive fees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(241,985)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482,890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(405,158)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Interest and debt fees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146,603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532,331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Due to manager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175,641</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NET CASH USED BY OPERATING ACTIVITIES</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(18,641,354)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(36,598,773)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(29,526,209)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Borrowings on debt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35,260,000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52,300,000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Paydowns on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(20,200,000)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(13,700,000)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Issuance of notes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13,493,125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Debt financing cost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(1,096,556)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(1,972,618)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(356,792)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Payments of cash dividends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(7,906,304)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(1,434,349)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(2,507,112)</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19,193,473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35,193,033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32,671,082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(1,405,740)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1,888,158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3,293,898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2,440,277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1,888,158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3,293,898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during the period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7,396,091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5,912,862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Supplemental non-cash information: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interest income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966,906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1,204,458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507,180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540,069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913,773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929,773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4,665,447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320,189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10,027,697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The Company commenced operations on March 23, 2007 as GSC Investment Corp. and completed the initial public offering (“IPO”) on March 28, 2007. The Company has elected to be treated as a regulated investment company (“RIC”) under subchapter M of the Internal Revenue Code (the “Code”). The Company expects to continue to qualify and to elect to be treated for tax purposes as a RIC. The Company’s investment objective is to generate current income and, to a lesser extent, capital appreciation from our investments.</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30, 2010, the Company changed its name from “GSC Investment Corp.” to “Saratoga Investment Corp.”.</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is externally managed and advised by the investment adviser, Saratoga Investment Advisors, LLC (the “Manager”), pursuant to the Management Agreement. Prior to July 30, 2010, the Company was managed and advised by GSCP (NJ), L.P.</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has established wholly owned subsidiaries, SIA Avionte, Inc, SIA Mercury, Inc., SIA TT Inc., and SIA Vector Inc., which are structured as Delaware entities, or tax blockers, to hold equity or equity-like investments in portfolio companies organized as limited liability companies, or LLCs (or other forms of pass through entities). Tax blockers are consolidated for accounting purposes, but are not consolidated for income tax purposes and may incur income tax expense as a result of their ownership of portfolio companies.</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April 2, 2015, the SBA issued a “green light” or “go forth” letter inviting the Company to continue the application process to obtain a license to form and operate its second SBIC subsidiary. If approved, a second SBIC license would provide us an incremental source of long-term capital by permitting us to issue up to $150.0 million of additional SBA-guaranteed debentures in addition to the $150.0 million already approved under the first license. Receipt of a green light letter from the SBA does not assure an applicant that the SBA will ultimately issue an SBIC license and the Company has received no assurance or indication from the SBA that it will receive an SBIC license, or of the timeframe in which it would receive a license, should one be granted.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(“U.S. GAAP”), are stated in U.S. dollars and include the accounts of the Company and its special purpose financing subsidiary, Saratoga Investment Funding, LLC (previously known as GSC Investment Funding LLC). All intercompany accounts and transactions have been eliminated in consolidation. All references made to the “Company,” “we,” and “us” herein include Saratoga Investment Corp. and its consolidated subsidiary, except as stated otherwise.</w:t>
      </w:r>
    </w:p>
    <w:p>
      <w:pPr>
        <w:spacing w:after="0" w:line="18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Company and SBIC LP are both considered to be investment companies for financial reporting purposes and have applied the guidance in Topic 946, “Financial Services — Investment Companies”. There have been no changes to the Company or SBIC LP’s status as investment companies during the year ended February 29,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Immaterial Errors Related to Prior Period</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During the year ended February 28, 2015, the Company identified errors related to the accounting for the capital gains portion of the incentive fee for the years ended February 28, 2014, February 28, 2013 and February 29, 2012, as well as the cumulative impact of these errors as of February 28, 2014.</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assessed the materiality of these errors and concluded they were not material to any prior annual periods, but the cumulative impact of correcting them in the year ended February 28, 2015 would be quantitatively material to the results of operations of the Company for the year then ended February 28, 2015, if the entire adjustment was recorded in that period. Therefore, the consolidated financial statements as of and for the years ended February 28, 2014 have been corrected.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effects of these prior period errors on the consolidated financial statements are as follows (in thousands, except per share amounts):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Consolidated Statement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Year Ended February 28, 2014</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780"/>
              <w:spacing w:after="0" w:line="119" w:lineRule="exact"/>
              <w:rPr>
                <w:sz w:val="20"/>
                <w:szCs w:val="20"/>
                <w:color w:val="auto"/>
              </w:rPr>
            </w:pPr>
            <w:r>
              <w:rPr>
                <w:rFonts w:ascii="Arial" w:cs="Arial" w:eastAsia="Arial" w:hAnsi="Arial"/>
                <w:sz w:val="13"/>
                <w:szCs w:val="13"/>
                <w:b w:val="1"/>
                <w:bCs w:val="1"/>
                <w:color w:val="auto"/>
                <w:w w:val="96"/>
              </w:rPr>
              <w:t>As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Previously</w:t>
            </w:r>
          </w:p>
        </w:tc>
        <w:tc>
          <w:tcPr>
            <w:tcW w:w="12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4"/>
              </w:rPr>
              <w:t>Reported</w:t>
            </w:r>
          </w:p>
        </w:tc>
        <w:tc>
          <w:tcPr>
            <w:tcW w:w="12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Revised</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EXPENSES</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Incentive management fees</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692</w:t>
            </w:r>
          </w:p>
        </w:tc>
        <w:tc>
          <w:tcPr>
            <w:tcW w:w="4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6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color w:val="auto"/>
              </w:rPr>
              <w:t>13,772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14,019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w w:val="93"/>
              </w:rPr>
              <w:t>9,121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3"/>
              </w:rPr>
              <w:t>8,744</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$ 8,497</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WEIGHTED AVERAGE—BASIC AND DILUTED EARNINGS PER</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rPr>
              <w:t>COMMON SHARE</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547"/>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Revised Consolidated Statement of Changes in Net Assets</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jc w:val="right"/>
              <w:ind w:right="48"/>
              <w:spacing w:after="0"/>
              <w:rPr>
                <w:sz w:val="20"/>
                <w:szCs w:val="20"/>
                <w:color w:val="auto"/>
              </w:rPr>
            </w:pPr>
            <w:r>
              <w:rPr>
                <w:rFonts w:ascii="Arial" w:cs="Arial" w:eastAsia="Arial" w:hAnsi="Arial"/>
                <w:sz w:val="14"/>
                <w:szCs w:val="14"/>
                <w:b w:val="1"/>
                <w:bCs w:val="1"/>
                <w:color w:val="auto"/>
                <w:w w:val="96"/>
              </w:rPr>
              <w:t>Year Ended February 28, 2014</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As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Previously</w:t>
            </w:r>
          </w:p>
        </w:tc>
        <w:tc>
          <w:tcPr>
            <w:tcW w:w="20" w:type="dxa"/>
            <w:vAlign w:val="bottom"/>
          </w:tcPr>
          <w:p>
            <w:pPr>
              <w:spacing w:after="0"/>
              <w:rPr>
                <w:sz w:val="12"/>
                <w:szCs w:val="12"/>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800" w:type="dxa"/>
            <w:vAlign w:val="bottom"/>
            <w:gridSpan w:val="5"/>
          </w:tcPr>
          <w:p>
            <w:pPr>
              <w:ind w:left="10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9,121</w:t>
            </w:r>
          </w:p>
        </w:tc>
        <w:tc>
          <w:tcPr>
            <w:tcW w:w="44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increase in net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6,237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108,687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(1,249)</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58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114,924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(1,496</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113,428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1700" w:type="dxa"/>
            <w:vAlign w:val="bottom"/>
            <w:gridSpan w:val="6"/>
          </w:tcPr>
          <w:p>
            <w:pPr>
              <w:ind w:left="580"/>
              <w:spacing w:after="0"/>
              <w:rPr>
                <w:sz w:val="20"/>
                <w:szCs w:val="20"/>
                <w:color w:val="auto"/>
              </w:rPr>
            </w:pPr>
            <w:r>
              <w:rPr>
                <w:rFonts w:ascii="Arial" w:cs="Arial" w:eastAsia="Arial" w:hAnsi="Arial"/>
                <w:sz w:val="18"/>
                <w:szCs w:val="18"/>
                <w:color w:val="auto"/>
              </w:rPr>
              <w:t>$ (29,628)</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(1,496)</w:t>
            </w: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w w:val="90"/>
              </w:rPr>
              <w:t>$ (31,124)</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4"/>
                <w:szCs w:val="24"/>
                <w:color w:val="auto"/>
              </w:rPr>
            </w:pPr>
          </w:p>
        </w:tc>
        <w:tc>
          <w:tcPr>
            <w:tcW w:w="5800" w:type="dxa"/>
            <w:vAlign w:val="bottom"/>
          </w:tcPr>
          <w:p>
            <w:pPr>
              <w:ind w:left="4620"/>
              <w:spacing w:after="0"/>
              <w:rPr>
                <w:sz w:val="20"/>
                <w:szCs w:val="20"/>
                <w:color w:val="auto"/>
              </w:rPr>
            </w:pPr>
            <w:r>
              <w:rPr>
                <w:rFonts w:ascii="Arial" w:cs="Arial" w:eastAsia="Arial" w:hAnsi="Arial"/>
                <w:sz w:val="18"/>
                <w:szCs w:val="18"/>
                <w:color w:val="auto"/>
              </w:rPr>
              <w:t>F-10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Consolidated Statement of Cash Flows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5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February 28, 2014</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As</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Previously</w:t>
            </w:r>
          </w:p>
        </w:tc>
        <w:tc>
          <w:tcPr>
            <w:tcW w:w="240" w:type="dxa"/>
            <w:vAlign w:val="bottom"/>
          </w:tcPr>
          <w:p>
            <w:pPr>
              <w:spacing w:after="0"/>
              <w:rPr>
                <w:sz w:val="12"/>
                <w:szCs w:val="1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Revised</w:t>
            </w: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  8,744</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(247)</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8,497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Management and incentive fees payable</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247</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were to hold securities in the money market fund having an aggregate value in excess of 5.0% of the value of our total assets; or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29, 2016, the Company did not exceed any of these limitations.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60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166"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income on our investment in Saratoga CLO is recorded using the effective interest method in accordance with the provisions of ASC</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Other income includes dividends received, origination fees, structuring fees and advisory fees, and is recorded in the consolidated statement of operations when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are deferred and amortized using the straight line method over the life of their respective facilities. Financing costs incurred in connection with our SBA debentures are deferred and amortized using the effective yield method over the life of the debentures.</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April 2015, the FASB has issued Accounting Standards Update (“ASU”) No. 2015-03, </w:t>
      </w:r>
      <w:r>
        <w:rPr>
          <w:rFonts w:ascii="Arial" w:cs="Arial" w:eastAsia="Arial" w:hAnsi="Arial"/>
          <w:sz w:val="16"/>
          <w:szCs w:val="16"/>
          <w:i w:val="1"/>
          <w:iCs w:val="1"/>
          <w:color w:val="auto"/>
        </w:rPr>
        <w:t>Interest—Imputation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Simplifying the Presentation of Debt Issuance Costs </w:t>
      </w:r>
      <w:r>
        <w:rPr>
          <w:rFonts w:ascii="Arial" w:cs="Arial" w:eastAsia="Arial" w:hAnsi="Arial"/>
          <w:sz w:val="16"/>
          <w:szCs w:val="16"/>
          <w:color w:val="auto"/>
        </w:rPr>
        <w:t>(“ASU 2015-03”). The amendments in this ASU require that debt issuance costs related to a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debt liability be presented in the balance sheet as a direct deduction from the carrying amount of that debt liability, consistent with debt discounts. The recognition and measurement guidance for debt issuance costs are not affected by the amendments in this ASU. The guidance is effective for fiscal years, and interim periods within those fiscal years, beginning after December 15, 2015, and early adoption is allowed, and is to be applied on a retrospective basis. The Company has adopted the provisions of ASU 2015-03 as of February 28, 2015, by reclassifying deferred debt financing costs from within total assets to within total liabilities as a contra-liability. The adoption of the provisions of ASU 2015-03 did not materially impact the Company’s consolidated financial position or results of operations. Prior period amounts were reclassified to conform to the current period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 Therefore, the Company has not accrued any liabilities in connection with such indemnifications.</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During the fiscal year ended February 29, 2016, the Company did not incur any interest or penalties. Although we file federal and state tax returns, our major tax jurisdiction is federal. The 2013, 2014 and 2015 federal tax years for the Company remain subject to examination by the IRS. As of February 29, 2016 and February 28, 2015, there were no uncertain tax positions. The Company is not aware of any tax positions for which it is reasonably possible that the total amounts of unrecognized tax benefits will change significantly in the next 12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net realized and unrealized gain on its investments exceed all net realized and unrealized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net of realized and unrealized losses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40" w:firstLine="8"/>
        <w:spacing w:after="0" w:line="254"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the Company’s consolidated financial statements and disclosures.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In August 2015, the FASB issued ASU 2015-15, </w:t>
      </w:r>
      <w:r>
        <w:rPr>
          <w:rFonts w:ascii="Arial" w:cs="Arial" w:eastAsia="Arial" w:hAnsi="Arial"/>
          <w:sz w:val="17"/>
          <w:szCs w:val="17"/>
          <w:i w:val="1"/>
          <w:iCs w:val="1"/>
          <w:color w:val="auto"/>
        </w:rPr>
        <w:t>Interest—Imputation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Associated with Line-of-Credit Arrangements </w:t>
      </w:r>
      <w:r>
        <w:rPr>
          <w:rFonts w:ascii="Arial" w:cs="Arial" w:eastAsia="Arial" w:hAnsi="Arial"/>
          <w:sz w:val="17"/>
          <w:szCs w:val="17"/>
          <w:color w:val="auto"/>
        </w:rPr>
        <w:t xml:space="preserve">(“ASU 2015-15”). ASU 2015-15 updates the accounting guidance included in ASU 2015-03, </w:t>
      </w:r>
      <w:r>
        <w:rPr>
          <w:rFonts w:ascii="Arial" w:cs="Arial" w:eastAsia="Arial" w:hAnsi="Arial"/>
          <w:sz w:val="17"/>
          <w:szCs w:val="17"/>
          <w:i w:val="1"/>
          <w:iCs w:val="1"/>
          <w:color w:val="auto"/>
        </w:rPr>
        <w:t>Interest—Imputation of Interest (Subtopic 835-30): Simplifying the Presentation of Debt Issuance Costs</w:t>
      </w:r>
      <w:r>
        <w:rPr>
          <w:rFonts w:ascii="Arial" w:cs="Arial" w:eastAsia="Arial" w:hAnsi="Arial"/>
          <w:sz w:val="17"/>
          <w:szCs w:val="17"/>
          <w:color w:val="auto"/>
        </w:rPr>
        <w:t>. The updated accounting guidance provided by ASU 2015-15 was the result of the Emerging Issues Task Force meeting, held on June 18, 2015, at which the SEC staff stated that the SEC would not object to an entity deferring and presenting costs related to revolving debt arrangements as an asset. As the Company previously adopted the provisions of ASU 2015-03 and reclassified all deferred debt financing costs from within total assets to within total liabilities as a contra-liability effective as of February 28, 2015, it has chosen not to avail itself of the updated accounting treatment provided by ASU 2015-15 and continues to include all deferred financing costs as a contra-liability within total liabilities.</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(ASC Topic 810): Amendments to the Consolidation Analysis</w:t>
      </w:r>
      <w:r>
        <w:rPr>
          <w:rFonts w:ascii="Arial" w:cs="Arial" w:eastAsia="Arial" w:hAnsi="Arial"/>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does not believe these changes will have a material impact on the Company’s consolidated financial statements and disclosures.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 xml:space="preserve">In May 2014, the FASB issued ASU </w:t>
      </w:r>
      <w:r>
        <w:rPr>
          <w:rFonts w:ascii="Arial" w:cs="Arial" w:eastAsia="Arial" w:hAnsi="Arial"/>
          <w:sz w:val="16"/>
          <w:szCs w:val="16"/>
          <w:i w:val="1"/>
          <w:iCs w:val="1"/>
          <w:color w:val="auto"/>
        </w:rPr>
        <w:t>2014-09, Revenue from Contracts with Customers (Topic 606)</w:t>
      </w:r>
      <w:r>
        <w:rPr>
          <w:rFonts w:ascii="Arial" w:cs="Arial" w:eastAsia="Arial" w:hAnsi="Arial"/>
          <w:sz w:val="16"/>
          <w:szCs w:val="16"/>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Management is currently evaluating the impact these changes will have on the Company’s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29,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8"/>
              </w:rPr>
              <w:t>Fair Value Measurements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144,643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144,643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88,178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12,828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26,479</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283,996</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2015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8"/>
              </w:rPr>
              <w:t>Fair Value Measurements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First lien term loans</w:t>
            </w:r>
          </w:p>
        </w:tc>
        <w:tc>
          <w:tcPr>
            <w:tcW w:w="2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145,207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Unsecured notes</w:t>
            </w:r>
          </w:p>
        </w:tc>
        <w:tc>
          <w:tcPr>
            <w:tcW w:w="2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Equity interest</w:t>
            </w:r>
          </w:p>
        </w:tc>
        <w:tc>
          <w:tcPr>
            <w:tcW w:w="2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240,538</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240,538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notes</w:t>
            </w: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$ 35,603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$20,165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(1,914)</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(1,850)</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3,813</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35,854</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72,422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110,665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(4,607)</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(31,280)</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(19,502)</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(2,922)</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(3,946)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(68,174)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from investments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Transfers In</w:t>
            </w:r>
          </w:p>
        </w:tc>
        <w:tc>
          <w:tcPr>
            <w:tcW w:w="14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Transfers Out</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as of February 29, 2016</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11,868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144,643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$ 88,178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26,479</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6"/>
          </w:tcPr>
          <w:p>
            <w:pPr>
              <w:jc w:val="right"/>
              <w:ind w:right="84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levels, if any, are recognized at the beginning of the period in which transfers occur.</w:t>
      </w:r>
    </w:p>
    <w:p>
      <w:pPr>
        <w:spacing w:after="0" w:line="225"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net change in unrealized appreciation (depreciation) for the year ended February 29, 2016 on investments still held as of February 29, 2016 is ($2,798,986) and is included in net unrealized appreciation (depreciation) on investments in the consolidated statements of operations.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2015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2014</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$ 110,278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$ 27,804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$10,332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(763)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(206)</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2,829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83,456</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18,667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106,617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Sales and redemptions</w:t>
            </w: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(13,461)</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(42,445)</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(10,522)</w:t>
            </w:r>
          </w:p>
        </w:tc>
        <w:tc>
          <w:tcPr>
            <w:tcW w:w="14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(6,226)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(73,257)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Transfers In</w:t>
            </w:r>
          </w:p>
        </w:tc>
        <w:tc>
          <w:tcPr>
            <w:tcW w:w="1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6,263</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Transfers Out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as of February 28, 2015</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145,207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$ 35,603</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20,165</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240,538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levels, if any, are recognized at the beginning of the period in which transfers occur.</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net change in unrealized gain/(loss) for the year ended February 28, 2015 on investments still held as of February 28, 2015 is ($1,456,791) and is included in net unrealized appreciation (depreciation) on investments in the consolidated statements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29, 2016 were as follows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820" w:type="dxa"/>
            <w:vAlign w:val="bottom"/>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Unobservable Input</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72.5% - 98.2%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First lien term loans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144,643</w:t>
            </w:r>
          </w:p>
        </w:tc>
        <w:tc>
          <w:tcPr>
            <w:tcW w:w="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Market Comparables</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Market Yield (%)</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6.8% - 15.5%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EBITDA Multiples (x)</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Revenue Multiples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91.3 - 98.9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Third-Party Bid</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88,178</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Market Yield (%)</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 - 15.0%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Third-Party Bid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91.5% - 98.6%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12,828</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9"/>
              </w:rPr>
              <w:t>Discounted Cash Flow</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Discount Rate (%)</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460" w:type="dxa"/>
            <w:vAlign w:val="bottom"/>
            <w:gridSpan w:val="2"/>
          </w:tcPr>
          <w:p>
            <w:pPr>
              <w:spacing w:after="0"/>
              <w:rPr>
                <w:sz w:val="20"/>
                <w:szCs w:val="20"/>
                <w:color w:val="auto"/>
              </w:rPr>
            </w:pPr>
            <w:r>
              <w:rPr>
                <w:rFonts w:ascii="Arial" w:cs="Arial" w:eastAsia="Arial" w:hAnsi="Arial"/>
                <w:sz w:val="18"/>
                <w:szCs w:val="18"/>
                <w:color w:val="auto"/>
              </w:rPr>
              <w:t>Equity interests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26,479</w:t>
            </w:r>
          </w:p>
        </w:tc>
        <w:tc>
          <w:tcPr>
            <w:tcW w:w="1820" w:type="dxa"/>
            <w:vAlign w:val="bottom"/>
          </w:tcPr>
          <w:p>
            <w:pPr>
              <w:spacing w:after="0"/>
              <w:rPr>
                <w:sz w:val="20"/>
                <w:szCs w:val="20"/>
                <w:color w:val="auto"/>
              </w:rPr>
            </w:pPr>
            <w:r>
              <w:rPr>
                <w:rFonts w:ascii="Arial" w:cs="Arial" w:eastAsia="Arial" w:hAnsi="Arial"/>
                <w:sz w:val="18"/>
                <w:szCs w:val="18"/>
                <w:color w:val="auto"/>
              </w:rPr>
              <w:t>Market Comparables</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EBITDA Multiples (x)</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6.8x - 16.4x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Revenue Multiples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2015 were as follows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820" w:type="dxa"/>
            <w:vAlign w:val="bottom"/>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Unobservable Input</w:t>
            </w:r>
          </w:p>
        </w:tc>
        <w:tc>
          <w:tcPr>
            <w:tcW w:w="1360" w:type="dxa"/>
            <w:vAlign w:val="bottom"/>
            <w:gridSpan w:val="2"/>
          </w:tcPr>
          <w:p>
            <w:pPr>
              <w:ind w:left="4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- 100.4%</w:t>
            </w: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First lien term loans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145,207</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Market Comparables</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Market Yield (%)</w:t>
            </w: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780" w:type="dxa"/>
            <w:vAlign w:val="bottom"/>
          </w:tcPr>
          <w:p>
            <w:pPr>
              <w:ind w:left="20"/>
              <w:spacing w:after="0"/>
              <w:rPr>
                <w:sz w:val="20"/>
                <w:szCs w:val="20"/>
                <w:color w:val="auto"/>
              </w:rPr>
            </w:pPr>
            <w:r>
              <w:rPr>
                <w:rFonts w:ascii="Arial" w:cs="Arial" w:eastAsia="Arial" w:hAnsi="Arial"/>
                <w:sz w:val="18"/>
                <w:szCs w:val="18"/>
                <w:color w:val="auto"/>
              </w:rPr>
              <w:t>- 17.7%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EBITDA Multiples (x)</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3.0x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Third-Party Bid</w:t>
            </w:r>
          </w:p>
        </w:tc>
        <w:tc>
          <w:tcPr>
            <w:tcW w:w="580" w:type="dxa"/>
            <w:vAlign w:val="bottom"/>
          </w:tcPr>
          <w:p>
            <w:pPr>
              <w:jc w:val="right"/>
              <w:spacing w:after="0"/>
              <w:rPr>
                <w:sz w:val="20"/>
                <w:szCs w:val="20"/>
                <w:color w:val="auto"/>
              </w:rPr>
            </w:pPr>
            <w:r>
              <w:rPr>
                <w:rFonts w:ascii="Arial" w:cs="Arial" w:eastAsia="Arial" w:hAnsi="Arial"/>
                <w:sz w:val="18"/>
                <w:szCs w:val="18"/>
                <w:color w:val="auto"/>
              </w:rPr>
              <w:t>79.3</w:t>
            </w:r>
          </w:p>
        </w:tc>
        <w:tc>
          <w:tcPr>
            <w:tcW w:w="780" w:type="dxa"/>
            <w:vAlign w:val="bottom"/>
          </w:tcPr>
          <w:p>
            <w:pPr>
              <w:ind w:left="20"/>
              <w:spacing w:after="0"/>
              <w:rPr>
                <w:sz w:val="20"/>
                <w:szCs w:val="20"/>
                <w:color w:val="auto"/>
              </w:rPr>
            </w:pPr>
            <w:r>
              <w:rPr>
                <w:rFonts w:ascii="Arial" w:cs="Arial" w:eastAsia="Arial" w:hAnsi="Arial"/>
                <w:sz w:val="18"/>
                <w:szCs w:val="18"/>
                <w:color w:val="auto"/>
              </w:rPr>
              <w:t>- 105.0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35,603</w:t>
            </w:r>
          </w:p>
        </w:tc>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Market Yield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Third-Party Bid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98.3% - 98.3%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w:t>
            </w:r>
          </w:p>
        </w:tc>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Market Yield (%)</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13.2% - 20.3%</w:t>
            </w: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Structured finance securities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17,031</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9"/>
              </w:rPr>
              <w:t>Discounted Cash Flow</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Discount Rate (%)</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20,165</w:t>
            </w:r>
          </w:p>
        </w:tc>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EBITDA Multiples (x)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5.0x</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- 12.1x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 For investments utilizing a market quote in deriving a value, a significant increase (decrease) in the market quote, in isolation, would result in a significantly lower (higher) fair value measurement.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29, 2016,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146,246</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144,643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89,486</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88,178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13,031</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12,828</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26,479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281,176</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283,996</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ind w:left="460"/>
              <w:spacing w:after="0"/>
              <w:rPr>
                <w:sz w:val="20"/>
                <w:szCs w:val="20"/>
                <w:color w:val="auto"/>
              </w:rPr>
            </w:pPr>
            <w:r>
              <w:rPr>
                <w:rFonts w:ascii="Arial" w:cs="Arial" w:eastAsia="Arial" w:hAnsi="Arial"/>
                <w:sz w:val="18"/>
                <w:szCs w:val="18"/>
                <w:color w:val="auto"/>
              </w:rPr>
              <w:t>F-18</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28, 2015,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144,959</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145,207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35,748</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35,603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Unsecured notes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7,366</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4,230</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17,031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Equity interest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15,774</w:t>
            </w: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20,165</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238,458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240,538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78"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flows analysis on expected future cash flows to determine a valuation for our investment in Saratoga CLO at February 29, 2016. The significant inputs for the valuation model include:</w:t>
      </w:r>
    </w:p>
    <w:p>
      <w:pPr>
        <w:spacing w:after="0" w:line="88"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Recovery rates: 35-70%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Prepayment rate: 20.0%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Reinvestment rate / price: L+375bps / $97.00 Year 1, $99.00 thereafter.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22, 2008, we invested $30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proceeds. We are also entitled to an incentive management fee equal to 20.0% of the remaining interest proceeds and principal proceeds, if any, after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notes have realized the incentive management fee target return of 12.0%, in accordance with the Priority of Payments after making the prior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distributions on the relevant payment date. For the years ended February 29, 2016, February 28, 2015 and February 28, 2014, we accrued $1.5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million, and $1.8 million in management fee income, respectively, and $2.7 million, $2.7 million, and $3.4 million in interest income, respectively,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Saratoga CLO. We did not accrue any amounts related to the incentive management fee as the 12.0% hurdle rate has not yet been achieved.</w:t>
      </w:r>
    </w:p>
    <w:p>
      <w:pPr>
        <w:spacing w:after="0" w:line="21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At February 29, 2016, the Company determined that the fair value of its investment in the subordinated notes of Saratoga CLO was $12.8 million. The Company determines the fair value of its investment in the subordinated notes of Saratoga CLO based on the present value of the projected future cash flows of the subordinated notes over the life of Saratoga CLO. At February 29, 2016, Saratoga CLO had investments with a principal balance of $302.7 million and a weighted average spread over LIBOR of 4.3%, and had debt with a principal balance of $282.4 million with a weighted average spread over LIBOR of</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1.8%. As a result, Saratoga CLO earns a “spread” between the interest income it receives on its investments and the interest expense it pays on its debt and other operating expenses, which is distributed quarterly to the Company as the holder of its subordinated notes. At February 29, 2016, the total “spread”, or projected future cash flows of the subordinated notes, over the life of Saratoga CLO was $13.1 million, which had a present value of approximately $12.8 million, using a 20.0% discount rate.</w:t>
      </w:r>
    </w:p>
    <w:p>
      <w:pPr>
        <w:spacing w:after="0" w:line="190"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At February 28, 2015, the Company determined that the fair value of its investment in the subordinated notes of Saratoga CLO was $17.0 million. The Company determines the fair value of its investment in the subordinated notes of Saratoga CLO based on the present value of the projected future cash flows of the subordinated notes over the life of Saratoga CLO. At February 28, 2015, Saratoga CLO had investments with a principal balance of $296.9 million and a weighted average spread over LIBOR of 4.3%, and had debt with a principal balance of $282.4 million with a weighted average spread over LIBOR of</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1.8%. As a result, Saratoga CLO earns a “spread” between the interest income it receives on its investments and the interest expense it pays on its debt and other operating expenses, which is distributed quarterly to the Company as the holder of its subordinated notes. At February 28, 2015, the total “spread”, or projected future cash flows of the subordinated notes, over the life of Saratoga CLO was $17.3 million, which had a present value of approximately $17.0 million, using a 12.0% discount rate.</w:t>
      </w:r>
    </w:p>
    <w:p>
      <w:pPr>
        <w:spacing w:after="0" w:line="190" w:lineRule="exact"/>
        <w:rPr>
          <w:sz w:val="20"/>
          <w:szCs w:val="20"/>
          <w:color w:val="auto"/>
        </w:rPr>
      </w:pPr>
    </w:p>
    <w:p>
      <w:pPr>
        <w:ind w:right="1060" w:firstLine="456"/>
        <w:spacing w:after="0" w:line="342" w:lineRule="auto"/>
        <w:rPr>
          <w:sz w:val="20"/>
          <w:szCs w:val="20"/>
          <w:color w:val="auto"/>
        </w:rPr>
      </w:pPr>
      <w:r>
        <w:rPr>
          <w:rFonts w:ascii="Arial" w:cs="Arial" w:eastAsia="Arial" w:hAnsi="Arial"/>
          <w:sz w:val="16"/>
          <w:szCs w:val="16"/>
          <w:color w:val="auto"/>
        </w:rPr>
        <w:t>The separate audited financial statements of Saratoga CLO as of February 29, 2016 and February 28, 2015, pursuant to Rule 3-09 of SEC rules Regulation S-X, and for the twelve months ended February 29, 2016, February 28, 2015 and 2014, are presented on page S-1.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Company intends to operate so as to qualify to be taxed as a RIC under Subchapter M of the Code and, as such, will not be subject to federal income tax on the portion of taxable income and gains distributed to stockholders.</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The Company owns 100.0% of Saratoga CLO, an exempted company incorporated in the Cayman Islands. For financial reporting purposes, the Saratoga CLO is not included as part of the consolidated financial statements. For federal income tax purposes, the Company has requested and received approval from the Internal Revenue Service to treat the Saratoga CLO as a disregarded entity. As such, for federal income tax purposes and for purposes of meeting the RIC qualification and diversification tests, the results of operations of the Saratoga CLO are included with those of the Company.</w:t>
      </w:r>
    </w:p>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qualify as a RIC, the Company is required to meet certain income and asset diversification tests in addition to distributing at least 90.0% of its investment company taxable income, as defined by the Code. Because federal income tax regulations differ from U.S. GAAP,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tax character. Differences in classification may also result from the treatment of short-term gains as ordinary income for tax purposes. As of February 29, 2016 and February 28, 2015, the Company reclassified for book purposes amounts arising from permanent book/tax differences primarily related to nondeductible excise tax, meals &amp; entertainment, market discount, interest income with respect to the Saratoga CLO which is consolidated for tax purposes, and the tax character of distributions as follows (dollars in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Accumulated net investment income/(loss)</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Accumulated net realized gains on investments</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Additional paid-in-capital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1940" w:type="dxa"/>
        <w:tblCellMar>
          <w:top w:w="0" w:type="dxa"/>
          <w:left w:w="0" w:type="dxa"/>
          <w:bottom w:w="0" w:type="dxa"/>
          <w:right w:w="0" w:type="dxa"/>
        </w:tblCellMar>
      </w:tblPr>
      <w:tr>
        <w:trPr>
          <w:trHeight w:val="161"/>
        </w:trPr>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February 29,</w:t>
            </w:r>
          </w:p>
        </w:tc>
        <w:tc>
          <w:tcPr>
            <w:tcW w:w="1260" w:type="dxa"/>
            <w:vAlign w:val="bottom"/>
            <w:gridSpan w:val="4"/>
          </w:tcPr>
          <w:p>
            <w:pPr>
              <w:ind w:left="400"/>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(299)</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-419735</wp:posOffset>
            </wp:positionV>
            <wp:extent cx="550545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-136525</wp:posOffset>
            </wp:positionV>
            <wp:extent cx="550545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F-20</w:t>
      </w:r>
    </w:p>
    <w:p>
      <w:pPr>
        <w:sectPr>
          <w:pgSz w:w="11900" w:h="16838" w:orient="portrait"/>
          <w:cols w:equalWidth="0" w:num="2">
            <w:col w:w="4820" w:space="720"/>
            <w:col w:w="5880"/>
          </w:cols>
          <w:pgMar w:left="240" w:top="459" w:right="2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income tax purposes, distributions paid to shareholders are reported as ordinary income, return of capital, long term capital gains or a combination thereof. The tax character of distributions paid for the years ended February 29, 2016, February 28, 2015 and February 28, 2014 was as follows (dollars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February 29,</w:t>
            </w:r>
          </w:p>
        </w:tc>
        <w:tc>
          <w:tcPr>
            <w:tcW w:w="62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gains</w:t>
            </w:r>
          </w:p>
        </w:tc>
        <w:tc>
          <w:tcPr>
            <w:tcW w:w="18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federal income tax purposes, as of February 29, 2016, the aggregate net unrealized depreciation for all securities is $15.4 million. The aggregate cost of securities for federal income tax purposes is $571.4 million.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federal income tax purposes, as of February 28, 2015, the aggregate net unrealized depreciation for all securities is $3.6 million. The aggregate cost of securities for federal income tax purposes is $522.4 million.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February 29, 2016 and February 28, 2015, the components of accumulated losses on a tax basis as detailed below differ from the amounts reflected per the Company’s consolidated statements of assets and liabilities by temporary book/tax differences primarily arising from the consolidation of the Saratoga CLO for tax purposes, market discount and original issue discount income, interest income accrual on defaulted bonds, write-off of investments, and amortization of organizational expenditures (dollars in thousands).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February 29,</w:t>
            </w: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Post October loss deferred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(27,303)</w:t>
            </w: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Accumulated capital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(58,929)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(32,308)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Undistributed ordinary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10,578</w:t>
            </w:r>
          </w:p>
        </w:tc>
        <w:tc>
          <w:tcPr>
            <w:tcW w:w="12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(15,428)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(3,662)</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components of accumulated losses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incurred capital losses of $19.3 million and $13.0 million, respectively, for the years ended February 28, 2011 and 2010. Such capital losses will be available to offset future capital gains if any and if unused, will expire on February 28, 2019 and 2018.</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At February 29, 2016 and February 28, 2015, the Company had a short term capital loss of $11.2 million and $0 million, respectively, and a long-term capital loss of $15.4 million and $0 million, respectively, available to offset future capital gains. Post RIC-modernization act losses are deemed to arise on the first day of the fund’s following fiscal year and there is no expiration for these losses.</w:t>
      </w:r>
    </w:p>
    <w:p>
      <w:pPr>
        <w:spacing w:after="0" w:line="18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 is subject to a nondeductible U.S. federal excise tax of 4% on undistributed income if it does not distribute at least 98% of its ordinary income in any calendar year and 98.2% of its capital gain net income for each one-year period ending on October 31 of such calendar year. Depending on the level of Investment Company Taxable Income (“ICTI”) earned in a tax year, the Company may choose to carry forward ICTI in excess of current year dividend distributions into the next tax year and pay a 4%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Any such carryover ICTI must be distributed before the end of that next tax year through a dividend declared prior to filing the final tax return related to the year which generated such ICTI. For the calendar year ended December 31, 2015, the Company did not distribute at least 98% of its ordinary income and 98.2% of its capital gains and subsequently paid $113,808 in federal excise taxes.</w:t>
      </w:r>
    </w:p>
    <w:p>
      <w:pPr>
        <w:spacing w:after="0" w:line="197"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Management has analyzed the Company’s tax positions taken on federal income tax returns for all open years (fiscal years 2013-2016), and has concluded that no provision for uncertain income tax positions is required in the Company’s consolidated financial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22, 2010, the Regulated Investment Company Modernization Act of 2010 (the “Modernization Act”) was enacted, and the provisions with the Modernization Act are effective for the Company for the year ended February 29, 2012. The Modernization Act is the first major piece of legislation affecting RICs since 1986 and it modernizes several of the federal income and excise tax provisions related to RICs. Some highlights of the enacted provisions are as follows:</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New capital losses may now be carried forward indefinitely, and retain the character of the original loss. Under pre-enactment law, capital losses could be carried forward for eight years, and carried forward as short-term capital, irrespective of the character of the original loss.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Modernization Act contains simplification provisions, which are aimed at preventing disqualification of a RIC for “inadvertent” failures of the asset diversification and/or qualifying income tests. Additionally, the Modernization Act exempts RICs from the preferential dividend rule, and repealed the 60-day designation requirement for certain types of pay-through income and gains.</w:t>
      </w:r>
    </w:p>
    <w:p>
      <w:pPr>
        <w:spacing w:after="0" w:line="18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Finally, the Modernization Act contains several provisions aimed at preserving the character of distributions made by a fiscal year RIC during the portion of its taxable year ending after October 31 or December 31, reducing the circumstances under which a RIC might be required to file amended Forms 1099 to restate previously reported distributions.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SIA-Avionte, Inc., SIA-Mercury, Inc., SIA-TT, Inc., and SIA-Vector, Inc., 100% owned by the Company, are each filing standalone C Corporate tax returns for federal and state purposes. As separately regarded entities for tax purposes, these entities are taxed at normal corporate rates. For tax purposes, any distributions by the entities to the parent company would generally need to be distributed to the Company’s shareholders. Generally, such distributions of the entities’ income to the Company’s shareholders will be considered as qualified dividends for tax purposes. The entities taxable net income will differ from U.S. GAAP net income because of deferred tax temporary differences adjustments. Deferred tax temporary differences may include differences for state taxes and joint venture interests.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Agreements and Related Party Transactions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is two years, with automatic, one-year renewals at the end of each year subject to certain approvals by our board of directors and/or our stockholders. On July 8, 2015,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 years ended February 29, 2016, February 28, 2015 and February 28, 2014, the Company incurred $4.5 million, $4.2 million and $3.3 million in base management fees, respectively. For the years ended February 29, 2016, February 28, 2015 and February 28, 2014, the Company incurred $2.3 million, $2.2 million and $1.0 million in incentive fees related to pre-incentive fee net investment income. For the year ended February 29, 2016, there was a reduction of $0.05 million in incentive fees related to capital gains. For the year ended February 28, 2015, we accrued of $0.3 million in incentive fees related to capital gains. For the year ended February 28, 2014, there was a reduction of $0.1 million in incentive fees related to capital gains. The accrual is calculated using both realized and unrealized capital gains for the period. The actual incentive fee related to capital gains will be determined and payable in arrears at the end of the fiscal year and will include only realized capital gains for the period. As of February 29, 2016, the base management fees accrual was $1.2 million and the incentive fees accrual was $4.4 million and is included in base management and incentive fees payable in the accompanying consolidated statements of assets and liabilities. As of February 28, 2015, the base management fees accrual was $1.0 million and the incentive fees accrual was $4.8 million and is included in base management and incentive fees payable in the accompanying consolidated statements of assets and liabilities.</w:t>
      </w:r>
    </w:p>
    <w:p>
      <w:pPr>
        <w:spacing w:after="0" w:line="16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and subsequent renewals. On July 8, 2015, our board of directors approved the renewal of the Administration Agreement for an additional one-year term and determined to increase the cap on the payment or reimbursement of expenses by the Company thereunder, which had not been increased since the inception of the agreement, to $1.3 million. In addition, our board of directors intends to review the new cap in the next three to six months to determine whether it should be further adjusted in light of differences between our projected and actual expenses and other similar factors.</w:t>
      </w:r>
    </w:p>
    <w:p>
      <w:pPr>
        <w:spacing w:after="0" w:line="19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For the years ended February 29, 2016, February 28, 2015 and February 28, 2014, we recognized $1.2 million, $1.0 million and $1.0 million, in administrator expenses for the periods, respectively, pertaining to bookkeeping, record keeping and other administrative services provided to us in addition to our allocable portion of rent and other overhead related expenses. As of February 29, 2016, $0.2 million of administrator expenses were accrued and included in due to manager in the accompanying consolidated statements of assets and liabilities. As of February 28, 2015, $0.4 million of administrator expenses were accrued and included in due to manager in the accompanying consolidated statements of assets and liabilities. For the years ended February 29, 2016, February 28, 2015 and 2014, the Company bought investments fair valued at $0.0 million, $0.0 million, and $0.3 million, respectively, from the Saratoga CLO and sold no investments to related parties.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52"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jc w:val="both"/>
        <w:ind w:left="900" w:right="560" w:hanging="325"/>
        <w:spacing w:after="0" w:line="31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All borrowings and other amounts payable under the credit facility are due and payable five years after the end of the Revolving Period; and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275"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February 29, 2016, there was no outstanding borrowings under the Credit Facility and the Company was in compliance with all of the limitations and requirements of the Credit Facility. As of February 28, 2015, there was $9.6 million outstanding under the Credit Facility and the Company was in compliance with all of the limitations and requirements of the Credit Facility. Financing costs of $2.7 million related to the Credit Facility have been capitalized and are being amortized over the term of the facility. For the years ended February 29, 2016, February 28, 2015 and February 28, 2014, we recorded $0.7 million, $0.9 million and $1.0 million of interest expense, respectively. For the years ended February 29, 2016, February 28, 2015 and February 28, 2014, we recorded $0.1 million, $0.3 million and $0.4 million of amortization of deferred financing costs related to the Credit Facility and Revolving Facility, respectively. The interest rates during the years ended February 29, 2016, February 28, 2015 and February 28, 2014 on the outstanding borrowings under the Credit Facility were 6.00%, 6.75% and 7.50%, respectively. During the years ended February 29, 2016 and February 28, 2015, the average dollar amount of outstanding borrowings under the Credit Facility was $4.4 million and $6.0 million, respectively.</w:t>
      </w:r>
    </w:p>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borrowing base under the Credit Facility was $21.8 million subject to the Credit Facility cap of $45.0 million at February 29, 2016. For purposes of determining the borrowing base, most assets are assigned the values set forth in our most recent Annual Report on Form 10-K or Quarterly Report on</w:t>
      </w:r>
    </w:p>
    <w:p>
      <w:pPr>
        <w:ind w:right="80"/>
        <w:spacing w:after="0" w:line="255" w:lineRule="auto"/>
        <w:rPr>
          <w:sz w:val="20"/>
          <w:szCs w:val="20"/>
          <w:color w:val="auto"/>
        </w:rPr>
      </w:pPr>
      <w:r>
        <w:rPr>
          <w:rFonts w:ascii="Arial" w:cs="Arial" w:eastAsia="Arial" w:hAnsi="Arial"/>
          <w:sz w:val="18"/>
          <w:szCs w:val="18"/>
          <w:color w:val="auto"/>
        </w:rPr>
        <w:t>Form 10-Q filed with the SEC. Accordingly, the February 29, 2016 borrowing base relies upon the valuations set forth in the Quarterly Report on Form 10-Q for the quarter ended November 30, 2015. The valuations presented in this Annual Report on Form 10-K will not be incorporated into the borrowing base until after this Annual Report on Form 10-K is filed with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February 29, 2016, we have funded SBIC LP with $75.0 million of equity capital, and have $103.7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of February 29, 2016 and February 28, 2015, there was $103.7 million and $79.0 million outstanding of SBA debentures, respectively. The carrying amount of the amount outstanding of SBA debentures approximates its fair value, which is based on a waterfall analysis showing adequate collateral coverage, $3.6 million, of financing costs related to the SBA debentures, have been capitalized and are being amortized over the term of the commitment and drawdown. For the years ended February 29, 2016, February 28, 2015 and February 28, 2014 we recorded $2.6 million, $2.0 million and $1.3 million of interest expense related to the SBA debentures, respectively. For the years ended February 29, 2016, February 28, 2015 and February 28, 2014, we recorded $0.4 million, $0.3 million and $0.2 million of amortization of deferred financing costs related to the SBA debentures, respectively. The weighted average interest rate during the years ended February 29, 2016 and February 28, 2015 on the outstanding borrowings of the SBA debentures was 3.12% and 2.93%, respectively. During the years ended February 29, 2016 and February 28, 2015, the average dollar amount of SBA debentures outstanding was $83.0 million and $67.9 million, respectively.</w:t>
      </w:r>
    </w:p>
    <w:p>
      <w:pPr>
        <w:spacing w:after="0" w:line="182"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of SBA-guaranteed debentures that an SBIC may issue to $150.0 million when it has at least $75.0 million in regulatory capital. Affiliated SBICs are permitted to issue up to a combined maximum amount of $350.0 million in SBA-guaranteed debentures when they have at least $175.0 million in combined regulatory capital.</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up to $150 million of additional SBA-guaranteed debentures in addition to the $150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 On May 29, 2015, the Company entered into a Debt Distribution Agreement with Landenburg Thalmann &amp; Co. through which the Company may offer for sale, from time to time, up to $20.0 million in aggregate principal amount of the Notes through an At-the-Market (“ATM”) offering. As of February 29, 2016, the Company sold 539,725 bonds with a principal of $13,493,125 at an average price of $25.31 for aggregate net proceeds of $13,385,766 (net of transaction costs).</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February 29, 2016, the carrying amount and fair value of the Notes was $61.8 million and $60.2 million, respectively. The fair value of the Notes, which are publicly traded, is based upon closing market quotes as of the measurement date and would be classified as a level 1 liability within the fair value hierarchy. As of February 29, 2016, $2.7 million of financing costs related to the Notes (including underwriting commissions and net of issuance premiums) have been capitalized and are being amortized over the term of the Notes. For the year ended February 29, 2016, we recorded $4.3 million of interest expense and $0.4 million of amortization of deferred financing costs related to the Notes. As of February 28, 2015, the carrying amount and fair value of the Notes was $48.3 million and $49.8 million, respectively. As of February 28, 2015, $2.5 million of financing costs related to the Notes have been capitalized and are being amortized over the term of the Notes. For the years ended February 28, 2015 and February 28, 2014, we recorded $3.6 million and $2.9 million of interest expense, respectively, and $0.3 million and $0.3 million, respectively, of amortization of deferred financing costs related to the Notes. During the years ended February 29, 2016 and February 28, 2015, the average dollar amount of Notes outstanding was $55.7 million and $48.3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February 29,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88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3 - 5</w:t>
            </w:r>
          </w:p>
        </w:tc>
        <w:tc>
          <w:tcPr>
            <w:tcW w:w="3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61,793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$ 103,660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Company’s off-balance sheet arrangements consisted of $2.0 million and $11.2 million of unfunded commitments to provide debt financing to its portfolio companies or to fund limited partnership interests as of February 29, 2016 and February 28, 2015,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February 29, 2016 and February 28, 2015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5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29,</w:t>
            </w:r>
          </w:p>
        </w:tc>
        <w:tc>
          <w:tcPr>
            <w:tcW w:w="1520" w:type="dxa"/>
            <w:vAlign w:val="bottom"/>
            <w:gridSpan w:val="3"/>
          </w:tcPr>
          <w:p>
            <w:pPr>
              <w:ind w:left="700"/>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354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8"/>
              </w:rPr>
              <w:t>1,000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Identity Automation</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left="113"/>
              <w:spacing w:after="0"/>
              <w:rPr>
                <w:sz w:val="20"/>
                <w:szCs w:val="20"/>
                <w:color w:val="auto"/>
              </w:rPr>
            </w:pPr>
            <w:r>
              <w:rPr>
                <w:rFonts w:ascii="Arial" w:cs="Arial" w:eastAsia="Arial" w:hAnsi="Arial"/>
                <w:sz w:val="18"/>
                <w:szCs w:val="18"/>
                <w:color w:val="auto"/>
                <w:w w:val="88"/>
              </w:rPr>
              <w:t>1,000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Bristol Hospice, LLC</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HMN Holdco, LLC</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left="173"/>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Knowland Technology Holdings, L.L.C.</w:t>
            </w:r>
          </w:p>
        </w:tc>
        <w:tc>
          <w:tcPr>
            <w:tcW w:w="2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88"/>
              </w:rPr>
              <w:t>2,000</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r>
      <w:tr>
        <w:trPr>
          <w:trHeight w:val="372"/>
        </w:trPr>
        <w:tc>
          <w:tcPr>
            <w:tcW w:w="3540" w:type="dxa"/>
            <w:vAlign w:val="bottom"/>
          </w:tcPr>
          <w:p>
            <w:pPr>
              <w:spacing w:after="0"/>
              <w:rPr>
                <w:sz w:val="24"/>
                <w:szCs w:val="24"/>
                <w:color w:val="auto"/>
              </w:rPr>
            </w:pPr>
          </w:p>
        </w:tc>
        <w:tc>
          <w:tcPr>
            <w:tcW w:w="2880" w:type="dxa"/>
            <w:vAlign w:val="bottom"/>
            <w:gridSpan w:val="2"/>
          </w:tcPr>
          <w:p>
            <w:pPr>
              <w:ind w:left="620"/>
              <w:spacing w:after="0"/>
              <w:rPr>
                <w:sz w:val="20"/>
                <w:szCs w:val="20"/>
                <w:color w:val="auto"/>
              </w:rPr>
            </w:pPr>
            <w:r>
              <w:rPr>
                <w:rFonts w:ascii="Arial" w:cs="Arial" w:eastAsia="Arial" w:hAnsi="Arial"/>
                <w:sz w:val="18"/>
                <w:szCs w:val="18"/>
                <w:color w:val="auto"/>
              </w:rPr>
              <w:t>F-26</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years ended February 29, 2016, February 28, 2015 and February 28, 2014, we accrued $0.2 million, $0.2 million, and $0.2 million for directors’ fees expense, respectively. As of February 29, 2016 and February 28, 2015, $0.03 million and $0.03 million in directors’ fees expense were unpaid and included in accounts payable and accrued expenses in the consolidated statements of assets and liabilities. As of February 29, 2016, we had not issued any common stock to our directors as compensation for their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7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had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8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On September 24, 2014, the Company announced the approval of an open market share repurchase plan that allowed it to repurchase up to 200,000 shares of its common stock at prices below its NAV as reported in its then most recently published consolidated financial statements. As of February 29, 2016, the Company purchased 25,417 shares of common stock, at the average price of $14.03, for approximately $0.4 million pursuant to this repurchase plan. On October 7, 2015, the Company’s board of directors extended the open market share repurchase plan for another year and increased the number of shares the Company is permitted to repurchase at prices below its NAV, as reported in its then most recently published consolidated financial statements, to 400,000 shares of its common stock.</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8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18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On January 12, 2016, the Company declared a dividend of $0.40 per share payable on February 29, 2016. Shareholders had the option to receive payment of the dividend in cash, or receive shares of common stock, pursuant our DRIP. Based on shareholder elections, the dividend consisted of approximately $1.4 million in cash and 66,764 newly issued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in net assets per share from operations for the years ended February 29, 2016, February 28, 2015 and February 28, 2014 (dollars in thousands except share and per share amounts):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c>
          <w:tcPr>
            <w:tcW w:w="3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1"/>
        </w:trPr>
        <w:tc>
          <w:tcPr>
            <w:tcW w:w="5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Net increase in</w:t>
            </w:r>
          </w:p>
        </w:tc>
        <w:tc>
          <w:tcPr>
            <w:tcW w:w="46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assets from operations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5,582,453</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5,385,049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4,920,517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earnings per common share-basic and 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Dividend</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January 12, 2016, the Company’s board of directors declared a dividend of $0.40 per share payable on February 29, 2016, to all stockholders of record on February 1, 2016. Shareholders had the option to receive payment of the dividend in cash, or receive shares of common stock, pursuant the Company’s DRIP.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$1.4 million in cash and 66,764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$13.11 per share, which equaled the volume weighted average trading price per share of the common stock on February 16, 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 19, 22, 23, 24, 25, 26 and 29, 2016.</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October 7, 2015, the Company’s board of directors declared a dividend of $0.36 per share payable on November 30, 2015, to common stockholders of record on November 2, 2015. Shareholders had the option to receive payment of the dividend in cash, or receive shares of common stock, pursuant the Company’s DRIP.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$1.1 million in cash and 61,029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$14.53 per share, which equaled the volume weighted average trading price per share of the common stock on November 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 18, 19, 20, 23, 24, 25, 27 and 30, 2015.</w:t>
      </w:r>
    </w:p>
    <w:p>
      <w:pPr>
        <w:spacing w:after="0" w:line="21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July 8, 2015, the Company’s board of directors declared a dividend of $0.33 per share payable on August 31, 2015, to common stockholders of record on August 3, 2015. Shareholders had the option to receive payment of the dividend in cash, or receive shares of common stock, pursuant the Company’s DRIP.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$1.1 million in cash and 47,861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0.9%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$15.28 per share, which equaled the volume weighted average trading price per share of the common stock on August 18,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 21, 24, 25, 26, 27, 28 and 31, 2015.</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May 14, 2015, the Company’s board of directors declared a special dividend of $1.00 per share payable on June 5, 2015, to common stockholders of record on May 26, 2015. Shareholders had the option to receive payment of the dividend in cash, or receive shares of common stock, pursuant the Company’s DRIP.</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$3.4 million in cash and 126,230 newly issued shares of common stock, or 2.3% of the Company’s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April 9, 2015, the Company’s board of directors declared a dividend of $0.27 per share payable on May 29, 2015, to common stockholders of record on May 4, 2015. Shareholders had the option to receive payment of the dividend in cash, or receive shares of common stock, pursuant the Company’s DRIP.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$0.9 million in cash and 33,766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0.6%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$16.78 per share, which equaled the volume weighted average trading price per share of the common stock on May 15, 18,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 21, 22, 26, 27, 28 and 29, 2015.</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September 24, 2014, the Company declared a dividend of $0.22 per share payable on February 27, 2015. Shareholders have the option to receive payment of the dividend in cash, or receive shares of common stock pursuant to the Company’s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5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78"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Based on shareholder elections, the dividend consisted of approximately $2.5 million in cash and 649,500 shares of common stock, or 13.7% of our outstanding common stock prior to the dividend payment. The number of shares of common stock comprising the stock portion was calculated based on a price of $15.439 per share, which equaled the volume weighted average trading price per share of the common stock on December 11, 13, and 16, 2013.</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November 15, 2011, the Company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$13.1171 per share, which equaled the volume weighted average trading price per share of the common stock on December 20, 21 and 22, 2011.</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November 12, 2010, the Company declared a dividend of $4.40 per share payable on December 23, 2010. Shareholders had the option to receive payment of the dividend in cash, shares of common stock, or a combination of cash and shares of common stock, provided that the aggregate cash payable to all shareholders was limited to approximately $1.2 million or $0.44 per share.</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on shareholder elections, the dividend consisted of approximately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 The consolidated financial statements for the period ended November 30, 2010 have been retroactively adjusted to reflect the increase in common stock as a result of the dividend in accordance with the provisions of ASC 505-20-S50 regarding disclosure of a capital structure change after the interim balance sheet but before the release of the financial statements.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summarize dividends declared during the years ended February 29, 2016, February 28, 2015, February 28, 2014, February 28, 2013 and February 29, 2012 (dollars in thousands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Record Date</w:t>
            </w:r>
          </w:p>
        </w:tc>
        <w:tc>
          <w:tcPr>
            <w:tcW w:w="80" w:type="dxa"/>
            <w:vAlign w:val="bottom"/>
          </w:tcPr>
          <w:p>
            <w:pPr>
              <w:spacing w:after="0"/>
              <w:rPr>
                <w:sz w:val="14"/>
                <w:szCs w:val="14"/>
                <w:color w:val="auto"/>
              </w:rPr>
            </w:pPr>
          </w:p>
        </w:tc>
        <w:tc>
          <w:tcPr>
            <w:tcW w:w="14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2"/>
              </w:rPr>
              <w:t>Payment Date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Per Share*</w:t>
            </w:r>
          </w:p>
        </w:tc>
        <w:tc>
          <w:tcPr>
            <w:tcW w:w="420" w:type="dxa"/>
            <w:vAlign w:val="bottom"/>
          </w:tcPr>
          <w:p>
            <w:pPr>
              <w:spacing w:after="0"/>
              <w:rPr>
                <w:sz w:val="14"/>
                <w:szCs w:val="14"/>
                <w:color w:val="auto"/>
              </w:rPr>
            </w:pPr>
          </w:p>
        </w:tc>
        <w:tc>
          <w:tcPr>
            <w:tcW w:w="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January 12,</w:t>
            </w:r>
          </w:p>
        </w:tc>
        <w:tc>
          <w:tcPr>
            <w:tcW w:w="3860" w:type="dxa"/>
            <w:vAlign w:val="bottom"/>
            <w:tcBorders>
              <w:top w:val="single" w:sz="8" w:color="CCEEFF"/>
            </w:tcBorders>
            <w:shd w:val="clear" w:color="auto" w:fill="CCEEFF"/>
          </w:tcPr>
          <w:p>
            <w:pPr>
              <w:jc w:val="right"/>
              <w:ind w:right="3410"/>
              <w:spacing w:after="0"/>
              <w:rPr>
                <w:sz w:val="20"/>
                <w:szCs w:val="20"/>
                <w:color w:val="auto"/>
              </w:rPr>
            </w:pPr>
            <w:r>
              <w:rPr>
                <w:rFonts w:ascii="Arial" w:cs="Arial" w:eastAsia="Arial" w:hAnsi="Arial"/>
                <w:sz w:val="18"/>
                <w:szCs w:val="18"/>
                <w:color w:val="auto"/>
                <w:w w:val="84"/>
              </w:rPr>
              <w:t>2016</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February 1, 2016</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February 29, 2016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October 7, 2015</w:t>
            </w:r>
          </w:p>
        </w:tc>
        <w:tc>
          <w:tcPr>
            <w:tcW w:w="1960" w:type="dxa"/>
            <w:vAlign w:val="bottom"/>
            <w:gridSpan w:val="5"/>
          </w:tcPr>
          <w:p>
            <w:pPr>
              <w:ind w:left="100"/>
              <w:spacing w:after="0"/>
              <w:rPr>
                <w:sz w:val="20"/>
                <w:szCs w:val="20"/>
                <w:color w:val="auto"/>
              </w:rPr>
            </w:pPr>
            <w:r>
              <w:rPr>
                <w:rFonts w:ascii="Arial" w:cs="Arial" w:eastAsia="Arial" w:hAnsi="Arial"/>
                <w:sz w:val="18"/>
                <w:szCs w:val="18"/>
                <w:color w:val="auto"/>
              </w:rPr>
              <w:t>November 2, 2015</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November 30, 2015</w:t>
            </w:r>
          </w:p>
        </w:tc>
        <w:tc>
          <w:tcPr>
            <w:tcW w:w="5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58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8, 2015</w:t>
            </w:r>
          </w:p>
        </w:tc>
        <w:tc>
          <w:tcPr>
            <w:tcW w:w="19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August 3, 2015</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2015</w:t>
            </w:r>
          </w:p>
        </w:tc>
        <w:tc>
          <w:tcPr>
            <w:tcW w:w="5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580" w:type="dxa"/>
            <w:vAlign w:val="bottom"/>
            <w:tcBorders>
              <w:left w:val="single" w:sz="8" w:color="CCEEFF"/>
            </w:tcBorders>
            <w:gridSpan w:val="3"/>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May 14, 2015</w:t>
            </w:r>
          </w:p>
        </w:tc>
        <w:tc>
          <w:tcPr>
            <w:tcW w:w="1960" w:type="dxa"/>
            <w:vAlign w:val="bottom"/>
            <w:gridSpan w:val="5"/>
          </w:tcPr>
          <w:p>
            <w:pPr>
              <w:ind w:left="100"/>
              <w:spacing w:after="0"/>
              <w:rPr>
                <w:sz w:val="20"/>
                <w:szCs w:val="20"/>
                <w:color w:val="auto"/>
              </w:rPr>
            </w:pPr>
            <w:r>
              <w:rPr>
                <w:rFonts w:ascii="Arial" w:cs="Arial" w:eastAsia="Arial" w:hAnsi="Arial"/>
                <w:sz w:val="18"/>
                <w:szCs w:val="18"/>
                <w:color w:val="auto"/>
              </w:rPr>
              <w:t>May 26, 2015</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5, 2015</w:t>
            </w:r>
          </w:p>
        </w:tc>
        <w:tc>
          <w:tcPr>
            <w:tcW w:w="5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58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5,429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9, 2015</w:t>
            </w:r>
          </w:p>
        </w:tc>
        <w:tc>
          <w:tcPr>
            <w:tcW w:w="19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May 4, 2015</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29, 2015</w:t>
            </w:r>
          </w:p>
        </w:tc>
        <w:tc>
          <w:tcPr>
            <w:tcW w:w="5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580" w:type="dxa"/>
            <w:vAlign w:val="bottom"/>
            <w:tcBorders>
              <w:left w:val="single" w:sz="8" w:color="CCEEFF"/>
            </w:tcBorders>
            <w:gridSpan w:val="3"/>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Record Date</w:t>
            </w:r>
          </w:p>
        </w:tc>
        <w:tc>
          <w:tcPr>
            <w:tcW w:w="30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7"/>
              </w:rPr>
              <w:t>Per Share*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360" w:type="dxa"/>
            <w:vAlign w:val="bottom"/>
            <w:tcBorders>
              <w:right w:val="single" w:sz="8" w:color="CCEEFF"/>
            </w:tcBorders>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CCEEFF"/>
            </w:tcBorders>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24, 2014</w:t>
            </w: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October 30, 2014</w:t>
            </w:r>
          </w:p>
        </w:tc>
        <w:tc>
          <w:tcPr>
            <w:tcW w:w="3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1"/>
              </w:rPr>
              <w:t>November 28, 2014</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00" w:type="dxa"/>
            <w:vAlign w:val="bottom"/>
            <w:tcBorders>
              <w:lef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September 24, 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January 29, 2015</w:t>
            </w:r>
          </w:p>
        </w:tc>
        <w:tc>
          <w:tcPr>
            <w:tcW w:w="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7"/>
              </w:rPr>
              <w:t>February 27, 2015</w:t>
            </w:r>
          </w:p>
        </w:tc>
        <w:tc>
          <w:tcPr>
            <w:tcW w:w="560" w:type="dxa"/>
            <w:vAlign w:val="bottom"/>
            <w:gridSpan w:val="4"/>
          </w:tcPr>
          <w:p>
            <w:pPr>
              <w:ind w:left="48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100" w:type="dxa"/>
            <w:vAlign w:val="bottom"/>
            <w:tcBorders>
              <w:lef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2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Record Date</w:t>
            </w:r>
          </w:p>
        </w:tc>
        <w:tc>
          <w:tcPr>
            <w:tcW w:w="80" w:type="dxa"/>
            <w:vAlign w:val="bottom"/>
          </w:tcPr>
          <w:p>
            <w:pPr>
              <w:spacing w:after="0"/>
              <w:rPr>
                <w:sz w:val="24"/>
                <w:szCs w:val="24"/>
                <w:color w:val="auto"/>
              </w:rPr>
            </w:pPr>
          </w:p>
        </w:tc>
        <w:tc>
          <w:tcPr>
            <w:tcW w:w="14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2"/>
              </w:rPr>
              <w:t>Payment Date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Per Share*</w:t>
            </w:r>
          </w:p>
        </w:tc>
        <w:tc>
          <w:tcPr>
            <w:tcW w:w="420" w:type="dxa"/>
            <w:vAlign w:val="bottom"/>
          </w:tcPr>
          <w:p>
            <w:pPr>
              <w:spacing w:after="0"/>
              <w:rPr>
                <w:sz w:val="14"/>
                <w:szCs w:val="14"/>
                <w:color w:val="auto"/>
              </w:rPr>
            </w:pPr>
          </w:p>
        </w:tc>
        <w:tc>
          <w:tcPr>
            <w:tcW w:w="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October 30,</w:t>
            </w:r>
          </w:p>
        </w:tc>
        <w:tc>
          <w:tcPr>
            <w:tcW w:w="3860" w:type="dxa"/>
            <w:vAlign w:val="bottom"/>
            <w:tcBorders>
              <w:top w:val="single" w:sz="8" w:color="CCEEFF"/>
            </w:tcBorders>
            <w:shd w:val="clear" w:color="auto" w:fill="CCEEFF"/>
          </w:tcPr>
          <w:p>
            <w:pPr>
              <w:jc w:val="right"/>
              <w:ind w:right="3390"/>
              <w:spacing w:after="0"/>
              <w:rPr>
                <w:sz w:val="20"/>
                <w:szCs w:val="20"/>
                <w:color w:val="auto"/>
              </w:rPr>
            </w:pPr>
            <w:r>
              <w:rPr>
                <w:rFonts w:ascii="Arial" w:cs="Arial" w:eastAsia="Arial" w:hAnsi="Arial"/>
                <w:sz w:val="18"/>
                <w:szCs w:val="18"/>
                <w:color w:val="auto"/>
                <w:w w:val="89"/>
              </w:rPr>
              <w:t>2013</w:t>
            </w:r>
          </w:p>
        </w:tc>
        <w:tc>
          <w:tcPr>
            <w:tcW w:w="15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7"/>
              </w:rPr>
              <w:t>November 13, 2013</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December 27, 2013</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Record Date</w:t>
            </w:r>
          </w:p>
        </w:tc>
        <w:tc>
          <w:tcPr>
            <w:tcW w:w="400" w:type="dxa"/>
            <w:vAlign w:val="bottom"/>
            <w:gridSpan w:val="2"/>
            <w:vMerge w:val="restart"/>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2"/>
              </w:rPr>
              <w:t>Payment Date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Per Share*</w:t>
            </w:r>
          </w:p>
        </w:tc>
        <w:tc>
          <w:tcPr>
            <w:tcW w:w="420" w:type="dxa"/>
            <w:vAlign w:val="bottom"/>
          </w:tcPr>
          <w:p>
            <w:pPr>
              <w:spacing w:after="0"/>
              <w:rPr>
                <w:sz w:val="14"/>
                <w:szCs w:val="14"/>
                <w:color w:val="auto"/>
              </w:rPr>
            </w:pPr>
          </w:p>
        </w:tc>
        <w:tc>
          <w:tcPr>
            <w:tcW w:w="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0" w:type="dxa"/>
            <w:vAlign w:val="bottom"/>
            <w:gridSpan w:val="2"/>
            <w:vMerge w:val="restart"/>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CCEEFF"/>
            </w:tcBorders>
            <w:vMerge w:val="restart"/>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9, 2012</w:t>
            </w: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November 20, 2012</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December 31, 2012</w:t>
            </w:r>
          </w:p>
        </w:tc>
        <w:tc>
          <w:tcPr>
            <w:tcW w:w="400" w:type="dxa"/>
            <w:vAlign w:val="bottom"/>
            <w:gridSpan w:val="2"/>
            <w:vMerge w:val="continue"/>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vMerge w:val="continue"/>
            <w:shd w:val="clear" w:color="auto" w:fill="CCEEFF"/>
          </w:tcPr>
          <w:p>
            <w:pPr>
              <w:spacing w:after="0"/>
              <w:rPr>
                <w:sz w:val="18"/>
                <w:szCs w:val="18"/>
                <w:color w:val="auto"/>
              </w:rPr>
            </w:pPr>
          </w:p>
        </w:tc>
        <w:tc>
          <w:tcPr>
            <w:tcW w:w="420" w:type="dxa"/>
            <w:vAlign w:val="bottom"/>
            <w:tcBorders>
              <w:left w:val="single" w:sz="8" w:color="CCEEFF"/>
            </w:tcBorders>
            <w:vMerge w:val="continue"/>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16,476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Record Date</w:t>
            </w:r>
          </w:p>
        </w:tc>
        <w:tc>
          <w:tcPr>
            <w:tcW w:w="30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7"/>
              </w:rPr>
              <w:t>Per Share*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560" w:type="dxa"/>
            <w:vAlign w:val="bottom"/>
            <w:tcBorders>
              <w:right w:val="single" w:sz="8" w:color="auto"/>
            </w:tcBorders>
            <w:gridSpan w:val="3"/>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CCEEFF"/>
            </w:tcBorders>
            <w:gridSpan w:val="2"/>
            <w:vMerge w:val="restart"/>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15, 2011</w:t>
            </w:r>
          </w:p>
        </w:tc>
        <w:tc>
          <w:tcPr>
            <w:tcW w:w="100" w:type="dxa"/>
            <w:vAlign w:val="bottom"/>
            <w:vMerge w:val="continue"/>
            <w:shd w:val="clear" w:color="auto" w:fill="CCEEFF"/>
          </w:tcPr>
          <w:p>
            <w:pPr>
              <w:spacing w:after="0"/>
              <w:rPr>
                <w:sz w:val="18"/>
                <w:szCs w:val="18"/>
                <w:color w:val="auto"/>
              </w:rPr>
            </w:pPr>
          </w:p>
        </w:tc>
        <w:tc>
          <w:tcPr>
            <w:tcW w:w="1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November 25, 2011</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2011</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Borders>
              <w:left w:val="single" w:sz="8" w:color="CCEEFF"/>
            </w:tcBorders>
            <w:gridSpan w:val="2"/>
            <w:vMerge w:val="continue"/>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9,831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w:t>
            </w:r>
          </w:p>
        </w:tc>
        <w:tc>
          <w:tcPr>
            <w:tcW w:w="50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3420" w:hanging="5532"/>
        <w:spacing w:after="0" w:line="449" w:lineRule="auto"/>
        <w:tabs>
          <w:tab w:leader="none" w:pos="4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per share is calculated based on the number of shares outstanding at the date of declaration. F-31</w:t>
      </w:r>
    </w:p>
    <w:p>
      <w:pPr>
        <w:sectPr>
          <w:pgSz w:w="11900" w:h="16838" w:orient="portrait"/>
          <w:cols w:equalWidth="0" w:num="1">
            <w:col w:w="11080"/>
          </w:cols>
          <w:pgMar w:left="240" w:top="459" w:right="5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is a schedule of financial highlights for the years ended February 29, 2016, February 28, 2015, February 28, 2014, February 28, 2013 and February 29,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February 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February 28,</w:t>
            </w:r>
          </w:p>
        </w:tc>
        <w:tc>
          <w:tcPr>
            <w:tcW w:w="10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February 28,</w:t>
            </w:r>
          </w:p>
        </w:tc>
        <w:tc>
          <w:tcPr>
            <w:tcW w:w="8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February 28,</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February 29,</w:t>
            </w: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22.71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24.94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26.20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r>
      <w:tr>
        <w:trPr>
          <w:trHeight w:val="202"/>
        </w:trPr>
        <w:tc>
          <w:tcPr>
            <w:tcW w:w="20" w:type="dxa"/>
            <w:vAlign w:val="bottom"/>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Net realized and unrealized gains and losses 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investments and derivatives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stockholders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Dilution(4)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21. 08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24.94</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125,149,875</w:t>
            </w:r>
          </w:p>
        </w:tc>
        <w:tc>
          <w:tcPr>
            <w:tcW w:w="3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122,598,742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113,427,929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107,437,874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96,689,122</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5,672,227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5,401,899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5,379,616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4,730,116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3,876,661</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15.85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17.02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15.88</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return based on net asset value(3)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16.98%</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Ratio of net investment income to average, net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1"/>
              </w:rPr>
              <w:t>Ratio of incentive management fees to average net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credit facility related expenses to average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assets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36.34%</w:t>
            </w:r>
          </w:p>
        </w:tc>
      </w:tr>
    </w:tbl>
    <w:p>
      <w:pPr>
        <w:spacing w:after="0" w:line="202"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As described in Note 2 to the consolidated financial statements and notes thereto, we identified errors that impacted the years ended February 28, 2014, February 28, 2013 and February 29, 2012. The corrections for the errors, which we have concluded are immaterial to all prior period consolidated financial statements, are reflected in the consolidated financial statements and selected financial data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5540" w:right="2940" w:hanging="5532"/>
        <w:spacing w:after="0" w:line="449" w:lineRule="auto"/>
        <w:tabs>
          <w:tab w:leader="none" w:pos="45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 F-32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92" w:lineRule="exact"/>
        <w:rPr>
          <w:rFonts w:ascii="Arial" w:cs="Arial" w:eastAsia="Arial" w:hAnsi="Arial"/>
          <w:sz w:val="18"/>
          <w:szCs w:val="18"/>
          <w:color w:val="auto"/>
        </w:rPr>
      </w:pPr>
    </w:p>
    <w:p>
      <w:pPr>
        <w:jc w:val="both"/>
        <w:ind w:left="460" w:right="160" w:hanging="452"/>
        <w:spacing w:after="0" w:line="31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52"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 in connection with the satisfaction of the Company’s annual RIC distribution requirement. See Note 12, Dividend.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Selected Quarterly Data (Unaudited)</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numbers)</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Qtr 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7"/>
          </w:tcPr>
          <w:p>
            <w:pPr>
              <w:jc w:val="right"/>
              <w:ind w:right="560"/>
              <w:spacing w:after="0" w:line="142" w:lineRule="exact"/>
              <w:rPr>
                <w:sz w:val="20"/>
                <w:szCs w:val="20"/>
                <w:color w:val="auto"/>
              </w:rPr>
            </w:pPr>
            <w:r>
              <w:rPr>
                <w:rFonts w:ascii="Arial" w:cs="Arial" w:eastAsia="Arial" w:hAnsi="Arial"/>
                <w:sz w:val="14"/>
                <w:szCs w:val="14"/>
                <w:b w:val="1"/>
                <w:bCs w:val="1"/>
                <w:color w:val="auto"/>
              </w:rPr>
              <w:t>Qtr 3</w:t>
            </w:r>
          </w:p>
        </w:tc>
        <w:tc>
          <w:tcPr>
            <w:tcW w:w="100" w:type="dxa"/>
            <w:vAlign w:val="bottom"/>
          </w:tcPr>
          <w:p>
            <w:pPr>
              <w:spacing w:after="0"/>
              <w:rPr>
                <w:sz w:val="12"/>
                <w:szCs w:val="12"/>
                <w:color w:val="auto"/>
              </w:rPr>
            </w:pPr>
          </w:p>
        </w:tc>
        <w:tc>
          <w:tcPr>
            <w:tcW w:w="74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Qtr 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Qtr 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Interest and related portfolio income</w:t>
            </w:r>
          </w:p>
        </w:tc>
        <w:tc>
          <w:tcPr>
            <w:tcW w:w="4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3"/>
              </w:rPr>
              <w:t>$ 7,795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7"/>
              </w:rPr>
              <w:t>$6,936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$ 7,758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7,561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800" w:type="dxa"/>
            <w:vAlign w:val="bottom"/>
            <w:gridSpan w:val="4"/>
          </w:tcPr>
          <w:p>
            <w:pPr>
              <w:jc w:val="right"/>
              <w:ind w:right="32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240"/>
              <w:spacing w:after="0"/>
              <w:rPr>
                <w:sz w:val="20"/>
                <w:szCs w:val="20"/>
                <w:color w:val="auto"/>
              </w:rPr>
            </w:pPr>
            <w:r>
              <w:rPr>
                <w:rFonts w:ascii="Arial" w:cs="Arial" w:eastAsia="Arial" w:hAnsi="Arial"/>
                <w:sz w:val="18"/>
                <w:szCs w:val="18"/>
                <w:color w:val="auto"/>
                <w:w w:val="84"/>
              </w:rPr>
              <w:t>2,150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3,657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1,771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1"/>
              </w:rPr>
              <w:t>(3,503)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w w:val="84"/>
              </w:rPr>
              <w:t>1,271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(2,415)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4"/>
              </w:rPr>
              <w:t>5,614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spacing w:after="0"/>
              <w:rPr>
                <w:sz w:val="18"/>
                <w:szCs w:val="18"/>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240"/>
              <w:spacing w:after="0"/>
              <w:rPr>
                <w:sz w:val="20"/>
                <w:szCs w:val="20"/>
                <w:color w:val="auto"/>
              </w:rPr>
            </w:pPr>
            <w:r>
              <w:rPr>
                <w:rFonts w:ascii="Arial" w:cs="Arial" w:eastAsia="Arial" w:hAnsi="Arial"/>
                <w:sz w:val="18"/>
                <w:szCs w:val="18"/>
                <w:color w:val="auto"/>
                <w:w w:val="84"/>
              </w:rPr>
              <w:t>3,421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1,243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7,385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per common share at end of each quarter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0.65</w:t>
            </w:r>
          </w:p>
        </w:tc>
        <w:tc>
          <w:tcPr>
            <w:tcW w:w="2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 per common share at end of each quarter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ind w:right="260"/>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5"/>
          </w:tcPr>
          <w:p>
            <w:pPr>
              <w:jc w:val="right"/>
              <w:ind w:right="240"/>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0.33</w:t>
            </w:r>
          </w:p>
        </w:tc>
        <w:tc>
          <w:tcPr>
            <w:tcW w:w="2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900" w:type="dxa"/>
            <w:vAlign w:val="bottom"/>
            <w:gridSpan w:val="5"/>
          </w:tcPr>
          <w:p>
            <w:pPr>
              <w:spacing w:after="0"/>
              <w:rPr>
                <w:sz w:val="20"/>
                <w:szCs w:val="20"/>
                <w:color w:val="auto"/>
              </w:rPr>
            </w:pPr>
            <w:r>
              <w:rPr>
                <w:rFonts w:ascii="Arial" w:cs="Arial" w:eastAsia="Arial" w:hAnsi="Arial"/>
                <w:sz w:val="18"/>
                <w:szCs w:val="18"/>
                <w:color w:val="auto"/>
              </w:rPr>
              <w:t>$ 22.06</w:t>
            </w:r>
          </w:p>
        </w:tc>
        <w:tc>
          <w:tcPr>
            <w:tcW w:w="80" w:type="dxa"/>
            <w:vAlign w:val="bottom"/>
          </w:tcPr>
          <w:p>
            <w:pPr>
              <w:spacing w:after="0"/>
              <w:rPr>
                <w:sz w:val="20"/>
                <w:szCs w:val="20"/>
                <w:color w:val="auto"/>
              </w:rPr>
            </w:pPr>
          </w:p>
        </w:tc>
        <w:tc>
          <w:tcPr>
            <w:tcW w:w="820" w:type="dxa"/>
            <w:vAlign w:val="bottom"/>
            <w:gridSpan w:val="7"/>
          </w:tcPr>
          <w:p>
            <w:pPr>
              <w:jc w:val="right"/>
              <w:ind w:right="240"/>
              <w:spacing w:after="0"/>
              <w:rPr>
                <w:sz w:val="20"/>
                <w:szCs w:val="20"/>
                <w:color w:val="auto"/>
              </w:rPr>
            </w:pPr>
            <w:r>
              <w:rPr>
                <w:rFonts w:ascii="Arial" w:cs="Arial" w:eastAsia="Arial" w:hAnsi="Arial"/>
                <w:sz w:val="18"/>
                <w:szCs w:val="18"/>
                <w:color w:val="auto"/>
              </w:rPr>
              <w:t>$22.59</w:t>
            </w:r>
          </w:p>
        </w:tc>
        <w:tc>
          <w:tcPr>
            <w:tcW w:w="240" w:type="dxa"/>
            <w:vAlign w:val="bottom"/>
          </w:tcPr>
          <w:p>
            <w:pPr>
              <w:spacing w:after="0"/>
              <w:rPr>
                <w:sz w:val="20"/>
                <w:szCs w:val="20"/>
                <w:color w:val="auto"/>
              </w:rPr>
            </w:pP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w w:val="89"/>
              </w:rPr>
              <w:t>$ 22.42</w:t>
            </w:r>
          </w:p>
        </w:tc>
        <w:tc>
          <w:tcPr>
            <w:tcW w:w="2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22.75</w:t>
            </w:r>
          </w:p>
        </w:tc>
        <w:tc>
          <w:tcPr>
            <w:tcW w:w="0" w:type="dxa"/>
            <w:vAlign w:val="bottom"/>
          </w:tcPr>
          <w:p>
            <w:pPr>
              <w:spacing w:after="0"/>
              <w:rPr>
                <w:sz w:val="1"/>
                <w:szCs w:val="1"/>
                <w:color w:val="auto"/>
              </w:rPr>
            </w:pPr>
          </w:p>
        </w:tc>
      </w:tr>
      <w:tr>
        <w:trPr>
          <w:trHeight w:val="377"/>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numbers)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Qtr 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Qtr 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Qtr 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Qtr 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Interest and related portfolio income</w:t>
            </w:r>
          </w:p>
        </w:tc>
        <w:tc>
          <w:tcPr>
            <w:tcW w:w="4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7,451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7,305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$6,475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$6,144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2,889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w w:val="88"/>
              </w:rPr>
              <w:t>2,629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2,093</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1,064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2,705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w w:val="88"/>
              </w:rPr>
              <w:t>3,385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3,157</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per common share at end of each quarter</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 per common share at end of each quarter</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0.20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(0.06)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1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22.70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w w:val="88"/>
              </w:rPr>
              <w:t>22.45</w:t>
            </w:r>
          </w:p>
        </w:tc>
        <w:tc>
          <w:tcPr>
            <w:tcW w:w="100" w:type="dxa"/>
            <w:vAlign w:val="bottom"/>
          </w:tcPr>
          <w:p>
            <w:pPr>
              <w:spacing w:after="0"/>
              <w:rPr>
                <w:sz w:val="20"/>
                <w:szCs w:val="20"/>
                <w:color w:val="auto"/>
              </w:rPr>
            </w:pPr>
          </w:p>
        </w:tc>
        <w:tc>
          <w:tcPr>
            <w:tcW w:w="740" w:type="dxa"/>
            <w:vAlign w:val="bottom"/>
            <w:gridSpan w:val="5"/>
          </w:tcPr>
          <w:p>
            <w:pPr>
              <w:jc w:val="right"/>
              <w:ind w:right="200"/>
              <w:spacing w:after="0"/>
              <w:rPr>
                <w:sz w:val="20"/>
                <w:szCs w:val="20"/>
                <w:color w:val="auto"/>
              </w:rPr>
            </w:pPr>
            <w:r>
              <w:rPr>
                <w:rFonts w:ascii="Arial" w:cs="Arial" w:eastAsia="Arial" w:hAnsi="Arial"/>
                <w:sz w:val="18"/>
                <w:szCs w:val="18"/>
                <w:color w:val="auto"/>
                <w:w w:val="94"/>
              </w:rPr>
              <w:t>$22.00</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numbers)</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500" w:type="dxa"/>
            <w:vAlign w:val="bottom"/>
            <w:gridSpan w:val="3"/>
          </w:tcPr>
          <w:p>
            <w:pPr>
              <w:jc w:val="right"/>
              <w:ind w:right="7"/>
              <w:spacing w:after="0" w:line="142" w:lineRule="exact"/>
              <w:rPr>
                <w:sz w:val="20"/>
                <w:szCs w:val="20"/>
                <w:color w:val="auto"/>
              </w:rPr>
            </w:pPr>
            <w:r>
              <w:rPr>
                <w:rFonts w:ascii="Arial" w:cs="Arial" w:eastAsia="Arial" w:hAnsi="Arial"/>
                <w:sz w:val="14"/>
                <w:szCs w:val="14"/>
                <w:b w:val="1"/>
                <w:bCs w:val="1"/>
                <w:color w:val="auto"/>
              </w:rPr>
              <w:t>Qtr 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7"/>
          </w:tcPr>
          <w:p>
            <w:pPr>
              <w:jc w:val="right"/>
              <w:ind w:right="620"/>
              <w:spacing w:after="0" w:line="142" w:lineRule="exact"/>
              <w:rPr>
                <w:sz w:val="20"/>
                <w:szCs w:val="20"/>
                <w:color w:val="auto"/>
              </w:rPr>
            </w:pPr>
            <w:r>
              <w:rPr>
                <w:rFonts w:ascii="Arial" w:cs="Arial" w:eastAsia="Arial" w:hAnsi="Arial"/>
                <w:sz w:val="14"/>
                <w:szCs w:val="14"/>
                <w:b w:val="1"/>
                <w:bCs w:val="1"/>
                <w:color w:val="auto"/>
              </w:rPr>
              <w:t>Qtr 3</w:t>
            </w:r>
          </w:p>
        </w:tc>
        <w:tc>
          <w:tcPr>
            <w:tcW w:w="100" w:type="dxa"/>
            <w:vAlign w:val="bottom"/>
          </w:tcPr>
          <w:p>
            <w:pPr>
              <w:spacing w:after="0"/>
              <w:rPr>
                <w:sz w:val="12"/>
                <w:szCs w:val="12"/>
                <w:color w:val="auto"/>
              </w:rPr>
            </w:pPr>
          </w:p>
        </w:tc>
        <w:tc>
          <w:tcPr>
            <w:tcW w:w="74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Qtr 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Qtr 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Interest and related portfolio income</w:t>
            </w:r>
          </w:p>
        </w:tc>
        <w:tc>
          <w:tcPr>
            <w:tcW w:w="4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7"/>
              </w:rPr>
              <w:t>$5,687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9"/>
              </w:rPr>
              <w:t>$ 5,801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$ 5,388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6,018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1,525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6"/>
          </w:tcPr>
          <w:p>
            <w:pPr>
              <w:jc w:val="right"/>
              <w:ind w:right="20"/>
              <w:spacing w:after="0"/>
              <w:rPr>
                <w:sz w:val="20"/>
                <w:szCs w:val="20"/>
                <w:color w:val="auto"/>
              </w:rPr>
            </w:pPr>
            <w:r>
              <w:rPr>
                <w:rFonts w:ascii="Arial" w:cs="Arial" w:eastAsia="Arial" w:hAnsi="Arial"/>
                <w:sz w:val="18"/>
                <w:szCs w:val="18"/>
                <w:color w:val="auto"/>
              </w:rPr>
              <w:t>2,407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2,629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2,313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2,236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(1,630)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(2,313)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4"/>
              </w:rPr>
              <w:t>1,330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3,761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3,644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per common share at end of each quarter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0.56</w:t>
            </w:r>
          </w:p>
        </w:tc>
        <w:tc>
          <w:tcPr>
            <w:tcW w:w="2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 per common share at end of each quarter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0.42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(0.34)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(0.49)</w:t>
            </w:r>
          </w:p>
        </w:tc>
        <w:tc>
          <w:tcPr>
            <w:tcW w:w="2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580" w:type="dxa"/>
            <w:vAlign w:val="bottom"/>
            <w:gridSpan w:val="4"/>
          </w:tcPr>
          <w:p>
            <w:pPr>
              <w:spacing w:after="0"/>
              <w:rPr>
                <w:sz w:val="20"/>
                <w:szCs w:val="20"/>
                <w:color w:val="auto"/>
              </w:rPr>
            </w:pPr>
            <w:r>
              <w:rPr>
                <w:rFonts w:ascii="Arial" w:cs="Arial" w:eastAsia="Arial" w:hAnsi="Arial"/>
                <w:sz w:val="18"/>
                <w:szCs w:val="18"/>
                <w:color w:val="auto"/>
              </w:rPr>
              <w:t>$21.08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6"/>
          </w:tcPr>
          <w:p>
            <w:pPr>
              <w:jc w:val="right"/>
              <w:ind w:right="20"/>
              <w:spacing w:after="0"/>
              <w:rPr>
                <w:sz w:val="20"/>
                <w:szCs w:val="20"/>
                <w:color w:val="auto"/>
              </w:rPr>
            </w:pPr>
            <w:r>
              <w:rPr>
                <w:rFonts w:ascii="Arial" w:cs="Arial" w:eastAsia="Arial" w:hAnsi="Arial"/>
                <w:sz w:val="18"/>
                <w:szCs w:val="18"/>
                <w:color w:val="auto"/>
                <w:w w:val="89"/>
              </w:rPr>
              <w:t>$ 20.39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w w:val="89"/>
              </w:rPr>
              <w:t>$ 23.55</w:t>
            </w:r>
          </w:p>
        </w:tc>
        <w:tc>
          <w:tcPr>
            <w:tcW w:w="2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23.48</w:t>
            </w:r>
          </w:p>
        </w:tc>
        <w:tc>
          <w:tcPr>
            <w:tcW w:w="0" w:type="dxa"/>
            <w:vAlign w:val="bottom"/>
          </w:tcPr>
          <w:p>
            <w:pPr>
              <w:spacing w:after="0"/>
              <w:rPr>
                <w:sz w:val="1"/>
                <w:szCs w:val="1"/>
                <w:color w:val="auto"/>
              </w:rPr>
            </w:pPr>
          </w:p>
        </w:tc>
      </w:tr>
      <w:tr>
        <w:trPr>
          <w:trHeight w:val="350"/>
        </w:trPr>
        <w:tc>
          <w:tcPr>
            <w:tcW w:w="2660" w:type="dxa"/>
            <w:vAlign w:val="bottom"/>
          </w:tcPr>
          <w:p>
            <w:pPr>
              <w:spacing w:after="0"/>
              <w:rPr>
                <w:sz w:val="24"/>
                <w:szCs w:val="24"/>
                <w:color w:val="auto"/>
              </w:rPr>
            </w:pPr>
          </w:p>
        </w:tc>
        <w:tc>
          <w:tcPr>
            <w:tcW w:w="4160" w:type="dxa"/>
            <w:vAlign w:val="bottom"/>
          </w:tcPr>
          <w:p>
            <w:pPr>
              <w:ind w:left="2420"/>
              <w:spacing w:after="0"/>
              <w:rPr>
                <w:sz w:val="20"/>
                <w:szCs w:val="20"/>
                <w:color w:val="auto"/>
              </w:rPr>
            </w:pPr>
            <w:r>
              <w:rPr>
                <w:rFonts w:ascii="Arial" w:cs="Arial" w:eastAsia="Arial" w:hAnsi="Arial"/>
                <w:sz w:val="18"/>
                <w:szCs w:val="18"/>
                <w:color w:val="auto"/>
              </w:rPr>
              <w:t>F-33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As described in Note 2 to the consolidated financial statements and notes thereto, we identified errors that impacted the years ended February 28, 2014, February 28, 2013, and February 29, 2012. The corrections for the errors, which we have concluded are immaterial to all prior period consolidated financial statements, are reflected in the consolidated financial statements and selected financial data included in this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Company has evaluated subsequent events through the filing of this Form 10-K and determined that there have been no events that have occurred that would require adjustments to the Company’s disclosures in the consolidated financial statements except for the following:</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March 31, 2016, the Company declared a dividend of $0.41 per share payable on April 27, 2016, to common stockholders of record on April 15, 2016. Shareholders had the option to receive payment of the dividend in cash, or receive shares of common stock, pursuant our DRIP. 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9840" w:type="dxa"/>
            <w:vAlign w:val="bottom"/>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gridSpan w:val="6"/>
          </w:tcPr>
          <w:p>
            <w:pPr>
              <w:ind w:left="1460"/>
              <w:spacing w:after="0"/>
              <w:rPr>
                <w:sz w:val="20"/>
                <w:szCs w:val="20"/>
                <w:color w:val="auto"/>
              </w:rPr>
            </w:pPr>
            <w:r>
              <w:rPr>
                <w:rFonts w:ascii="Arial" w:cs="Arial" w:eastAsia="Arial" w:hAnsi="Arial"/>
                <w:sz w:val="18"/>
                <w:szCs w:val="18"/>
                <w:b w:val="1"/>
                <w:bCs w:val="1"/>
                <w:color w:val="auto"/>
              </w:rPr>
              <w:t>INDEX TO OTHER FINANCIAL STATEMENTS</w:t>
            </w:r>
          </w:p>
        </w:tc>
        <w:tc>
          <w:tcPr>
            <w:tcW w:w="1480" w:type="dxa"/>
            <w:vAlign w:val="bottom"/>
          </w:tcPr>
          <w:p>
            <w:pPr>
              <w:spacing w:after="0"/>
              <w:rPr>
                <w:sz w:val="24"/>
                <w:szCs w:val="24"/>
                <w:color w:val="auto"/>
              </w:rPr>
            </w:pPr>
          </w:p>
        </w:tc>
      </w:tr>
      <w:tr>
        <w:trPr>
          <w:trHeight w:val="432"/>
        </w:trPr>
        <w:tc>
          <w:tcPr>
            <w:tcW w:w="9840" w:type="dxa"/>
            <w:vAlign w:val="bottom"/>
            <w:gridSpan w:val="9"/>
          </w:tcPr>
          <w:p>
            <w:pPr>
              <w:spacing w:after="0"/>
              <w:rPr>
                <w:sz w:val="20"/>
                <w:szCs w:val="20"/>
                <w:color w:val="auto"/>
              </w:rPr>
            </w:pPr>
            <w:r>
              <w:rPr>
                <w:rFonts w:ascii="Arial" w:cs="Arial" w:eastAsia="Arial" w:hAnsi="Arial"/>
                <w:sz w:val="18"/>
                <w:szCs w:val="18"/>
                <w:b w:val="1"/>
                <w:bCs w:val="1"/>
                <w:color w:val="auto"/>
              </w:rPr>
              <w:t>Saratoga Investment Corp. CLO 2013-1, Ltd.</w:t>
            </w:r>
          </w:p>
        </w:tc>
        <w:tc>
          <w:tcPr>
            <w:tcW w:w="1480" w:type="dxa"/>
            <w:vAlign w:val="bottom"/>
          </w:tcPr>
          <w:p>
            <w:pPr>
              <w:spacing w:after="0"/>
              <w:rPr>
                <w:sz w:val="24"/>
                <w:szCs w:val="24"/>
                <w:color w:val="auto"/>
              </w:rPr>
            </w:pPr>
          </w:p>
        </w:tc>
      </w:tr>
      <w:tr>
        <w:trPr>
          <w:trHeight w:val="419"/>
        </w:trPr>
        <w:tc>
          <w:tcPr>
            <w:tcW w:w="9840" w:type="dxa"/>
            <w:vAlign w:val="bottom"/>
            <w:gridSpan w:val="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Report of Independent Auditors</w:t>
              </w:r>
            </w:hyperlink>
          </w:p>
        </w:tc>
        <w:tc>
          <w:tcPr>
            <w:tcW w:w="1480" w:type="dxa"/>
            <w:vAlign w:val="bottom"/>
          </w:tcPr>
          <w:p>
            <w:pPr>
              <w:ind w:left="1240"/>
              <w:spacing w:after="0"/>
              <w:rPr>
                <w:sz w:val="20"/>
                <w:szCs w:val="20"/>
                <w:color w:val="auto"/>
              </w:rPr>
            </w:pPr>
            <w:r>
              <w:rPr>
                <w:rFonts w:ascii="Arial" w:cs="Arial" w:eastAsia="Arial" w:hAnsi="Arial"/>
                <w:sz w:val="18"/>
                <w:szCs w:val="18"/>
                <w:color w:val="auto"/>
                <w:w w:val="78"/>
              </w:rPr>
              <w:t>S-2</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840" w:type="dxa"/>
            <w:vAlign w:val="bottom"/>
            <w:gridSpan w:val="9"/>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Statements of Assets and Liabilities as of February 29, 2016 and February 28, 2015</w:t>
              </w:r>
            </w:hyperlink>
          </w:p>
        </w:tc>
        <w:tc>
          <w:tcPr>
            <w:tcW w:w="1480" w:type="dxa"/>
            <w:vAlign w:val="bottom"/>
          </w:tcPr>
          <w:p>
            <w:pPr>
              <w:ind w:left="1240"/>
              <w:spacing w:after="0" w:line="196" w:lineRule="exact"/>
              <w:rPr>
                <w:sz w:val="20"/>
                <w:szCs w:val="20"/>
                <w:color w:val="auto"/>
              </w:rPr>
            </w:pPr>
            <w:r>
              <w:rPr>
                <w:rFonts w:ascii="Arial" w:cs="Arial" w:eastAsia="Arial" w:hAnsi="Arial"/>
                <w:sz w:val="18"/>
                <w:szCs w:val="18"/>
                <w:color w:val="auto"/>
                <w:w w:val="78"/>
              </w:rPr>
              <w:t>S-3</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Statements of Operations for the years ended February 29, 2016, February 28, 2015 and February 28, 2014</w:t>
              </w:r>
            </w:hyperlink>
          </w:p>
        </w:tc>
        <w:tc>
          <w:tcPr>
            <w:tcW w:w="2080" w:type="dxa"/>
            <w:vAlign w:val="bottom"/>
            <w:gridSpan w:val="3"/>
          </w:tcPr>
          <w:p>
            <w:pPr>
              <w:spacing w:after="0"/>
              <w:rPr>
                <w:sz w:val="17"/>
                <w:szCs w:val="17"/>
                <w:color w:val="auto"/>
              </w:rPr>
            </w:pPr>
          </w:p>
        </w:tc>
        <w:tc>
          <w:tcPr>
            <w:tcW w:w="1480" w:type="dxa"/>
            <w:vAlign w:val="bottom"/>
          </w:tcPr>
          <w:p>
            <w:pPr>
              <w:ind w:left="1240"/>
              <w:spacing w:after="0" w:line="196" w:lineRule="exact"/>
              <w:rPr>
                <w:sz w:val="20"/>
                <w:szCs w:val="20"/>
                <w:color w:val="auto"/>
              </w:rPr>
            </w:pPr>
            <w:r>
              <w:rPr>
                <w:rFonts w:ascii="Arial" w:cs="Arial" w:eastAsia="Arial" w:hAnsi="Arial"/>
                <w:sz w:val="18"/>
                <w:szCs w:val="18"/>
                <w:color w:val="auto"/>
                <w:w w:val="78"/>
              </w:rPr>
              <w:t>S-4</w:t>
            </w:r>
          </w:p>
        </w:tc>
      </w:tr>
      <w:tr>
        <w:trPr>
          <w:trHeight w:val="196"/>
        </w:trPr>
        <w:tc>
          <w:tcPr>
            <w:tcW w:w="9840" w:type="dxa"/>
            <w:vAlign w:val="bottom"/>
            <w:gridSpan w:val="9"/>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Schedules of Investments as of February 29, 2016 and February 28, 2015</w:t>
              </w:r>
            </w:hyperlink>
          </w:p>
        </w:tc>
        <w:tc>
          <w:tcPr>
            <w:tcW w:w="1480" w:type="dxa"/>
            <w:vAlign w:val="bottom"/>
          </w:tcPr>
          <w:p>
            <w:pPr>
              <w:ind w:left="1240"/>
              <w:spacing w:after="0" w:line="196" w:lineRule="exact"/>
              <w:rPr>
                <w:sz w:val="20"/>
                <w:szCs w:val="20"/>
                <w:color w:val="auto"/>
              </w:rPr>
            </w:pPr>
            <w:r>
              <w:rPr>
                <w:rFonts w:ascii="Arial" w:cs="Arial" w:eastAsia="Arial" w:hAnsi="Arial"/>
                <w:sz w:val="18"/>
                <w:szCs w:val="18"/>
                <w:color w:val="auto"/>
                <w:w w:val="78"/>
              </w:rPr>
              <w:t>S-5</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840" w:type="dxa"/>
            <w:vAlign w:val="bottom"/>
            <w:gridSpan w:val="9"/>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Statements of Changes in Net Assets for the years ended February 29, 2016, February 28, 2015 and February 28, 2014</w:t>
              </w:r>
            </w:hyperlink>
          </w:p>
        </w:tc>
        <w:tc>
          <w:tcPr>
            <w:tcW w:w="1480" w:type="dxa"/>
            <w:vAlign w:val="bottom"/>
          </w:tcPr>
          <w:p>
            <w:pPr>
              <w:ind w:left="1240"/>
              <w:spacing w:after="0" w:line="196" w:lineRule="exact"/>
              <w:rPr>
                <w:sz w:val="20"/>
                <w:szCs w:val="20"/>
                <w:color w:val="auto"/>
              </w:rPr>
            </w:pPr>
            <w:r>
              <w:rPr>
                <w:rFonts w:ascii="Arial" w:cs="Arial" w:eastAsia="Arial" w:hAnsi="Arial"/>
                <w:sz w:val="18"/>
                <w:szCs w:val="18"/>
                <w:color w:val="auto"/>
                <w:w w:val="78"/>
              </w:rPr>
              <w:t>S-7</w:t>
            </w:r>
          </w:p>
        </w:tc>
      </w:tr>
      <w:tr>
        <w:trPr>
          <w:trHeight w:val="196"/>
        </w:trPr>
        <w:tc>
          <w:tcPr>
            <w:tcW w:w="858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135">
              <w:r>
                <w:rPr>
                  <w:rFonts w:ascii="Arial" w:cs="Arial" w:eastAsia="Arial" w:hAnsi="Arial"/>
                  <w:sz w:val="18"/>
                  <w:szCs w:val="18"/>
                  <w:color w:val="0000EE"/>
                  <w:w w:val="98"/>
                </w:rPr>
                <w:t>Statements of Cash Flows for the years ended February 29, 2016, February 28, 2015 and February 28, 2014</w:t>
              </w:r>
            </w:hyperlink>
          </w:p>
        </w:tc>
        <w:tc>
          <w:tcPr>
            <w:tcW w:w="1260" w:type="dxa"/>
            <w:vAlign w:val="bottom"/>
          </w:tcPr>
          <w:p>
            <w:pPr>
              <w:spacing w:after="0"/>
              <w:rPr>
                <w:sz w:val="17"/>
                <w:szCs w:val="17"/>
                <w:color w:val="auto"/>
              </w:rPr>
            </w:pPr>
          </w:p>
        </w:tc>
        <w:tc>
          <w:tcPr>
            <w:tcW w:w="1480" w:type="dxa"/>
            <w:vAlign w:val="bottom"/>
          </w:tcPr>
          <w:p>
            <w:pPr>
              <w:ind w:left="1240"/>
              <w:spacing w:after="0" w:line="196" w:lineRule="exact"/>
              <w:rPr>
                <w:sz w:val="20"/>
                <w:szCs w:val="20"/>
                <w:color w:val="auto"/>
              </w:rPr>
            </w:pPr>
            <w:r>
              <w:rPr>
                <w:rFonts w:ascii="Arial" w:cs="Arial" w:eastAsia="Arial" w:hAnsi="Arial"/>
                <w:sz w:val="18"/>
                <w:szCs w:val="18"/>
                <w:color w:val="auto"/>
                <w:w w:val="78"/>
              </w:rPr>
              <w:t>S-8</w:t>
            </w:r>
          </w:p>
        </w:tc>
      </w:tr>
      <w:tr>
        <w:trPr>
          <w:trHeight w:val="196"/>
        </w:trPr>
        <w:tc>
          <w:tcPr>
            <w:tcW w:w="7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Notes to Financial Statements</w:t>
              </w:r>
            </w:hyperlink>
          </w:p>
        </w:tc>
        <w:tc>
          <w:tcPr>
            <w:tcW w:w="2040" w:type="dxa"/>
            <w:vAlign w:val="bottom"/>
            <w:gridSpan w:val="2"/>
          </w:tcPr>
          <w:p>
            <w:pPr>
              <w:spacing w:after="0"/>
              <w:rPr>
                <w:sz w:val="17"/>
                <w:szCs w:val="17"/>
                <w:color w:val="auto"/>
              </w:rPr>
            </w:pPr>
          </w:p>
        </w:tc>
        <w:tc>
          <w:tcPr>
            <w:tcW w:w="1480" w:type="dxa"/>
            <w:vAlign w:val="bottom"/>
          </w:tcPr>
          <w:p>
            <w:pPr>
              <w:ind w:left="1240"/>
              <w:spacing w:after="0" w:line="196" w:lineRule="exact"/>
              <w:rPr>
                <w:sz w:val="20"/>
                <w:szCs w:val="20"/>
                <w:color w:val="auto"/>
              </w:rPr>
            </w:pPr>
            <w:r>
              <w:rPr>
                <w:rFonts w:ascii="Arial" w:cs="Arial" w:eastAsia="Arial" w:hAnsi="Arial"/>
                <w:sz w:val="18"/>
                <w:szCs w:val="18"/>
                <w:color w:val="auto"/>
                <w:w w:val="78"/>
              </w:rPr>
              <w:t>S-9</w:t>
            </w:r>
          </w:p>
        </w:tc>
      </w:tr>
      <w:tr>
        <w:trPr>
          <w:trHeight w:val="20"/>
        </w:trPr>
        <w:tc>
          <w:tcPr>
            <w:tcW w:w="1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22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accordance with certain SEC rules, Saratoga Investment Corp. (the “Company”) is providing additional information regarding one of its portfolio companies, Saratoga Investment Corp. CLO 2013-1, Ltd. (“Saratoga CLO”). The Company owns 100% of the subordinated notes of the Saratoga CLO. The additional financial information regarding the Saratoga CLO does not directly impact the Company’s financial position, results of operations or cash flows.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20"/>
          </w:cols>
          <w:pgMar w:left="240" w:top="446"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Manager and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Saratoga Investment Corp. CLO 2013-1, Ltd.</w:t>
      </w:r>
    </w:p>
    <w:p>
      <w:pPr>
        <w:spacing w:after="0" w:line="21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We have audited the accompanying financial statements of Saratoga Investment Corp. CLO 2013-1, Ltd., which comprise the statements of assets and liabilities, including the schedules of investments, as of February 29, 2016 and February 28, 2015, and the statements of operations, changes in net assets and cash flows for the years ended February 29, 2016, February 28, 2015 and February 28, 2014, and the related notes to the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Saratoga Investment Corp. CLO 2013-1, Ltd. at February 29, 2016 and February 28, 2015, and the results of its operations, changes in its net assets and its cash flows for the years ended February 29, 2016, February 28, 2015 and February 28, 2014, in conformity with U.S. generally accepted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368"/>
              <w:spacing w:after="0" w:line="119" w:lineRule="exact"/>
              <w:rPr>
                <w:sz w:val="20"/>
                <w:szCs w:val="20"/>
                <w:color w:val="auto"/>
              </w:rPr>
            </w:pPr>
            <w:r>
              <w:rPr>
                <w:rFonts w:ascii="Arial" w:cs="Arial" w:eastAsia="Arial" w:hAnsi="Arial"/>
                <w:sz w:val="13"/>
                <w:szCs w:val="13"/>
                <w:b w:val="1"/>
                <w:bCs w:val="1"/>
                <w:color w:val="auto"/>
              </w:rPr>
              <w:t>February 29,</w:t>
            </w:r>
          </w:p>
        </w:tc>
        <w:tc>
          <w:tcPr>
            <w:tcW w:w="80" w:type="dxa"/>
            <w:vAlign w:val="bottom"/>
          </w:tcPr>
          <w:p>
            <w:pPr>
              <w:spacing w:after="0"/>
              <w:rPr>
                <w:sz w:val="10"/>
                <w:szCs w:val="10"/>
                <w:color w:val="auto"/>
              </w:rPr>
            </w:pPr>
          </w:p>
        </w:tc>
        <w:tc>
          <w:tcPr>
            <w:tcW w:w="9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Loans (amortized cost of $300,112,538 and $295,193,588, 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284,652,926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294,621,817</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Fair Value Other/Structured finance securities (amortized cost of $3,531,218 and $2,566,752, respectively)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 (amortized cost of $303,643,756 and $297,760,340,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284,844,789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295,239,268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2,349,633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5,831,797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open trades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2,119,687</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1,698,562</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291,584,815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304,481,389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631,886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Payable from open trades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7,123,854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5,214,331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base management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85,008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Accrued subordinated management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85,008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Class A-1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170,000,000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Discount on Class A-1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(1,319,258)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(1,495,802)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Class A-2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20,000,000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Discount on Class A-2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(136,750)</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(155,050)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Class B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44,800,000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44,800,000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Discount on Class B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(888,328)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(1,007,205)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Class C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16,000,000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Discount on Class C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(553,078)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(627,091)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Class D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14,000,000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Discount on Class D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(717,938)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(814,013)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Class E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13,100,000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Discount on Class E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(1,353,521)</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(1,534,650)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Class F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Discount on Class F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(492,300)</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(558,180)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SIC CLO 2013-1, Ltd.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(1,716,554)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(1,941,595)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Subordinated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30,000,000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30,000,000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313,142,183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310,284,545</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Commitments and contingencies (See Note 6)</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w w:val="97"/>
              </w:rPr>
              <w:t>Ordinary equity, par value $1.00, 250 ordinary shares authorized, 250 and 250 issued and outstanding, respectively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rPr>
              <w:t>250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(5,803,406)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(3,343,488)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w w:val="92"/>
              </w:rPr>
              <w:t>(15,754,212)</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(2,459,918)</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2"/>
              </w:rPr>
              <w:t>(21,557,368)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(5,803,156)</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291,584,815</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304,481,389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 2016</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 2015</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February 28, 2014</w:t>
            </w: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14,372,377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13,091,019</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15,486,413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316,187</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188,180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945,441</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 income</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14,689,777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13,280,645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16,438,646</w:t>
            </w: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11,696,757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9,635,136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11,678,514</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292,754</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219,293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433,073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23,742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175,283</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Base management fee</w:t>
            </w: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747,390</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760,102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517,563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747,390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760,102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1,257,578</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Trustee expenses</w:t>
            </w: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121,299</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123,999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83,221</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955,858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953,862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994,602</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3,442,442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14,585,190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12,486,797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18,582,276</w:t>
            </w:r>
          </w:p>
        </w:tc>
      </w:tr>
      <w:tr>
        <w:trPr>
          <w:trHeight w:val="230"/>
        </w:trPr>
        <w:tc>
          <w:tcPr>
            <w:tcW w:w="20" w:type="dxa"/>
            <w:vAlign w:val="bottom"/>
          </w:tcPr>
          <w:p>
            <w:pPr>
              <w:spacing w:after="0"/>
              <w:rPr>
                <w:sz w:val="20"/>
                <w:szCs w:val="20"/>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NET INVESTMENT INCOME (LOSS)</w:t>
            </w: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104,587</w:t>
            </w:r>
          </w:p>
        </w:tc>
        <w:tc>
          <w:tcPr>
            <w:tcW w:w="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793,848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(2,143,630)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419,096</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620,817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(8,815,296)</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(16,277,895)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(3,874,583)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6,776,871</w:t>
            </w:r>
          </w:p>
        </w:tc>
      </w:tr>
      <w:tr>
        <w:trPr>
          <w:trHeight w:val="230"/>
        </w:trPr>
        <w:tc>
          <w:tcPr>
            <w:tcW w:w="20" w:type="dxa"/>
            <w:vAlign w:val="bottom"/>
          </w:tcPr>
          <w:p>
            <w:pPr>
              <w:spacing w:after="0"/>
              <w:rPr>
                <w:sz w:val="20"/>
                <w:szCs w:val="20"/>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Net loss on investments</w:t>
            </w: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(15,858,799)</w:t>
            </w:r>
          </w:p>
        </w:tc>
        <w:tc>
          <w:tcPr>
            <w:tcW w:w="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(3,253,766)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(2,038,425)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(15,754,212)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(2,459,918)</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(4,182,055)</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Principal/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7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2"/>
                <w:szCs w:val="12"/>
                <w:color w:val="auto"/>
              </w:rPr>
            </w:pPr>
          </w:p>
        </w:tc>
        <w:tc>
          <w:tcPr>
            <w:tcW w:w="16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Asset Name</w:t>
            </w:r>
          </w:p>
        </w:tc>
        <w:tc>
          <w:tcPr>
            <w:tcW w:w="120" w:type="dxa"/>
            <w:vAlign w:val="bottom"/>
            <w:vMerge w:val="restart"/>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1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Management II LLC</w:t>
            </w: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1,673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A-2 Preferred Shares</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18,975</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1,897,538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964,466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190,095</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24 Hour Holdings III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5/28/2021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488,586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455,154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Acosta Holdco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Media</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B1</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9/26/2021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1,972,936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1,959,834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1,855,389</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Initial</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4/29/2022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495,228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495,221</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Delayed Draw 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7/25/2021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2,471,231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2,468,039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2,342,826</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AgroFresh</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Food Services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7/30/2021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1,990,000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1,980,704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1,935,275</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Aegis Toxicology Science Corporation</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985,000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797,850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4/16/2021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398,056</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396,681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396,066</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Albertson’s LLC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Retailers (Except Food and Drugs)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B-4</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8/25/2021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3,384,425</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3,367,410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3,302,623</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Alere Inc. (fka IM US Holdings,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6/20/2022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927,265</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925,091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925,365</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Alion Science T/L B (1st Lien)</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8/19/2021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2,985,000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2,971,074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2,824,555</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Alliance HealthCare T/L B</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6/3/2019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994,856</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990,161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906,981</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Alliant Holdings T/L B (1st Lien)</w:t>
            </w:r>
          </w:p>
        </w:tc>
        <w:tc>
          <w:tcPr>
            <w:tcW w:w="22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 &amp;</w:t>
            </w: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B (First Lien)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8/12/2022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995,000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992,679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960,921</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Alvogen Pharma US,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4/4/2022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480,447</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478,240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456,425</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Beacon Advisors,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4/30/2022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248,749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247,612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244,190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Food Products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LC-2 Facility</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0.29%</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7/26/2016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9,447</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9,305</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Food Products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LC-3 Facility</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0.29%</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7/26/2016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Food Products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U.S. Term F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3,150,423</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3,150,423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3,126,133</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 Asurion Corporation)</w:t>
            </w:r>
          </w:p>
        </w:tc>
        <w:tc>
          <w:tcPr>
            <w:tcW w:w="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Incremental Tranche B-1</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Insurance</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5/24/2019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2,596,480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2,573,245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2,441,237</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Asurion, LLC (fka Asurion Corporation)</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Insurance</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B4 (First Lein)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8/4/2022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2,478,125</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2,466,303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2,270,582</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Auction.com</w:t>
            </w:r>
          </w:p>
        </w:tc>
        <w:tc>
          <w:tcPr>
            <w:tcW w:w="22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 &amp;</w:t>
            </w: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5/13/2019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2,522,992</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2,522,722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2,491,455</w:t>
            </w:r>
          </w:p>
        </w:tc>
        <w:tc>
          <w:tcPr>
            <w:tcW w:w="0" w:type="dxa"/>
            <w:vAlign w:val="bottom"/>
          </w:tcPr>
          <w:p>
            <w:pPr>
              <w:spacing w:after="0"/>
              <w:rPr>
                <w:sz w:val="1"/>
                <w:szCs w:val="1"/>
                <w:color w:val="auto"/>
              </w:rPr>
            </w:pPr>
          </w:p>
        </w:tc>
      </w:tr>
      <w:tr>
        <w:trPr>
          <w:trHeight w:val="130"/>
        </w:trPr>
        <w:tc>
          <w:tcPr>
            <w:tcW w:w="2500" w:type="dxa"/>
            <w:vAlign w:val="bottom"/>
            <w:gridSpan w:val="2"/>
          </w:tcPr>
          <w:p>
            <w:pPr>
              <w:spacing w:after="0" w:line="130" w:lineRule="exact"/>
              <w:rPr>
                <w:sz w:val="20"/>
                <w:szCs w:val="20"/>
                <w:color w:val="auto"/>
              </w:rPr>
            </w:pPr>
            <w:r>
              <w:rPr>
                <w:rFonts w:ascii="Arial" w:cs="Arial" w:eastAsia="Arial" w:hAnsi="Arial"/>
                <w:sz w:val="14"/>
                <w:szCs w:val="14"/>
                <w:color w:val="auto"/>
                <w:w w:val="97"/>
              </w:rPr>
              <w:t>Avantor Performance Materials Holdings,</w:t>
            </w:r>
          </w:p>
        </w:tc>
        <w:tc>
          <w:tcPr>
            <w:tcW w:w="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gridSpan w:val="2"/>
          </w:tcPr>
          <w:p>
            <w:pPr>
              <w:spacing w:after="0"/>
              <w:rPr>
                <w:sz w:val="20"/>
                <w:szCs w:val="20"/>
                <w:color w:val="auto"/>
              </w:rPr>
            </w:pPr>
            <w:r>
              <w:rPr>
                <w:rFonts w:ascii="Arial" w:cs="Arial" w:eastAsia="Arial" w:hAnsi="Arial"/>
                <w:sz w:val="14"/>
                <w:szCs w:val="14"/>
                <w:color w:val="auto"/>
              </w:rPr>
              <w:t>Inc.</w:t>
            </w:r>
          </w:p>
        </w:tc>
        <w:tc>
          <w:tcPr>
            <w:tcW w:w="2240" w:type="dxa"/>
            <w:vAlign w:val="bottom"/>
            <w:gridSpan w:val="3"/>
          </w:tcPr>
          <w:p>
            <w:pPr>
              <w:ind w:left="40"/>
              <w:spacing w:after="0"/>
              <w:rPr>
                <w:sz w:val="20"/>
                <w:szCs w:val="20"/>
                <w:color w:val="auto"/>
              </w:rPr>
            </w:pPr>
            <w:r>
              <w:rPr>
                <w:rFonts w:ascii="Arial" w:cs="Arial" w:eastAsia="Arial" w:hAnsi="Arial"/>
                <w:sz w:val="14"/>
                <w:szCs w:val="14"/>
                <w:color w:val="auto"/>
              </w:rPr>
              <w:t>Chemicals/Plastics</w:t>
            </w:r>
          </w:p>
        </w:tc>
        <w:tc>
          <w:tcPr>
            <w:tcW w:w="1780" w:type="dxa"/>
            <w:vAlign w:val="bottom"/>
            <w:gridSpan w:val="2"/>
          </w:tcPr>
          <w:p>
            <w:pPr>
              <w:spacing w:after="0"/>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6/24/2017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2,156,953</w:t>
            </w: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2,153,896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2,135,384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Bass Pro Group, LLC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Retailers (Except Food and Drugs)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1,488,750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1,485,895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1,397,564</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3/19/2021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491,249</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489,361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477,127</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E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1,314,499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1,305,069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1,291,903</w:t>
            </w:r>
          </w:p>
        </w:tc>
        <w:tc>
          <w:tcPr>
            <w:tcW w:w="0" w:type="dxa"/>
            <w:vAlign w:val="bottom"/>
          </w:tcPr>
          <w:p>
            <w:pPr>
              <w:spacing w:after="0"/>
              <w:rPr>
                <w:sz w:val="1"/>
                <w:szCs w:val="1"/>
                <w:color w:val="auto"/>
              </w:rPr>
            </w:pPr>
          </w:p>
        </w:tc>
      </w:tr>
      <w:tr>
        <w:trPr>
          <w:trHeight w:val="130"/>
        </w:trPr>
        <w:tc>
          <w:tcPr>
            <w:tcW w:w="2500" w:type="dxa"/>
            <w:vAlign w:val="bottom"/>
            <w:gridSpan w:val="2"/>
          </w:tcPr>
          <w:p>
            <w:pPr>
              <w:spacing w:after="0" w:line="130" w:lineRule="exact"/>
              <w:rPr>
                <w:sz w:val="20"/>
                <w:szCs w:val="20"/>
                <w:color w:val="auto"/>
              </w:rPr>
            </w:pPr>
            <w:r>
              <w:rPr>
                <w:rFonts w:ascii="Arial" w:cs="Arial" w:eastAsia="Arial" w:hAnsi="Arial"/>
                <w:sz w:val="14"/>
                <w:szCs w:val="14"/>
                <w:color w:val="auto"/>
              </w:rPr>
              <w:t>BJ’s Wholesale Club, Inc.</w:t>
            </w:r>
          </w:p>
        </w:tc>
        <w:tc>
          <w:tcPr>
            <w:tcW w:w="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spacing w:after="0" w:line="130" w:lineRule="exact"/>
              <w:rPr>
                <w:sz w:val="20"/>
                <w:szCs w:val="20"/>
                <w:color w:val="auto"/>
              </w:rPr>
            </w:pPr>
            <w:r>
              <w:rPr>
                <w:rFonts w:ascii="Arial" w:cs="Arial" w:eastAsia="Arial" w:hAnsi="Arial"/>
                <w:sz w:val="14"/>
                <w:szCs w:val="14"/>
                <w:color w:val="auto"/>
              </w:rPr>
              <w:t>New 2013 (November)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Replacement Loan (First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40" w:type="dxa"/>
            <w:vAlign w:val="bottom"/>
            <w:gridSpan w:val="3"/>
          </w:tcPr>
          <w:p>
            <w:pPr>
              <w:ind w:left="40"/>
              <w:spacing w:after="0"/>
              <w:rPr>
                <w:sz w:val="20"/>
                <w:szCs w:val="20"/>
                <w:color w:val="auto"/>
              </w:rPr>
            </w:pPr>
            <w:r>
              <w:rPr>
                <w:rFonts w:ascii="Arial" w:cs="Arial" w:eastAsia="Arial" w:hAnsi="Arial"/>
                <w:sz w:val="14"/>
                <w:szCs w:val="14"/>
                <w:color w:val="auto"/>
              </w:rPr>
              <w:t>Food/Drug Retailers</w:t>
            </w:r>
          </w:p>
        </w:tc>
        <w:tc>
          <w:tcPr>
            <w:tcW w:w="1780" w:type="dxa"/>
            <w:vAlign w:val="bottom"/>
            <w:gridSpan w:val="2"/>
          </w:tcPr>
          <w:p>
            <w:pPr>
              <w:spacing w:after="0"/>
              <w:rPr>
                <w:sz w:val="20"/>
                <w:szCs w:val="20"/>
                <w:color w:val="auto"/>
              </w:rPr>
            </w:pPr>
            <w:r>
              <w:rPr>
                <w:rFonts w:ascii="Arial" w:cs="Arial" w:eastAsia="Arial" w:hAnsi="Arial"/>
                <w:sz w:val="14"/>
                <w:szCs w:val="14"/>
                <w:color w:val="auto"/>
              </w:rPr>
              <w:t>Lien)</w:t>
            </w:r>
          </w:p>
        </w:tc>
        <w:tc>
          <w:tcPr>
            <w:tcW w:w="500" w:type="dxa"/>
            <w:vAlign w:val="bottom"/>
            <w:gridSpan w:val="2"/>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9/26/2019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1,476,196</w:t>
            </w: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1,475,409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1,401,161</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Coat Systems</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Technology</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5/20/2022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995,159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945,131</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Technology</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9/10/2020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1,979,798</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1,926,080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1,571,821</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Brickman Group Holdings, Inc.</w:t>
            </w:r>
          </w:p>
        </w:tc>
        <w:tc>
          <w:tcPr>
            <w:tcW w:w="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Initial Term Loan (First</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Brokers/Dealers/Investment Houses</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12/18/2020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1,476,212</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1,464,327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1,426,390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Brock Holdings III,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3/16/2017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1,917,168</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1,924,101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1,802,138</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Burlington Coat Factory Warehouse</w:t>
            </w:r>
          </w:p>
        </w:tc>
        <w:tc>
          <w:tcPr>
            <w:tcW w:w="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Corporation</w:t>
            </w: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Retailers (Except Food and Drugs)</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B-2 Loan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8/13/2021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1,861,667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1,853,426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1,845,843</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BWAY Holding Company</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8/14/2020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985,000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976,335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930,826</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Caesars Entertainment Corp.</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B-7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13.25%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991,037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814,656</w:t>
            </w:r>
          </w:p>
        </w:tc>
        <w:tc>
          <w:tcPr>
            <w:tcW w:w="0" w:type="dxa"/>
            <w:vAlign w:val="bottom"/>
          </w:tcPr>
          <w:p>
            <w:pPr>
              <w:spacing w:after="0"/>
              <w:rPr>
                <w:sz w:val="1"/>
                <w:szCs w:val="1"/>
                <w:color w:val="auto"/>
              </w:rPr>
            </w:pPr>
          </w:p>
        </w:tc>
      </w:tr>
      <w:tr>
        <w:trPr>
          <w:trHeight w:val="130"/>
        </w:trPr>
        <w:tc>
          <w:tcPr>
            <w:tcW w:w="2500" w:type="dxa"/>
            <w:vAlign w:val="bottom"/>
            <w:gridSpan w:val="2"/>
          </w:tcPr>
          <w:p>
            <w:pPr>
              <w:spacing w:after="0" w:line="130" w:lineRule="exact"/>
              <w:rPr>
                <w:sz w:val="20"/>
                <w:szCs w:val="20"/>
                <w:color w:val="auto"/>
              </w:rPr>
            </w:pPr>
            <w:r>
              <w:rPr>
                <w:rFonts w:ascii="Arial" w:cs="Arial" w:eastAsia="Arial" w:hAnsi="Arial"/>
                <w:sz w:val="14"/>
                <w:szCs w:val="14"/>
                <w:color w:val="auto"/>
              </w:rPr>
              <w:t>Camp International Holding Company</w:t>
            </w:r>
          </w:p>
        </w:tc>
        <w:tc>
          <w:tcPr>
            <w:tcW w:w="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spacing w:after="0" w:line="130" w:lineRule="exact"/>
              <w:rPr>
                <w:sz w:val="20"/>
                <w:szCs w:val="20"/>
                <w:color w:val="auto"/>
              </w:rPr>
            </w:pPr>
            <w:r>
              <w:rPr>
                <w:rFonts w:ascii="Arial" w:cs="Arial" w:eastAsia="Arial" w:hAnsi="Arial"/>
                <w:sz w:val="14"/>
                <w:szCs w:val="14"/>
                <w:color w:val="auto"/>
              </w:rPr>
              <w:t>2013 Replacement Term</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40" w:type="dxa"/>
            <w:vAlign w:val="bottom"/>
            <w:gridSpan w:val="3"/>
          </w:tcPr>
          <w:p>
            <w:pPr>
              <w:ind w:left="40"/>
              <w:spacing w:after="0"/>
              <w:rPr>
                <w:sz w:val="20"/>
                <w:szCs w:val="20"/>
                <w:color w:val="auto"/>
              </w:rPr>
            </w:pPr>
            <w:r>
              <w:rPr>
                <w:rFonts w:ascii="Arial" w:cs="Arial" w:eastAsia="Arial" w:hAnsi="Arial"/>
                <w:sz w:val="14"/>
                <w:szCs w:val="14"/>
                <w:color w:val="auto"/>
              </w:rPr>
              <w:t>Aerospace and Defense</w:t>
            </w:r>
          </w:p>
        </w:tc>
        <w:tc>
          <w:tcPr>
            <w:tcW w:w="1780" w:type="dxa"/>
            <w:vAlign w:val="bottom"/>
            <w:gridSpan w:val="2"/>
          </w:tcPr>
          <w:p>
            <w:pPr>
              <w:spacing w:after="0"/>
              <w:rPr>
                <w:sz w:val="20"/>
                <w:szCs w:val="20"/>
                <w:color w:val="auto"/>
              </w:rPr>
            </w:pPr>
            <w:r>
              <w:rPr>
                <w:rFonts w:ascii="Arial" w:cs="Arial" w:eastAsia="Arial" w:hAnsi="Arial"/>
                <w:sz w:val="14"/>
                <w:szCs w:val="14"/>
                <w:color w:val="auto"/>
              </w:rPr>
              <w:t>Loan (First Lien)</w:t>
            </w:r>
          </w:p>
        </w:tc>
        <w:tc>
          <w:tcPr>
            <w:tcW w:w="500" w:type="dxa"/>
            <w:vAlign w:val="bottom"/>
            <w:gridSpan w:val="2"/>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5/31/2019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1,940,113</w:t>
            </w: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1,940,984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1,806,730</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Capital Automotive L.P.</w:t>
            </w:r>
          </w:p>
        </w:tc>
        <w:tc>
          <w:tcPr>
            <w:tcW w:w="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Tranche B-1 Term Loan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Conglomerate</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Facility</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2,051,828</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2,055,060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2,044,564</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Drugs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Initial Term B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5/20/2021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492,501</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490,549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487,271</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Cengage Learning Acquisitions,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Publishing</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3/31/2020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2,647,871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2,670,807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2,539,758</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w w:val="97"/>
              </w:rPr>
              <w:t>Charter Communications Operating,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Cable and Satellite Television</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F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12/31/2020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2,628,783</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2,621,343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2,566,823</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CHS/Community Health Systems,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G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12/31/2019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1,022,569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994,876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974,212</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CHS/Community Health Systems,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H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1,881,500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1,828,566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1,785,920</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2/28/2018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298,828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297,362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295,840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CITGO Petroleum Corporation</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Oil &amp; Gas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7/29/2021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1,984,975</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1,962,423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1,865,876</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 Sales &amp; Leasing,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10/24/2022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1,990,000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1,978,594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1,847,596</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CommScope,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12/29/2022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497,568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494,176</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Consolidated Aerospace Manufacturing,</w:t>
            </w:r>
          </w:p>
        </w:tc>
        <w:tc>
          <w:tcPr>
            <w:tcW w:w="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Aerospace and Defense</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(First Lien)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8/11/2022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1,437,500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1,430,556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1,329,688</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Concordia Healthcare Corp</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10/21/2021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2,000,000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1,894,483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CPI Acquisition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Technology</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8/17/2022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1,436,782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1,415,977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1,396,667</w:t>
            </w:r>
          </w:p>
        </w:tc>
        <w:tc>
          <w:tcPr>
            <w:tcW w:w="0" w:type="dxa"/>
            <w:vAlign w:val="bottom"/>
          </w:tcPr>
          <w:p>
            <w:pPr>
              <w:spacing w:after="0"/>
              <w:rPr>
                <w:sz w:val="1"/>
                <w:szCs w:val="1"/>
                <w:color w:val="auto"/>
              </w:rPr>
            </w:pPr>
          </w:p>
        </w:tc>
      </w:tr>
      <w:tr>
        <w:trPr>
          <w:trHeight w:val="130"/>
        </w:trPr>
        <w:tc>
          <w:tcPr>
            <w:tcW w:w="2500" w:type="dxa"/>
            <w:vAlign w:val="bottom"/>
            <w:gridSpan w:val="2"/>
          </w:tcPr>
          <w:p>
            <w:pPr>
              <w:spacing w:after="0" w:line="130" w:lineRule="exact"/>
              <w:rPr>
                <w:sz w:val="20"/>
                <w:szCs w:val="20"/>
                <w:color w:val="auto"/>
              </w:rPr>
            </w:pPr>
            <w:r>
              <w:rPr>
                <w:rFonts w:ascii="Arial" w:cs="Arial" w:eastAsia="Arial" w:hAnsi="Arial"/>
                <w:sz w:val="14"/>
                <w:szCs w:val="14"/>
                <w:color w:val="auto"/>
              </w:rPr>
              <w:t>CPI International Acquisition, Inc. (f/k/a</w:t>
            </w:r>
          </w:p>
        </w:tc>
        <w:tc>
          <w:tcPr>
            <w:tcW w:w="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gridSpan w:val="2"/>
          </w:tcPr>
          <w:p>
            <w:pPr>
              <w:spacing w:after="0"/>
              <w:rPr>
                <w:sz w:val="20"/>
                <w:szCs w:val="20"/>
                <w:color w:val="auto"/>
              </w:rPr>
            </w:pPr>
            <w:r>
              <w:rPr>
                <w:rFonts w:ascii="Arial" w:cs="Arial" w:eastAsia="Arial" w:hAnsi="Arial"/>
                <w:sz w:val="14"/>
                <w:szCs w:val="14"/>
                <w:color w:val="auto"/>
              </w:rPr>
              <w:t>Catalyst Holdings, Inc.)</w:t>
            </w:r>
          </w:p>
        </w:tc>
        <w:tc>
          <w:tcPr>
            <w:tcW w:w="2240" w:type="dxa"/>
            <w:vAlign w:val="bottom"/>
            <w:gridSpan w:val="3"/>
          </w:tcPr>
          <w:p>
            <w:pPr>
              <w:ind w:left="40"/>
              <w:spacing w:after="0"/>
              <w:rPr>
                <w:sz w:val="20"/>
                <w:szCs w:val="20"/>
                <w:color w:val="auto"/>
              </w:rPr>
            </w:pPr>
            <w:r>
              <w:rPr>
                <w:rFonts w:ascii="Arial" w:cs="Arial" w:eastAsia="Arial" w:hAnsi="Arial"/>
                <w:sz w:val="14"/>
                <w:szCs w:val="14"/>
                <w:color w:val="auto"/>
              </w:rPr>
              <w:t>Electronics/Electric</w:t>
            </w:r>
          </w:p>
        </w:tc>
        <w:tc>
          <w:tcPr>
            <w:tcW w:w="1780" w:type="dxa"/>
            <w:vAlign w:val="bottom"/>
            <w:gridSpan w:val="2"/>
          </w:tcPr>
          <w:p>
            <w:pPr>
              <w:spacing w:after="0"/>
              <w:rPr>
                <w:sz w:val="20"/>
                <w:szCs w:val="20"/>
                <w:color w:val="auto"/>
              </w:rPr>
            </w:pPr>
            <w:r>
              <w:rPr>
                <w:rFonts w:ascii="Arial" w:cs="Arial" w:eastAsia="Arial" w:hAnsi="Arial"/>
                <w:sz w:val="14"/>
                <w:szCs w:val="14"/>
                <w:color w:val="auto"/>
              </w:rPr>
              <w:t>Term B Loan</w:t>
            </w:r>
          </w:p>
        </w:tc>
        <w:tc>
          <w:tcPr>
            <w:tcW w:w="500" w:type="dxa"/>
            <w:vAlign w:val="bottom"/>
            <w:gridSpan w:val="2"/>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11/17/2017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1,564,182</w:t>
            </w: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1,564,182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1,501,615</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Crosby US Acquisition Corp.</w:t>
            </w:r>
          </w:p>
        </w:tc>
        <w:tc>
          <w:tcPr>
            <w:tcW w:w="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Initial Term Loan (First</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Industrial Equipment</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11/23/2020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735,000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734,245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536,550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w w:val="97"/>
              </w:rPr>
              <w:t>CT Technologies Intermediate Hldgs,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1,485,038</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1,471,665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1,433,061</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Conglomerate</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Dollar Loan (First Lien)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12/19/2017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771,625</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742,910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721,469</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Conglomerate</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Dollar Loan (Second Lien)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6/19/2018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754,065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734,214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Cumulus Media Holdings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Broadcast Radio and Television</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12/23/2020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466,690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304,973</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DAE Aviation (StandardAero)</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7/7/2022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1,995,000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1,985,759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1,970,063</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3/19/2018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2,409,739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2,397,948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2,409,739</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Dell International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Technology</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B2</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4/29/2020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2,904,989</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2,892,348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2,889,854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B-3</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7/30/2021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995,870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925,000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w w:val="95"/>
              </w:rPr>
              <w:t>Deluxe Entertainment Service Group, Inc.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2/28/2020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1,882,983</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1,884,279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1,751,174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926,971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897,614</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(Add-On)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980,687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968,330</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DJO Finance LLC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495,435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478,222</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DPX Holdings B.V.</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2015 Incr Dollar</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3/11/2021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2,955,000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2,948,456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2,799,863</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Drew Marine Group Inc.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11/19/2020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2,472,161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2,445,601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2,299,110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DTZ U.S. Borrower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Construction &amp; Building</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 Add-on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2,985,000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2,970,317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2,869,331</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Edelman Financial Group Inc.</w:t>
            </w:r>
          </w:p>
        </w:tc>
        <w:tc>
          <w:tcPr>
            <w:tcW w:w="224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 &amp;</w:t>
            </w: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12/19/2022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1,500,000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1,470,617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1,459,695</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A</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485,313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160,630</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 Management LLC</w:t>
            </w:r>
          </w:p>
        </w:tc>
        <w:tc>
          <w:tcPr>
            <w:tcW w:w="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(2.00%</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Leisure Goods/Activities/Movies</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Cash/6.50% PIK)</w:t>
            </w:r>
          </w:p>
        </w:tc>
        <w:tc>
          <w:tcPr>
            <w:tcW w:w="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893,447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867,647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56,582</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484,659</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482,690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473,148</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(Second Lien)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8/1/2022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497,844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468,750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Emerald 2 Limited</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B1A</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5/14/2021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991,762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866,670</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Endo International plc</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9/26/2022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997,602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987,780</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EnergySolutions, LLC</w:t>
            </w:r>
          </w:p>
        </w:tc>
        <w:tc>
          <w:tcPr>
            <w:tcW w:w="2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Environmental Industries</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5/29/2020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937,857</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923,660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731,528</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Evergreen Acqco 1 LP</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Retailers (Except Food and Drugs)</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7/9/2019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965,081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963,406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719,951</w:t>
            </w:r>
          </w:p>
        </w:tc>
        <w:tc>
          <w:tcPr>
            <w:tcW w:w="0" w:type="dxa"/>
            <w:vAlign w:val="bottom"/>
          </w:tcPr>
          <w:p>
            <w:pPr>
              <w:spacing w:after="0"/>
              <w:rPr>
                <w:sz w:val="1"/>
                <w:szCs w:val="1"/>
                <w:color w:val="auto"/>
              </w:rPr>
            </w:pPr>
          </w:p>
        </w:tc>
      </w:tr>
      <w:tr>
        <w:trPr>
          <w:trHeight w:val="130"/>
        </w:trPr>
        <w:tc>
          <w:tcPr>
            <w:tcW w:w="2500" w:type="dxa"/>
            <w:vAlign w:val="bottom"/>
            <w:gridSpan w:val="2"/>
          </w:tcPr>
          <w:p>
            <w:pPr>
              <w:spacing w:after="0" w:line="130" w:lineRule="exact"/>
              <w:rPr>
                <w:sz w:val="20"/>
                <w:szCs w:val="20"/>
                <w:color w:val="auto"/>
              </w:rPr>
            </w:pPr>
            <w:r>
              <w:rPr>
                <w:rFonts w:ascii="Arial" w:cs="Arial" w:eastAsia="Arial" w:hAnsi="Arial"/>
                <w:sz w:val="14"/>
                <w:szCs w:val="14"/>
                <w:color w:val="auto"/>
              </w:rPr>
              <w:t>EWT Holdings III Corp. (fka WTG</w:t>
            </w:r>
          </w:p>
        </w:tc>
        <w:tc>
          <w:tcPr>
            <w:tcW w:w="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gridSpan w:val="2"/>
          </w:tcPr>
          <w:p>
            <w:pPr>
              <w:spacing w:after="0"/>
              <w:rPr>
                <w:sz w:val="20"/>
                <w:szCs w:val="20"/>
                <w:color w:val="auto"/>
              </w:rPr>
            </w:pPr>
            <w:r>
              <w:rPr>
                <w:rFonts w:ascii="Arial" w:cs="Arial" w:eastAsia="Arial" w:hAnsi="Arial"/>
                <w:sz w:val="14"/>
                <w:szCs w:val="14"/>
                <w:color w:val="auto"/>
              </w:rPr>
              <w:t>Holdings III Corp.)</w:t>
            </w:r>
          </w:p>
        </w:tc>
        <w:tc>
          <w:tcPr>
            <w:tcW w:w="2240" w:type="dxa"/>
            <w:vAlign w:val="bottom"/>
            <w:gridSpan w:val="3"/>
          </w:tcPr>
          <w:p>
            <w:pPr>
              <w:ind w:left="40"/>
              <w:spacing w:after="0"/>
              <w:rPr>
                <w:sz w:val="20"/>
                <w:szCs w:val="20"/>
                <w:color w:val="auto"/>
              </w:rPr>
            </w:pPr>
            <w:r>
              <w:rPr>
                <w:rFonts w:ascii="Arial" w:cs="Arial" w:eastAsia="Arial" w:hAnsi="Arial"/>
                <w:sz w:val="14"/>
                <w:szCs w:val="14"/>
                <w:color w:val="auto"/>
              </w:rPr>
              <w:t>Industrial Equipment</w:t>
            </w:r>
          </w:p>
        </w:tc>
        <w:tc>
          <w:tcPr>
            <w:tcW w:w="1780" w:type="dxa"/>
            <w:vAlign w:val="bottom"/>
            <w:gridSpan w:val="2"/>
          </w:tcPr>
          <w:p>
            <w:pPr>
              <w:spacing w:after="0"/>
              <w:rPr>
                <w:sz w:val="20"/>
                <w:szCs w:val="20"/>
                <w:color w:val="auto"/>
              </w:rPr>
            </w:pPr>
            <w:r>
              <w:rPr>
                <w:rFonts w:ascii="Arial" w:cs="Arial" w:eastAsia="Arial" w:hAnsi="Arial"/>
                <w:sz w:val="14"/>
                <w:szCs w:val="14"/>
                <w:color w:val="auto"/>
              </w:rPr>
              <w:t>Term Loan (First Lien)</w:t>
            </w:r>
          </w:p>
        </w:tc>
        <w:tc>
          <w:tcPr>
            <w:tcW w:w="500" w:type="dxa"/>
            <w:vAlign w:val="bottom"/>
            <w:gridSpan w:val="2"/>
          </w:tcPr>
          <w:p>
            <w:pPr>
              <w:spacing w:after="0"/>
              <w:rPr>
                <w:sz w:val="20"/>
                <w:szCs w:val="20"/>
                <w:color w:val="auto"/>
              </w:rPr>
            </w:pPr>
            <w:r>
              <w:rPr>
                <w:rFonts w:ascii="Arial" w:cs="Arial" w:eastAsia="Arial" w:hAnsi="Arial"/>
                <w:sz w:val="14"/>
                <w:szCs w:val="14"/>
                <w:color w:val="auto"/>
              </w:rPr>
              <w:t>Loan</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1/15/2021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1,967,406</w:t>
            </w: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1,962,950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1,908,383</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Federal-Mogul Corporation</w:t>
            </w:r>
          </w:p>
        </w:tc>
        <w:tc>
          <w:tcPr>
            <w:tcW w:w="22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Automotive</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C Term Loan</w:t>
            </w: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4/15/2021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2,955,000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2,943,580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2,345,530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28" w:name="page129"/>
    <w:bookmarkEnd w:id="1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First Data Corporation</w:t>
            </w:r>
          </w:p>
        </w:tc>
        <w:tc>
          <w:tcPr>
            <w:tcW w:w="2220" w:type="dxa"/>
            <w:vAlign w:val="bottom"/>
          </w:tcPr>
          <w:p>
            <w:pPr>
              <w:ind w:left="80"/>
              <w:spacing w:after="0"/>
              <w:rPr>
                <w:sz w:val="20"/>
                <w:szCs w:val="20"/>
                <w:color w:val="auto"/>
              </w:rPr>
            </w:pPr>
            <w:r>
              <w:rPr>
                <w:rFonts w:ascii="Arial" w:cs="Arial" w:eastAsia="Arial" w:hAnsi="Arial"/>
                <w:sz w:val="14"/>
                <w:szCs w:val="14"/>
                <w:color w:val="auto"/>
              </w:rPr>
              <w:t>Financial Intermediaries</w:t>
            </w:r>
          </w:p>
        </w:tc>
        <w:tc>
          <w:tcPr>
            <w:tcW w:w="1780" w:type="dxa"/>
            <w:vAlign w:val="bottom"/>
          </w:tcPr>
          <w:p>
            <w:pPr>
              <w:ind w:left="60"/>
              <w:spacing w:after="0"/>
              <w:rPr>
                <w:sz w:val="20"/>
                <w:szCs w:val="20"/>
                <w:color w:val="auto"/>
              </w:rPr>
            </w:pPr>
            <w:r>
              <w:rPr>
                <w:rFonts w:ascii="Arial" w:cs="Arial" w:eastAsia="Arial" w:hAnsi="Arial"/>
                <w:sz w:val="14"/>
                <w:szCs w:val="14"/>
                <w:color w:val="auto"/>
              </w:rPr>
              <w:t>First Data Corp T/L (2018</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3/23/2018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2,790,451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2,748,229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2,752,780</w:t>
            </w:r>
          </w:p>
        </w:tc>
      </w:tr>
      <w:tr>
        <w:trPr>
          <w:trHeight w:val="167"/>
        </w:trPr>
        <w:tc>
          <w:tcPr>
            <w:tcW w:w="2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Arial" w:cs="Arial" w:eastAsia="Arial" w:hAnsi="Arial"/>
                <w:sz w:val="14"/>
                <w:szCs w:val="14"/>
                <w:color w:val="auto"/>
              </w:rPr>
              <w:t>New Dollar)</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Data Corporation</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First Data T/L Ext (2021)</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4.43%</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3/24/2021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2,111,028</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2,034,284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2,077,779</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First Eagle Investment Management</w:t>
            </w:r>
          </w:p>
        </w:tc>
        <w:tc>
          <w:tcPr>
            <w:tcW w:w="2220" w:type="dxa"/>
            <w:vAlign w:val="bottom"/>
          </w:tcPr>
          <w:p>
            <w:pPr>
              <w:ind w:left="80"/>
              <w:spacing w:after="0" w:line="130" w:lineRule="exact"/>
              <w:rPr>
                <w:sz w:val="20"/>
                <w:szCs w:val="20"/>
                <w:color w:val="auto"/>
              </w:rPr>
            </w:pPr>
            <w:r>
              <w:rPr>
                <w:rFonts w:ascii="Arial" w:cs="Arial" w:eastAsia="Arial" w:hAnsi="Arial"/>
                <w:sz w:val="14"/>
                <w:szCs w:val="14"/>
                <w:color w:val="auto"/>
              </w:rPr>
              <w:t>Banking, Finance, Insurance &amp;</w:t>
            </w: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6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Real Estate</w:t>
            </w:r>
          </w:p>
        </w:tc>
        <w:tc>
          <w:tcPr>
            <w:tcW w:w="178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1,500,000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1,470,946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1,412,504</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International, LLC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7/1/2020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1,976,234</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1,945,935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1,850,249</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w w:val="98"/>
              </w:rPr>
              <w:t>FMG Resources (August 2006) Pty LTD</w:t>
            </w:r>
          </w:p>
        </w:tc>
        <w:tc>
          <w:tcPr>
            <w:tcW w:w="2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(FMG America Finance, Inc.)</w:t>
            </w:r>
          </w:p>
        </w:tc>
        <w:tc>
          <w:tcPr>
            <w:tcW w:w="2220" w:type="dxa"/>
            <w:vAlign w:val="bottom"/>
          </w:tcPr>
          <w:p>
            <w:pPr>
              <w:ind w:left="80"/>
              <w:spacing w:after="0"/>
              <w:rPr>
                <w:sz w:val="20"/>
                <w:szCs w:val="20"/>
                <w:color w:val="auto"/>
              </w:rPr>
            </w:pPr>
            <w:r>
              <w:rPr>
                <w:rFonts w:ascii="Arial" w:cs="Arial" w:eastAsia="Arial" w:hAnsi="Arial"/>
                <w:sz w:val="14"/>
                <w:szCs w:val="14"/>
                <w:color w:val="auto"/>
              </w:rPr>
              <w:t>Nonferrous Metals/Minerals</w:t>
            </w:r>
          </w:p>
        </w:tc>
        <w:tc>
          <w:tcPr>
            <w:tcW w:w="1780" w:type="dxa"/>
            <w:vAlign w:val="bottom"/>
          </w:tcPr>
          <w:p>
            <w:pPr>
              <w:ind w:left="60"/>
              <w:spacing w:after="0"/>
              <w:rPr>
                <w:sz w:val="20"/>
                <w:szCs w:val="20"/>
                <w:color w:val="auto"/>
              </w:rPr>
            </w:pPr>
            <w:r>
              <w:rPr>
                <w:rFonts w:ascii="Arial" w:cs="Arial" w:eastAsia="Arial" w:hAnsi="Arial"/>
                <w:sz w:val="14"/>
                <w:szCs w:val="14"/>
                <w:color w:val="auto"/>
              </w:rPr>
              <w:t>Loan</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6/28/2019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1,962,387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1,962,515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1,504,738</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Term B Delayed Draw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11/6/2020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199,120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198,391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187,344</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11/6/2020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778,380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775,586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732,346</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Gardner Denver,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Initial Dollar 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7/30/2020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2,451,137</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2,445,005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2,016,452</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Gates Global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7/5/2021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493,750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488,813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433,883</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Generac Power Systems,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5/31/2020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693,858</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684,537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676,511</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General Nutrition Centers, Inc.</w:t>
            </w:r>
          </w:p>
        </w:tc>
        <w:tc>
          <w:tcPr>
            <w:tcW w:w="2220" w:type="dxa"/>
            <w:vAlign w:val="bottom"/>
          </w:tcPr>
          <w:p>
            <w:pPr>
              <w:spacing w:after="0"/>
              <w:rPr>
                <w:sz w:val="11"/>
                <w:szCs w:val="11"/>
                <w:color w:val="auto"/>
              </w:rPr>
            </w:pPr>
          </w:p>
        </w:tc>
        <w:tc>
          <w:tcPr>
            <w:tcW w:w="1780" w:type="dxa"/>
            <w:vAlign w:val="bottom"/>
          </w:tcPr>
          <w:p>
            <w:pPr>
              <w:ind w:left="60"/>
              <w:spacing w:after="0" w:line="130" w:lineRule="exact"/>
              <w:rPr>
                <w:sz w:val="20"/>
                <w:szCs w:val="20"/>
                <w:color w:val="auto"/>
              </w:rPr>
            </w:pPr>
            <w:r>
              <w:rPr>
                <w:rFonts w:ascii="Arial" w:cs="Arial" w:eastAsia="Arial" w:hAnsi="Arial"/>
                <w:sz w:val="14"/>
                <w:szCs w:val="14"/>
                <w:color w:val="auto"/>
              </w:rPr>
              <w:t>Amended Tranche B Term</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6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w w:val="98"/>
              </w:rPr>
              <w:t>Retailers (Except Food and Drugs)</w:t>
            </w:r>
          </w:p>
        </w:tc>
        <w:tc>
          <w:tcPr>
            <w:tcW w:w="1780" w:type="dxa"/>
            <w:vAlign w:val="bottom"/>
          </w:tcPr>
          <w:p>
            <w:pPr>
              <w:ind w:left="60"/>
              <w:spacing w:after="0"/>
              <w:rPr>
                <w:sz w:val="20"/>
                <w:szCs w:val="20"/>
                <w:color w:val="auto"/>
              </w:rPr>
            </w:pPr>
            <w:r>
              <w:rPr>
                <w:rFonts w:ascii="Arial" w:cs="Arial" w:eastAsia="Arial" w:hAnsi="Arial"/>
                <w:sz w:val="14"/>
                <w:szCs w:val="14"/>
                <w:color w:val="auto"/>
              </w:rPr>
              <w:t>Loan</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4,131,271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4,121,165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4,012,497</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5/26/2020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2,725,318</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2,717,647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2,237,023</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w w:val="98"/>
              </w:rPr>
              <w:t>Goodyear Tire &amp; Rubber Company, The</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Loan (Second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4/30/2019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2,000,000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1,974,077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2,005,000</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Grosvenor Capital Management</w:t>
            </w:r>
          </w:p>
        </w:tc>
        <w:tc>
          <w:tcPr>
            <w:tcW w:w="22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Holdings, LP</w:t>
            </w: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4"/>
              </w:rPr>
              <w:t>Brokers/Dealers/Investment Houses</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Initial Term Loan</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89"/>
              </w:rPr>
              <w:t>1,264,036</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1,259,418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1,191,354</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GTCR Valor Companies,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1,974,982</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1,941,456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1,959,340</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Harland Clarke Holdings Corp. (fka</w:t>
            </w:r>
          </w:p>
        </w:tc>
        <w:tc>
          <w:tcPr>
            <w:tcW w:w="22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Clarke American Corp.)</w:t>
            </w: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Publishing</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Tranche B-4 Term Loan</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475,000</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473,378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421,561</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HCA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Tranche B-4 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3.36%</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5/1/2018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2,119,664</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2,053,127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2,116,294</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Headwaters Incorporated</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Building &amp; Development</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3/24/2022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248,750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247,628</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248,285</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Hercules Achievement Holdings,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12/10/2021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249,370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246,940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244,929</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Hertz Corporation, The</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Automotive</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Tranche B-1 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3/12/2018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2,910,000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2,933,230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2,879,998</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5/8/2020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1,970,000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1,955,325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1,915,825</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Hostess Brand, LLC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Beverage, Food &amp; Tobacco</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 (First Lien)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8/3/2022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997,500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995,241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983,784</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 (First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3.52%</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4/19/2019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3,840,541</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3,814,577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3,727,245</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Husky Injection Molding Systems Ltd.</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6/30/2021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491,196</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489,277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465,757</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Infor (US), Inc. (fka Lawson Software</w:t>
            </w:r>
          </w:p>
        </w:tc>
        <w:tc>
          <w:tcPr>
            <w:tcW w:w="2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Inc.)</w:t>
            </w:r>
          </w:p>
        </w:tc>
        <w:tc>
          <w:tcPr>
            <w:tcW w:w="2220" w:type="dxa"/>
            <w:vAlign w:val="bottom"/>
          </w:tcPr>
          <w:p>
            <w:pPr>
              <w:ind w:left="80"/>
              <w:spacing w:after="0"/>
              <w:rPr>
                <w:sz w:val="20"/>
                <w:szCs w:val="20"/>
                <w:color w:val="auto"/>
              </w:rPr>
            </w:pPr>
            <w:r>
              <w:rPr>
                <w:rFonts w:ascii="Arial" w:cs="Arial" w:eastAsia="Arial" w:hAnsi="Arial"/>
                <w:sz w:val="14"/>
                <w:szCs w:val="14"/>
                <w:color w:val="auto"/>
              </w:rPr>
              <w:t>Services: Business</w:t>
            </w:r>
          </w:p>
        </w:tc>
        <w:tc>
          <w:tcPr>
            <w:tcW w:w="1780" w:type="dxa"/>
            <w:vAlign w:val="bottom"/>
          </w:tcPr>
          <w:p>
            <w:pPr>
              <w:ind w:left="60"/>
              <w:spacing w:after="0"/>
              <w:rPr>
                <w:sz w:val="20"/>
                <w:szCs w:val="20"/>
                <w:color w:val="auto"/>
              </w:rPr>
            </w:pPr>
            <w:r>
              <w:rPr>
                <w:rFonts w:ascii="Arial" w:cs="Arial" w:eastAsia="Arial" w:hAnsi="Arial"/>
                <w:sz w:val="14"/>
                <w:szCs w:val="14"/>
                <w:color w:val="auto"/>
              </w:rPr>
              <w:t>Tranche B-5 Term Loan</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2,188,296</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2,174,333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2,015,049</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10/29/2021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1,979,592</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1,971,967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1,961,439</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Informatica Corporation</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8/5/2022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498,750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497,554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468,411</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 Crew Group, Inc.</w:t>
            </w:r>
          </w:p>
        </w:tc>
        <w:tc>
          <w:tcPr>
            <w:tcW w:w="2220" w:type="dxa"/>
            <w:vAlign w:val="bottom"/>
            <w:shd w:val="clear" w:color="auto" w:fill="CCEEFF"/>
          </w:tcPr>
          <w:p>
            <w:pPr>
              <w:spacing w:after="0"/>
              <w:rPr>
                <w:sz w:val="11"/>
                <w:szCs w:val="11"/>
                <w:color w:val="auto"/>
              </w:rPr>
            </w:pPr>
          </w:p>
        </w:tc>
        <w:tc>
          <w:tcPr>
            <w:tcW w:w="17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B-1 Loan Retired</w:t>
            </w: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Retailers (Except Food and Drugs)</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03/05/2014</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955,481</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955,481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639,379</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First Lien 6/14</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6/19/2021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492,727</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491,745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434,832</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J.Jill Group,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5/9/2022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995,000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990,362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925,350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Kinetic Concepts,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Dollar Term D-1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5/4/2018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2,452,586</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2,436,004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2,392,645</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Koosharem, LLC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5/15/2020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2,965,050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2,942,458</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2,683,370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Kraton Polymers,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(Initial)</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2,500,000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2,252,500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2,250,000</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LPL Holdings</w:t>
            </w:r>
          </w:p>
        </w:tc>
        <w:tc>
          <w:tcPr>
            <w:tcW w:w="22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Banking, Finance, Insurance &amp;</w:t>
            </w:r>
          </w:p>
        </w:tc>
        <w:tc>
          <w:tcPr>
            <w:tcW w:w="1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Real Estate</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 (2022)</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89"/>
              </w:rPr>
              <w:t>2,000,000</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1,980,543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1,900,000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Mauser Holdings,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7/31/2021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493,750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491,750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475,234</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1/28/2020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486,250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486,250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479,792</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B-2</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1/28/2020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1,212,794</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1,208,220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1,201,042</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 Holding Corp.</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7/8/2021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992,447</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987,851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950,268</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1/15/2023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2,183,824</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2,119,162</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2,180,177</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Automotive</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(Initial)</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8/18/2021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246,875</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245,802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244,098</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3/31/2021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376,136</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375,400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366,500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5/29/2020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985,000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977,601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886,500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National Veterinary Associates,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8/14/2021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987,526</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984,296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959,549</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Vision,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(Second Lien)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3/11/2022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249,729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218,750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Neptune Finco (CSC Holdings)</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Cable and Satellite Television</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10/7/2022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1,000,000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985,784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989,750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12/21/2020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2,007,042</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1,811,375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1,822,655</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10/30/2020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985,022</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974,747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939,464</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NorthStar Asset Management Group Inc.</w:t>
            </w:r>
          </w:p>
        </w:tc>
        <w:tc>
          <w:tcPr>
            <w:tcW w:w="22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Banking, Finance, Insurance &amp;</w:t>
            </w:r>
          </w:p>
        </w:tc>
        <w:tc>
          <w:tcPr>
            <w:tcW w:w="1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Real Estate</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89"/>
              </w:rPr>
              <w:t>2,000,000</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1,930,000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1,950,000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Novelis,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6/2/2022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4,771,058</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4,749,389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4,440,090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Novetta Solutions</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(200MM)</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10/16/2022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2,000,000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1,980,636</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1,940,000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(2nd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9/29/2023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1,000,000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990,269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950,000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NPC International,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(2013)</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12/28/2018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481,250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481,250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472,829</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NRG Energy,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Utilities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(2013)</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7/2/2018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3,821,925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3,808,282</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3,751,449</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Numericable</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Broadcast Radio and Television</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B-5</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4.56%</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7/31/2022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997,500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995,164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953,171</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4/7/2017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789,045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789,045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774,645</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Term Loan (First Lien 2013)</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6/7/2019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3,832,558</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3,821,232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3,244,912</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493,749</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490,644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459,435</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10/30/2017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2,944,496</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2,943,282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2,811,994</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P.F. Chang’s China Bistro, Inc. (Wok</w:t>
            </w:r>
          </w:p>
        </w:tc>
        <w:tc>
          <w:tcPr>
            <w:tcW w:w="2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Acquisition Corp.)</w:t>
            </w:r>
          </w:p>
        </w:tc>
        <w:tc>
          <w:tcPr>
            <w:tcW w:w="2220" w:type="dxa"/>
            <w:vAlign w:val="bottom"/>
          </w:tcPr>
          <w:p>
            <w:pPr>
              <w:ind w:left="80"/>
              <w:spacing w:after="0"/>
              <w:rPr>
                <w:sz w:val="20"/>
                <w:szCs w:val="20"/>
                <w:color w:val="auto"/>
              </w:rPr>
            </w:pPr>
            <w:r>
              <w:rPr>
                <w:rFonts w:ascii="Arial" w:cs="Arial" w:eastAsia="Arial" w:hAnsi="Arial"/>
                <w:sz w:val="14"/>
                <w:szCs w:val="14"/>
                <w:color w:val="auto"/>
              </w:rPr>
              <w:t>Food/Drug Retailers</w:t>
            </w:r>
          </w:p>
        </w:tc>
        <w:tc>
          <w:tcPr>
            <w:tcW w:w="1780" w:type="dxa"/>
            <w:vAlign w:val="bottom"/>
          </w:tcPr>
          <w:p>
            <w:pPr>
              <w:ind w:left="60"/>
              <w:spacing w:after="0"/>
              <w:rPr>
                <w:sz w:val="20"/>
                <w:szCs w:val="20"/>
                <w:color w:val="auto"/>
              </w:rPr>
            </w:pPr>
            <w:r>
              <w:rPr>
                <w:rFonts w:ascii="Arial" w:cs="Arial" w:eastAsia="Arial" w:hAnsi="Arial"/>
                <w:sz w:val="14"/>
                <w:szCs w:val="14"/>
                <w:color w:val="auto"/>
              </w:rPr>
              <w:t>Term Borrowing</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6/24/2019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1,432,750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1,427,110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1,336,039</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P2 Upstream Acquisition Co. (P2</w:t>
            </w:r>
          </w:p>
        </w:tc>
        <w:tc>
          <w:tcPr>
            <w:tcW w:w="22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Upstream Canada BC ULC)</w:t>
            </w: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(First Lien)</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980,000</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976,133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774,200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Penn Products Terminal,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4/13/2022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248,125</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246,994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218,350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B-1</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1/15/2023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1,000,000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980,217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978,590</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B-2</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5.62%</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1/15/2023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1,000,000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980,216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978,960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Petsmart, Inc. (Argos Merger Sub,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Retailers (Except Food and Drugs)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B1</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3/11/2022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992,500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987,862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961,176</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9/29/2020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954,643</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947,123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941,917</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Pharmaceutical Product Development,</w:t>
            </w:r>
          </w:p>
        </w:tc>
        <w:tc>
          <w:tcPr>
            <w:tcW w:w="22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Inc. (Jaguar Holdings, LLC)</w:t>
            </w: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Conglomerate</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89"/>
              </w:rPr>
              <w:t>1,920,848</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1,911,850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1,872,346</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Healthcare&amp;Pharmaceuticals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6/16/2021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492,500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490,535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458,025</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Physio-Control International,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Healthcare&amp;Pharmaceuticals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6/6/2022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498,750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496,371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498,127</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Pinnacle Foods Finance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Food Products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New Term Loan G</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4/29/2020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2,581,332</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2,577,286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2,553,737</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3/31/2021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2,417,118</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2,410,079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2,368,776</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PrePaid Legal Services,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7/1/2019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724,167</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721,080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716,020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1,902,292</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1,846,615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1,816,688</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w w:val="95"/>
              </w:rPr>
              <w:t>Prime Security Services (Protection One)</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1,995,000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1,985,640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1,924,178</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938,354</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936,008</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886,745</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(Second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8.25%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10/3/2022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497,866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400,000</w:t>
            </w: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Redtop Acquisitions Limited</w:t>
            </w:r>
          </w:p>
        </w:tc>
        <w:tc>
          <w:tcPr>
            <w:tcW w:w="2220" w:type="dxa"/>
            <w:vAlign w:val="bottom"/>
            <w:shd w:val="clear" w:color="auto" w:fill="CCEEFF"/>
          </w:tcPr>
          <w:p>
            <w:pPr>
              <w:spacing w:after="0"/>
              <w:rPr>
                <w:sz w:val="11"/>
                <w:szCs w:val="11"/>
                <w:color w:val="auto"/>
              </w:rPr>
            </w:pPr>
          </w:p>
        </w:tc>
        <w:tc>
          <w:tcPr>
            <w:tcW w:w="17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Dollar Term Loan</w:t>
            </w: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60" w:type="dxa"/>
            <w:vAlign w:val="bottom"/>
            <w:shd w:val="clear" w:color="auto" w:fill="CCEEFF"/>
          </w:tcPr>
          <w:p>
            <w:pPr>
              <w:spacing w:after="0"/>
              <w:rPr>
                <w:sz w:val="14"/>
                <w:szCs w:val="14"/>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Electronics/Electric</w:t>
            </w: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490,000</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487,461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482,444</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Regal Cinemas Corporation</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Services: Consumer</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497,500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496,320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496,256</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Now Group,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3/18/2021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2,058,445</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2,048,627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1,996,692</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Rexnord LLC/RBS Global,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8/21/2020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1,630,123</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1,631,387</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1,557,647</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Incremental U.S. 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12/1/2018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1,910,551</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1,910,551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1,902,946</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Riverbed Technology, Inc.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Technology</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2/25/2022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992,500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988,224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970,873</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1,901,835</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1,889,759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1,889,150</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Rovi Solutions Corporation / Rovi</w:t>
            </w:r>
          </w:p>
        </w:tc>
        <w:tc>
          <w:tcPr>
            <w:tcW w:w="2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Guides, Inc.</w:t>
            </w:r>
          </w:p>
        </w:tc>
        <w:tc>
          <w:tcPr>
            <w:tcW w:w="2220" w:type="dxa"/>
            <w:vAlign w:val="bottom"/>
          </w:tcPr>
          <w:p>
            <w:pPr>
              <w:ind w:left="80"/>
              <w:spacing w:after="0"/>
              <w:rPr>
                <w:sz w:val="20"/>
                <w:szCs w:val="20"/>
                <w:color w:val="auto"/>
              </w:rPr>
            </w:pPr>
            <w:r>
              <w:rPr>
                <w:rFonts w:ascii="Arial" w:cs="Arial" w:eastAsia="Arial" w:hAnsi="Arial"/>
                <w:sz w:val="14"/>
                <w:szCs w:val="14"/>
                <w:color w:val="auto"/>
              </w:rPr>
              <w:t>Electronics/Electric</w:t>
            </w:r>
          </w:p>
        </w:tc>
        <w:tc>
          <w:tcPr>
            <w:tcW w:w="1780" w:type="dxa"/>
            <w:vAlign w:val="bottom"/>
          </w:tcPr>
          <w:p>
            <w:pPr>
              <w:ind w:left="60"/>
              <w:spacing w:after="0"/>
              <w:rPr>
                <w:sz w:val="20"/>
                <w:szCs w:val="20"/>
                <w:color w:val="auto"/>
              </w:rPr>
            </w:pPr>
            <w:r>
              <w:rPr>
                <w:rFonts w:ascii="Arial" w:cs="Arial" w:eastAsia="Arial" w:hAnsi="Arial"/>
                <w:sz w:val="14"/>
                <w:szCs w:val="14"/>
                <w:color w:val="auto"/>
              </w:rPr>
              <w:t>Tranche B-3 Term Loan</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1,477,500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1,471,640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1,422,094</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6/20/2022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497,500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495,187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479,675</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(Second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8.50%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6/19/2023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500,000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496,388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478,335</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B-4 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11/9/2020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5,155,193</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5,155,193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5,132,665</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B1</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12/2/2022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825,000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808,500</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800,770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B2</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12/2/2022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675,000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661,500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655,175</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SBP Holdings LP</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3/27/2021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982,500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978,645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707,400</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Scientific Games International, Inc.</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B2</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990,000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981,872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904,613</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SCS Holdings (Sirius Computer)</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10/30/2022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9"/>
              </w:rPr>
              <w:t>1,977,528</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1,939,305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1,937,978</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 Operating LP</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Oil &amp; Gas</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987,406</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919,799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407,305</w:t>
            </w: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Sensus USA Inc. (fka Sensus Metering</w:t>
            </w:r>
          </w:p>
        </w:tc>
        <w:tc>
          <w:tcPr>
            <w:tcW w:w="2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60" w:type="dxa"/>
            <w:vAlign w:val="bottom"/>
          </w:tcPr>
          <w:p>
            <w:pPr>
              <w:ind w:left="160"/>
              <w:spacing w:after="0"/>
              <w:rPr>
                <w:sz w:val="20"/>
                <w:szCs w:val="20"/>
                <w:color w:val="auto"/>
              </w:rPr>
            </w:pPr>
            <w:r>
              <w:rPr>
                <w:rFonts w:ascii="Arial" w:cs="Arial" w:eastAsia="Arial" w:hAnsi="Arial"/>
                <w:sz w:val="14"/>
                <w:szCs w:val="14"/>
                <w:color w:val="auto"/>
              </w:rPr>
              <w:t>Systems)</w:t>
            </w:r>
          </w:p>
        </w:tc>
        <w:tc>
          <w:tcPr>
            <w:tcW w:w="2220" w:type="dxa"/>
            <w:vAlign w:val="bottom"/>
          </w:tcPr>
          <w:p>
            <w:pPr>
              <w:ind w:left="80"/>
              <w:spacing w:after="0"/>
              <w:rPr>
                <w:sz w:val="20"/>
                <w:szCs w:val="20"/>
                <w:color w:val="auto"/>
              </w:rPr>
            </w:pPr>
            <w:r>
              <w:rPr>
                <w:rFonts w:ascii="Arial" w:cs="Arial" w:eastAsia="Arial" w:hAnsi="Arial"/>
                <w:sz w:val="14"/>
                <w:szCs w:val="14"/>
                <w:color w:val="auto"/>
              </w:rPr>
              <w:t>Utilities</w:t>
            </w:r>
          </w:p>
        </w:tc>
        <w:tc>
          <w:tcPr>
            <w:tcW w:w="1780" w:type="dxa"/>
            <w:vAlign w:val="bottom"/>
          </w:tcPr>
          <w:p>
            <w:pPr>
              <w:ind w:left="60"/>
              <w:spacing w:after="0"/>
              <w:rPr>
                <w:sz w:val="20"/>
                <w:szCs w:val="20"/>
                <w:color w:val="auto"/>
              </w:rPr>
            </w:pPr>
            <w:r>
              <w:rPr>
                <w:rFonts w:ascii="Arial" w:cs="Arial" w:eastAsia="Arial" w:hAnsi="Arial"/>
                <w:sz w:val="14"/>
                <w:szCs w:val="14"/>
                <w:color w:val="auto"/>
              </w:rPr>
              <w:t>Term Loan (First Lien)</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5/9/2017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w w:val="89"/>
              </w:rPr>
              <w:t>1,905,121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1,902,477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1,826,534</w:t>
            </w: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ServiceMaster Company, The</w:t>
            </w:r>
          </w:p>
        </w:tc>
        <w:tc>
          <w:tcPr>
            <w:tcW w:w="2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Conglomerate</w:t>
            </w:r>
          </w:p>
        </w:tc>
        <w:tc>
          <w:tcPr>
            <w:tcW w:w="17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Tranche B 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1,975,000</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1,959,254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1,956,889</w:t>
            </w: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Shearers Foods LLC</w:t>
            </w: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4.94%</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6/30/2021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987,500</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985,421</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952,938</w:t>
            </w:r>
          </w:p>
        </w:tc>
      </w:tr>
      <w:tr>
        <w:trPr>
          <w:trHeight w:val="70"/>
        </w:trPr>
        <w:tc>
          <w:tcPr>
            <w:tcW w:w="246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08" w:right="239" w:bottom="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Sitel Worldwide</w:t>
            </w:r>
          </w:p>
        </w:tc>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Telecommunications</w:t>
            </w:r>
          </w:p>
        </w:tc>
        <w:tc>
          <w:tcPr>
            <w:tcW w:w="1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9/18/2021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1"/>
              </w:rPr>
              <w:t>$1,995,000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1,976,131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1,931,160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12/10/2020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222,750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222,282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US Term Loan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12/10/2020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$1,262,250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1,259,600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1,251,205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Sophia, L.P.</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 (Closing Date)</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9/30/2022</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$1,995,000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1,985,507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1,911,469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SourceHOV LLC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 (First Lien)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7.75%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10/31/2019</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$1,937,500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1,891,680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1,541,281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SRAM, LLC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4/10/2020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$2,904,577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2,896,630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2,207,479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Retailers (Except Food and Drugs)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1/16</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4/23/2021</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990,308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992,130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3/19/2021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965,341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957,952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946,034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11.60%</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12/30/2016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222,900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220,105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Survey Sampling International</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12/16/2020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990,554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970,169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3/20/2020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$1,272,143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1,270,803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4/23/2019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479,913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476,927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311,944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TaxACT,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7.00%</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1/3/2023</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$1,860,000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1,805,035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1,804,200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7/15/2020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$1,651,816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1,647,936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1,636,669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Townsquare Media,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4/1/2022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932,522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928,333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915,624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TPF II Power LLC and TPF II Covert</w:t>
            </w:r>
          </w:p>
        </w:tc>
        <w:tc>
          <w:tcPr>
            <w:tcW w:w="2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140"/>
              <w:spacing w:after="0"/>
              <w:rPr>
                <w:sz w:val="20"/>
                <w:szCs w:val="20"/>
                <w:color w:val="auto"/>
              </w:rPr>
            </w:pPr>
            <w:r>
              <w:rPr>
                <w:rFonts w:ascii="Arial" w:cs="Arial" w:eastAsia="Arial" w:hAnsi="Arial"/>
                <w:sz w:val="14"/>
                <w:szCs w:val="14"/>
                <w:color w:val="auto"/>
              </w:rPr>
              <w:t>Midco LLC</w:t>
            </w:r>
          </w:p>
        </w:tc>
        <w:tc>
          <w:tcPr>
            <w:tcW w:w="2180" w:type="dxa"/>
            <w:vAlign w:val="bottom"/>
          </w:tcPr>
          <w:p>
            <w:pPr>
              <w:ind w:left="60"/>
              <w:spacing w:after="0"/>
              <w:rPr>
                <w:sz w:val="20"/>
                <w:szCs w:val="20"/>
                <w:color w:val="auto"/>
              </w:rPr>
            </w:pPr>
            <w:r>
              <w:rPr>
                <w:rFonts w:ascii="Arial" w:cs="Arial" w:eastAsia="Arial" w:hAnsi="Arial"/>
                <w:sz w:val="14"/>
                <w:szCs w:val="14"/>
                <w:color w:val="auto"/>
              </w:rPr>
              <w:t>Utilities</w:t>
            </w:r>
          </w:p>
        </w:tc>
        <w:tc>
          <w:tcPr>
            <w:tcW w:w="178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80" w:type="dxa"/>
            <w:vAlign w:val="bottom"/>
          </w:tcPr>
          <w:p>
            <w:pPr>
              <w:ind w:left="8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10/2/2021</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w w:val="91"/>
              </w:rPr>
              <w:t>$1,491,826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1,433,943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1,396,722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TransDigm,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C Term Loan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2/28/2020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$4,277,294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4,283,815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4,148,975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Travel Leaders Group, LLC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Hotel, Gaming and Leisure</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7.00%</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12/7/2020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$1,946,300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1,939,729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1,917,107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Tricorbraun, Inc. (fka Kranson Industries,</w:t>
            </w:r>
          </w:p>
        </w:tc>
        <w:tc>
          <w:tcPr>
            <w:tcW w:w="21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Containers/Glass Products</w:t>
            </w:r>
          </w:p>
        </w:tc>
        <w:tc>
          <w:tcPr>
            <w:tcW w:w="1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5/3/2018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1"/>
              </w:rPr>
              <w:t>$1,836,625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1,831,636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1,776,935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Truven Health Analytics Inc. (fka</w:t>
            </w:r>
          </w:p>
        </w:tc>
        <w:tc>
          <w:tcPr>
            <w:tcW w:w="2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140"/>
              <w:spacing w:after="0"/>
              <w:rPr>
                <w:sz w:val="20"/>
                <w:szCs w:val="20"/>
                <w:color w:val="auto"/>
              </w:rPr>
            </w:pPr>
            <w:r>
              <w:rPr>
                <w:rFonts w:ascii="Arial" w:cs="Arial" w:eastAsia="Arial" w:hAnsi="Arial"/>
                <w:sz w:val="14"/>
                <w:szCs w:val="14"/>
                <w:color w:val="auto"/>
              </w:rPr>
              <w:t>Thomson Reuters (Healthcare) Inc.)</w:t>
            </w:r>
          </w:p>
        </w:tc>
        <w:tc>
          <w:tcPr>
            <w:tcW w:w="2180" w:type="dxa"/>
            <w:vAlign w:val="bottom"/>
          </w:tcPr>
          <w:p>
            <w:pPr>
              <w:ind w:left="60"/>
              <w:spacing w:after="0"/>
              <w:rPr>
                <w:sz w:val="20"/>
                <w:szCs w:val="20"/>
                <w:color w:val="auto"/>
              </w:rPr>
            </w:pPr>
            <w:r>
              <w:rPr>
                <w:rFonts w:ascii="Arial" w:cs="Arial" w:eastAsia="Arial" w:hAnsi="Arial"/>
                <w:sz w:val="14"/>
                <w:szCs w:val="14"/>
                <w:color w:val="auto"/>
              </w:rPr>
              <w:t>Healthcare &amp; Pharmaceuticals</w:t>
            </w:r>
          </w:p>
        </w:tc>
        <w:tc>
          <w:tcPr>
            <w:tcW w:w="1780" w:type="dxa"/>
            <w:vAlign w:val="bottom"/>
          </w:tcPr>
          <w:p>
            <w:pPr>
              <w:ind w:left="80"/>
              <w:spacing w:after="0"/>
              <w:rPr>
                <w:sz w:val="20"/>
                <w:szCs w:val="20"/>
                <w:color w:val="auto"/>
              </w:rPr>
            </w:pPr>
            <w:r>
              <w:rPr>
                <w:rFonts w:ascii="Arial" w:cs="Arial" w:eastAsia="Arial" w:hAnsi="Arial"/>
                <w:sz w:val="14"/>
                <w:szCs w:val="14"/>
                <w:color w:val="auto"/>
                <w:w w:val="99"/>
              </w:rPr>
              <w:t>New Tranche B Term Loan</w:t>
            </w:r>
          </w:p>
        </w:tc>
        <w:tc>
          <w:tcPr>
            <w:tcW w:w="580" w:type="dxa"/>
            <w:vAlign w:val="bottom"/>
          </w:tcPr>
          <w:p>
            <w:pPr>
              <w:ind w:left="8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6/6/2019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482,603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476,598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480,494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Twin River Management Group,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7/10/2020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886,192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887,853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875,673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U.S. Security Associates Holdings,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Delayed Draw Loan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7/28/2017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156,888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156,328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Security Associates Holdings,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7/28/2017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921,426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918,393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916,054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7/1/2022</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$2,992,500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2,978,573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2,840,810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Univision Communications Inc.</w:t>
            </w:r>
          </w:p>
        </w:tc>
        <w:tc>
          <w:tcPr>
            <w:tcW w:w="2180" w:type="dxa"/>
            <w:vAlign w:val="bottom"/>
            <w:shd w:val="clear" w:color="auto" w:fill="CCEEFF"/>
          </w:tcPr>
          <w:p>
            <w:pPr>
              <w:spacing w:after="0"/>
              <w:rPr>
                <w:sz w:val="11"/>
                <w:szCs w:val="11"/>
                <w:color w:val="auto"/>
              </w:rPr>
            </w:pPr>
          </w:p>
        </w:tc>
        <w:tc>
          <w:tcPr>
            <w:tcW w:w="17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Replacement First-Lien</w:t>
            </w: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Telecommunications</w:t>
            </w:r>
          </w:p>
        </w:tc>
        <w:tc>
          <w:tcPr>
            <w:tcW w:w="1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3/1/2020</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1"/>
              </w:rPr>
              <w:t>$2,916,556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2,903,859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2,832,705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Valeant Pharmaceuticals International,</w:t>
            </w:r>
          </w:p>
        </w:tc>
        <w:tc>
          <w:tcPr>
            <w:tcW w:w="2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ind w:left="140"/>
              <w:spacing w:after="0"/>
              <w:rPr>
                <w:sz w:val="20"/>
                <w:szCs w:val="20"/>
                <w:color w:val="auto"/>
              </w:rPr>
            </w:pPr>
            <w:r>
              <w:rPr>
                <w:rFonts w:ascii="Arial" w:cs="Arial" w:eastAsia="Arial" w:hAnsi="Arial"/>
                <w:sz w:val="14"/>
                <w:szCs w:val="14"/>
                <w:color w:val="auto"/>
              </w:rPr>
              <w:t>Inc.</w:t>
            </w:r>
          </w:p>
        </w:tc>
        <w:tc>
          <w:tcPr>
            <w:tcW w:w="2180" w:type="dxa"/>
            <w:vAlign w:val="bottom"/>
          </w:tcPr>
          <w:p>
            <w:pPr>
              <w:ind w:left="60"/>
              <w:spacing w:after="0"/>
              <w:rPr>
                <w:sz w:val="20"/>
                <w:szCs w:val="20"/>
                <w:color w:val="auto"/>
              </w:rPr>
            </w:pPr>
            <w:r>
              <w:rPr>
                <w:rFonts w:ascii="Arial" w:cs="Arial" w:eastAsia="Arial" w:hAnsi="Arial"/>
                <w:sz w:val="14"/>
                <w:szCs w:val="14"/>
                <w:color w:val="auto"/>
              </w:rPr>
              <w:t>Drugs</w:t>
            </w:r>
          </w:p>
        </w:tc>
        <w:tc>
          <w:tcPr>
            <w:tcW w:w="1780" w:type="dxa"/>
            <w:vAlign w:val="bottom"/>
          </w:tcPr>
          <w:p>
            <w:pPr>
              <w:ind w:left="80"/>
              <w:spacing w:after="0"/>
              <w:rPr>
                <w:sz w:val="20"/>
                <w:szCs w:val="20"/>
                <w:color w:val="auto"/>
              </w:rPr>
            </w:pPr>
            <w:r>
              <w:rPr>
                <w:rFonts w:ascii="Arial" w:cs="Arial" w:eastAsia="Arial" w:hAnsi="Arial"/>
                <w:sz w:val="14"/>
                <w:szCs w:val="14"/>
                <w:color w:val="auto"/>
              </w:rPr>
              <w:t>Series D2 Term Loan B</w:t>
            </w:r>
          </w:p>
        </w:tc>
        <w:tc>
          <w:tcPr>
            <w:tcW w:w="580" w:type="dxa"/>
            <w:vAlign w:val="bottom"/>
          </w:tcPr>
          <w:p>
            <w:pPr>
              <w:ind w:left="8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2/13/2019</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w w:val="91"/>
              </w:rPr>
              <w:t>$2,545,588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2,539,315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2,385,700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Verint Systems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9/6/2019</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$1,014,058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1,011,203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1,005,692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Vertafore,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 (2013)</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10/3/2019</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$2,484,603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2,484,603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2,452,775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Vizient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2/13/2023</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970,144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6/27/2021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490,508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U.S. Term Loan (First Lien)</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12/20/2018</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$1,736,392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1,749,291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Term B-10 Loan</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3.25%</w:t>
            </w:r>
          </w:p>
        </w:tc>
        <w:tc>
          <w:tcPr>
            <w:tcW w:w="9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6/30/2018</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$2,534,892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2,558,782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2,490,861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9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6/27/2022</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$2,985,000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2,971,139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2,932,763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303,643,756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284,844,789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Principal/</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of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218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2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2,349,633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2,349,633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2,349,633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21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2,349,633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2,349,633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2,349,633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Included within cash and cash equivalents in Saratoga CLO’s Statements of Assets and Liabilities as of February 29, 2016.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127"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Current</w:t>
            </w: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680" w:type="dxa"/>
            <w:vAlign w:val="bottom"/>
            <w:vMerge w:val="restart"/>
          </w:tcPr>
          <w:p>
            <w:pPr>
              <w:spacing w:after="0"/>
              <w:rPr>
                <w:sz w:val="12"/>
                <w:szCs w:val="12"/>
                <w:color w:val="auto"/>
              </w:rPr>
            </w:pPr>
          </w:p>
        </w:tc>
        <w:tc>
          <w:tcPr>
            <w:tcW w:w="19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Industry</w:t>
            </w:r>
          </w:p>
        </w:tc>
        <w:tc>
          <w:tcPr>
            <w:tcW w:w="160" w:type="dxa"/>
            <w:vAlign w:val="bottom"/>
            <w:vMerge w:val="restart"/>
          </w:tcPr>
          <w:p>
            <w:pPr>
              <w:spacing w:after="0"/>
              <w:rPr>
                <w:sz w:val="12"/>
                <w:szCs w:val="12"/>
                <w:color w:val="auto"/>
              </w:rPr>
            </w:pPr>
          </w:p>
        </w:tc>
        <w:tc>
          <w:tcPr>
            <w:tcW w:w="13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Asset Name</w:t>
            </w:r>
          </w:p>
        </w:tc>
        <w:tc>
          <w:tcPr>
            <w:tcW w:w="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Education</w:t>
            </w:r>
          </w:p>
        </w:tc>
        <w:tc>
          <w:tcPr>
            <w:tcW w:w="1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Management II LLC</w:t>
            </w:r>
          </w:p>
        </w:tc>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5"/>
              </w:rPr>
              <w:t>Leisure Goods/Activities/Movies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8"/>
              </w:rPr>
              <w:t>A-1 Preferred Shares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437,188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1320" w:type="dxa"/>
            <w:vAlign w:val="bottom"/>
          </w:tcPr>
          <w:p>
            <w:pPr>
              <w:spacing w:after="0" w:line="149" w:lineRule="exact"/>
              <w:rPr>
                <w:sz w:val="20"/>
                <w:szCs w:val="20"/>
                <w:color w:val="auto"/>
              </w:rPr>
            </w:pPr>
            <w:r>
              <w:rPr>
                <w:rFonts w:ascii="Arial" w:cs="Arial" w:eastAsia="Arial" w:hAnsi="Arial"/>
                <w:sz w:val="14"/>
                <w:szCs w:val="14"/>
                <w:color w:val="auto"/>
                <w:w w:val="98"/>
              </w:rPr>
              <w:t>A-2 Preferred Shares</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Equity</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18,975</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1,897,538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180,263</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 Hour Holdings III LLC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5/28/2021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497,500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493,004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492,276</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Acosta Holdco Inc.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Media</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9/27/2021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1,995,000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1,981,328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2,004,416</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Aderant North America, Inc.</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 Business</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12/20/2018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3,260,898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3,260,898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3,240,517</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Advantage Sales &amp; Marketing Inc.</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Delayed Draw Term</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Services: Business</w:t>
            </w:r>
          </w:p>
        </w:tc>
        <w:tc>
          <w:tcPr>
            <w:tcW w:w="1320" w:type="dxa"/>
            <w:vAlign w:val="bottom"/>
          </w:tcPr>
          <w:p>
            <w:pPr>
              <w:spacing w:after="0"/>
              <w:rPr>
                <w:sz w:val="20"/>
                <w:szCs w:val="20"/>
                <w:color w:val="auto"/>
              </w:rPr>
            </w:pPr>
            <w:r>
              <w:rPr>
                <w:rFonts w:ascii="Arial" w:cs="Arial" w:eastAsia="Arial" w:hAnsi="Arial"/>
                <w:sz w:val="14"/>
                <w:szCs w:val="14"/>
                <w:color w:val="auto"/>
              </w:rPr>
              <w:t>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4.25%</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7/25/2021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1,995,000</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1,993,940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1,984,287</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AECOM Technology Corporation</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Services: Business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10/15/2021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319,903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318,380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321,304</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Aegis Toxicology Science Corporation</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B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2/24/2021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995,000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995,000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997,488</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Akorn,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4/16/2021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498,750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496,691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500,411</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Albertson’s LLC</w:t>
            </w:r>
          </w:p>
        </w:tc>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Drugs)</w:t>
            </w:r>
          </w:p>
        </w:tc>
        <w:tc>
          <w:tcPr>
            <w:tcW w:w="1320" w:type="dxa"/>
            <w:vAlign w:val="bottom"/>
          </w:tcPr>
          <w:p>
            <w:pPr>
              <w:spacing w:after="0"/>
              <w:rPr>
                <w:sz w:val="20"/>
                <w:szCs w:val="20"/>
                <w:color w:val="auto"/>
              </w:rPr>
            </w:pPr>
            <w:r>
              <w:rPr>
                <w:rFonts w:ascii="Arial" w:cs="Arial" w:eastAsia="Arial" w:hAnsi="Arial"/>
                <w:sz w:val="14"/>
                <w:szCs w:val="14"/>
                <w:color w:val="auto"/>
              </w:rPr>
              <w:t>Term Loan B-4</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5.50%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8/25/2021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3,410,000</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3,389,632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3,437,723</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Alere Inc. (fka IM US Holdings, LLC)</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Incremental B-1 Term</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 &amp; Pharmaceuticals</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6/30/2017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1,529,610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1,529,610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1,529,610</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American Tire Distributors Inc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6/1/2018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496,487</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496,486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497,108</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Food Products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LC-2 Facility</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7/26/2016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79,187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79,178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78,395</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LC-3 Facility</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7/26/2016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43,961</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43,961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43,521</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Food Products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Term F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2/24/2021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3,182,489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3,182,489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3,168,581</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ARG IH Corp</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Food Services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11/15/2020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495,000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494,038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495,312</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 Asurion</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Incremental Tranche</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Insurance</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B-1 Term Loan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5/24/2019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5,412,086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5,370,590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5,424,642</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Auction.Com, LLC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Services: Business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 A-4</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2/28/2017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914,567</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914,567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905,422</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Avantor Performance Materials</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Chemicals/Plastics</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6/24/2017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4,319,115</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4,309,242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4,297,520</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Avast Software</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Electronics/Electric</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3/20/2020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1,925,000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1,923,275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1,937,031</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6/12/2021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467,123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464,958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466,614</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Bass Pro Group, LLC</w:t>
            </w:r>
          </w:p>
        </w:tc>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Drugs)</w:t>
            </w:r>
          </w:p>
        </w:tc>
        <w:tc>
          <w:tcPr>
            <w:tcW w:w="1320" w:type="dxa"/>
            <w:vAlign w:val="bottom"/>
          </w:tcPr>
          <w:p>
            <w:pPr>
              <w:spacing w:after="0"/>
              <w:rPr>
                <w:sz w:val="20"/>
                <w:szCs w:val="20"/>
                <w:color w:val="auto"/>
              </w:rPr>
            </w:pPr>
            <w:r>
              <w:rPr>
                <w:rFonts w:ascii="Arial" w:cs="Arial" w:eastAsia="Arial" w:hAnsi="Arial"/>
                <w:sz w:val="14"/>
                <w:szCs w:val="14"/>
                <w:color w:val="auto"/>
              </w:rPr>
              <w:t>New Term 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3.75%</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11/20/2019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493,623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493,111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492,236</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Bayonne Energy Center</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&amp; Gas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8/19/2021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969,671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965,093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964,416</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Belmond Hotels</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3/19/2021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496,250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494,055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495,009</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E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1,814,499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1,802,403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1,812,648</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Big Heart Pet Brands (fka Del Monte</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2080" w:type="dxa"/>
            <w:vAlign w:val="bottom"/>
            <w:gridSpan w:val="2"/>
          </w:tcPr>
          <w:p>
            <w:pPr>
              <w:spacing w:after="0"/>
              <w:rPr>
                <w:sz w:val="20"/>
                <w:szCs w:val="20"/>
                <w:color w:val="auto"/>
              </w:rPr>
            </w:pPr>
            <w:r>
              <w:rPr>
                <w:rFonts w:ascii="Arial" w:cs="Arial" w:eastAsia="Arial" w:hAnsi="Arial"/>
                <w:sz w:val="14"/>
                <w:szCs w:val="14"/>
                <w:color w:val="auto"/>
              </w:rPr>
              <w:t>Food/Drug Retailers</w:t>
            </w:r>
          </w:p>
        </w:tc>
        <w:tc>
          <w:tcPr>
            <w:tcW w:w="1320" w:type="dxa"/>
            <w:vAlign w:val="bottom"/>
          </w:tcPr>
          <w:p>
            <w:pPr>
              <w:spacing w:after="0"/>
              <w:rPr>
                <w:sz w:val="20"/>
                <w:szCs w:val="20"/>
                <w:color w:val="auto"/>
              </w:rPr>
            </w:pPr>
            <w:r>
              <w:rPr>
                <w:rFonts w:ascii="Arial" w:cs="Arial" w:eastAsia="Arial" w:hAnsi="Arial"/>
                <w:sz w:val="14"/>
                <w:szCs w:val="14"/>
                <w:color w:val="auto"/>
              </w:rPr>
              <w:t>Initial Term 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3.50%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3/9/2020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2,977,500</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2,996,769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2,971,307</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Biomet,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Dollar Term B-2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7/25/2017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1,840,718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1,840,718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1,838,601</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BJ’s Wholesale Club, Inc.</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New 2013</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(November)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Replacement Loan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Food/Drug Retailers</w:t>
            </w:r>
          </w:p>
        </w:tc>
        <w:tc>
          <w:tcPr>
            <w:tcW w:w="1320" w:type="dxa"/>
            <w:vAlign w:val="bottom"/>
          </w:tcPr>
          <w:p>
            <w:pPr>
              <w:spacing w:after="0"/>
              <w:rPr>
                <w:sz w:val="20"/>
                <w:szCs w:val="20"/>
                <w:color w:val="auto"/>
              </w:rPr>
            </w:pPr>
            <w:r>
              <w:rPr>
                <w:rFonts w:ascii="Arial" w:cs="Arial" w:eastAsia="Arial" w:hAnsi="Arial"/>
                <w:sz w:val="14"/>
                <w:szCs w:val="14"/>
                <w:color w:val="auto"/>
              </w:rPr>
              <w:t>(First Lien)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4.50%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9/26/2019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1,489,975</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1,488,922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1,483,374</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Bombardier Recreational Products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1/30/2019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754,286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750,287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747,120</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Brickman Group Holdings, Inc.</w:t>
            </w:r>
          </w:p>
        </w:tc>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Brokers/Dealers/Investment</w:t>
            </w: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Initial Term Loan</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Houses</w:t>
            </w:r>
          </w:p>
        </w:tc>
        <w:tc>
          <w:tcPr>
            <w:tcW w:w="1320" w:type="dxa"/>
            <w:vAlign w:val="bottom"/>
          </w:tcPr>
          <w:p>
            <w:pPr>
              <w:spacing w:after="0"/>
              <w:rPr>
                <w:sz w:val="20"/>
                <w:szCs w:val="20"/>
                <w:color w:val="auto"/>
              </w:rPr>
            </w:pPr>
            <w:r>
              <w:rPr>
                <w:rFonts w:ascii="Arial" w:cs="Arial" w:eastAsia="Arial" w:hAnsi="Arial"/>
                <w:sz w:val="14"/>
                <w:szCs w:val="14"/>
                <w:color w:val="auto"/>
              </w:rPr>
              <w:t>(First Lien)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12/18/2020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1,491,237</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1,478,800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1,478,935</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Brock Holdings III, Inc.</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Equipment</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3/16/2017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1,938,503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1,952,391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1,904,580</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Burlington Coat Factory Warehouse</w:t>
            </w:r>
          </w:p>
        </w:tc>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2080" w:type="dxa"/>
            <w:vAlign w:val="bottom"/>
            <w:gridSpan w:val="2"/>
          </w:tcPr>
          <w:p>
            <w:pPr>
              <w:spacing w:after="0"/>
              <w:rPr>
                <w:sz w:val="20"/>
                <w:szCs w:val="20"/>
                <w:color w:val="auto"/>
              </w:rPr>
            </w:pPr>
            <w:r>
              <w:rPr>
                <w:rFonts w:ascii="Arial" w:cs="Arial" w:eastAsia="Arial" w:hAnsi="Arial"/>
                <w:sz w:val="14"/>
                <w:szCs w:val="14"/>
                <w:color w:val="auto"/>
              </w:rPr>
              <w:t>Drugs)</w:t>
            </w:r>
          </w:p>
        </w:tc>
        <w:tc>
          <w:tcPr>
            <w:tcW w:w="1320" w:type="dxa"/>
            <w:vAlign w:val="bottom"/>
          </w:tcPr>
          <w:p>
            <w:pPr>
              <w:spacing w:after="0"/>
              <w:rPr>
                <w:sz w:val="20"/>
                <w:szCs w:val="20"/>
                <w:color w:val="auto"/>
              </w:rPr>
            </w:pPr>
            <w:r>
              <w:rPr>
                <w:rFonts w:ascii="Arial" w:cs="Arial" w:eastAsia="Arial" w:hAnsi="Arial"/>
                <w:sz w:val="14"/>
                <w:szCs w:val="14"/>
                <w:color w:val="auto"/>
              </w:rPr>
              <w:t>Term B-2 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4.25%</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8/13/2021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1,945,000</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1,935,814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1,942,219</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BWAY</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8/14/2020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995,000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985,881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998,423</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Caesars Entertainment Corp.</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B-7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1/28/2018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995,000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989,028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917,141</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Camp International Holding Company</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2013 Replacement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(First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5/31/2019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1,960,046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1,965,495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1,969,846</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Capital Automotive L.P.</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Tranche B-1 Term</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Conglomerate</w:t>
            </w:r>
          </w:p>
        </w:tc>
        <w:tc>
          <w:tcPr>
            <w:tcW w:w="1320" w:type="dxa"/>
            <w:vAlign w:val="bottom"/>
          </w:tcPr>
          <w:p>
            <w:pPr>
              <w:spacing w:after="0"/>
              <w:rPr>
                <w:sz w:val="20"/>
                <w:szCs w:val="20"/>
                <w:color w:val="auto"/>
              </w:rPr>
            </w:pPr>
            <w:r>
              <w:rPr>
                <w:rFonts w:ascii="Arial" w:cs="Arial" w:eastAsia="Arial" w:hAnsi="Arial"/>
                <w:sz w:val="14"/>
                <w:szCs w:val="14"/>
                <w:color w:val="auto"/>
              </w:rPr>
              <w:t>Loan Facility</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4/10/2019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2,079,313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2,083,783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2,084,511</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Drugs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Term B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5/20/2021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497,500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495,170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498,401</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Celanese US Holdings LLC</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Dollar Term C-2</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Chemicals/Plastics</w:t>
            </w:r>
          </w:p>
        </w:tc>
        <w:tc>
          <w:tcPr>
            <w:tcW w:w="1320" w:type="dxa"/>
            <w:vAlign w:val="bottom"/>
          </w:tcPr>
          <w:p>
            <w:pPr>
              <w:spacing w:after="0"/>
              <w:rPr>
                <w:sz w:val="20"/>
                <w:szCs w:val="20"/>
                <w:color w:val="auto"/>
              </w:rPr>
            </w:pPr>
            <w:r>
              <w:rPr>
                <w:rFonts w:ascii="Arial" w:cs="Arial" w:eastAsia="Arial" w:hAnsi="Arial"/>
                <w:sz w:val="14"/>
                <w:szCs w:val="14"/>
                <w:color w:val="auto"/>
              </w:rPr>
              <w:t>Commitment</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2.49%</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10/31/2018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2,154,560</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2,180,598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2,157,533</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Cengage Learning</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Publishing</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2,731,869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2,761,735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2,733,235</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Charter Communications Operating,</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LLC</w:t>
            </w:r>
          </w:p>
        </w:tc>
        <w:tc>
          <w:tcPr>
            <w:tcW w:w="2080" w:type="dxa"/>
            <w:vAlign w:val="bottom"/>
            <w:gridSpan w:val="2"/>
          </w:tcPr>
          <w:p>
            <w:pPr>
              <w:spacing w:after="0"/>
              <w:rPr>
                <w:sz w:val="20"/>
                <w:szCs w:val="20"/>
                <w:color w:val="auto"/>
              </w:rPr>
            </w:pPr>
            <w:r>
              <w:rPr>
                <w:rFonts w:ascii="Arial" w:cs="Arial" w:eastAsia="Arial" w:hAnsi="Arial"/>
                <w:sz w:val="14"/>
                <w:szCs w:val="14"/>
                <w:color w:val="auto"/>
              </w:rPr>
              <w:t>Cable and Satellite Television</w:t>
            </w:r>
          </w:p>
        </w:tc>
        <w:tc>
          <w:tcPr>
            <w:tcW w:w="1320" w:type="dxa"/>
            <w:vAlign w:val="bottom"/>
          </w:tcPr>
          <w:p>
            <w:pPr>
              <w:spacing w:after="0"/>
              <w:rPr>
                <w:sz w:val="20"/>
                <w:szCs w:val="20"/>
                <w:color w:val="auto"/>
              </w:rPr>
            </w:pPr>
            <w:r>
              <w:rPr>
                <w:rFonts w:ascii="Arial" w:cs="Arial" w:eastAsia="Arial" w:hAnsi="Arial"/>
                <w:sz w:val="14"/>
                <w:szCs w:val="14"/>
                <w:color w:val="auto"/>
              </w:rPr>
              <w:t>Term F 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3.00%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12/31/2020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2,655,745</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2,646,932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2,646,344</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CHS/Community Health Systems,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2017 Term E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3.49%</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1,097,818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1,074,945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1,097,193</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CHS/Community Health Systems, Inc.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2021 Term D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2,926,052</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2,844,886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2,935,210</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Services: Business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2/28/2018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562,001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557,872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561,298</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CITGO Petroleum</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Oil &amp; Gas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7/29/2021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997,500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994,095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979,106</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ClubCorp Club Operations,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7/24/2020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496,250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500,315</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CPI International Acquisition, Inc.</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(f/k/a Catalyst Holdings, Inc.)</w:t>
            </w:r>
          </w:p>
        </w:tc>
        <w:tc>
          <w:tcPr>
            <w:tcW w:w="2080" w:type="dxa"/>
            <w:vAlign w:val="bottom"/>
            <w:gridSpan w:val="2"/>
          </w:tcPr>
          <w:p>
            <w:pPr>
              <w:spacing w:after="0"/>
              <w:rPr>
                <w:sz w:val="20"/>
                <w:szCs w:val="20"/>
                <w:color w:val="auto"/>
              </w:rPr>
            </w:pPr>
            <w:r>
              <w:rPr>
                <w:rFonts w:ascii="Arial" w:cs="Arial" w:eastAsia="Arial" w:hAnsi="Arial"/>
                <w:sz w:val="14"/>
                <w:szCs w:val="14"/>
                <w:color w:val="auto"/>
              </w:rPr>
              <w:t>Electronics/Electric</w:t>
            </w:r>
          </w:p>
        </w:tc>
        <w:tc>
          <w:tcPr>
            <w:tcW w:w="1320" w:type="dxa"/>
            <w:vAlign w:val="bottom"/>
          </w:tcPr>
          <w:p>
            <w:pPr>
              <w:spacing w:after="0"/>
              <w:rPr>
                <w:sz w:val="20"/>
                <w:szCs w:val="20"/>
                <w:color w:val="auto"/>
              </w:rPr>
            </w:pPr>
            <w:r>
              <w:rPr>
                <w:rFonts w:ascii="Arial" w:cs="Arial" w:eastAsia="Arial" w:hAnsi="Arial"/>
                <w:sz w:val="14"/>
                <w:szCs w:val="14"/>
                <w:color w:val="auto"/>
              </w:rPr>
              <w:t>Term B 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4.25%</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11/17/2017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3,595,331</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3,595,331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3,570,631</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Crosby US Acquisition Corp.</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Term Loan</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Equipment</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(First Lien)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11/23/2020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742,500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741,718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681,244</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Crown Castle Operating Company</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w w:val="95"/>
              </w:rPr>
              <w:t>Extended Incremental</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Tranche B-2 Term</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Telecommunications/Cellular</w:t>
            </w:r>
          </w:p>
        </w:tc>
        <w:tc>
          <w:tcPr>
            <w:tcW w:w="1320" w:type="dxa"/>
            <w:vAlign w:val="bottom"/>
          </w:tcPr>
          <w:p>
            <w:pPr>
              <w:spacing w:after="0"/>
              <w:rPr>
                <w:sz w:val="20"/>
                <w:szCs w:val="20"/>
                <w:color w:val="auto"/>
              </w:rPr>
            </w:pPr>
            <w:r>
              <w:rPr>
                <w:rFonts w:ascii="Arial" w:cs="Arial" w:eastAsia="Arial" w:hAnsi="Arial"/>
                <w:sz w:val="14"/>
                <w:szCs w:val="14"/>
                <w:color w:val="auto"/>
              </w:rPr>
              <w:t>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3.00%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1/31/2021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2,435,594</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2,433,546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2,430,723</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Hldgs,</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Healthcare &amp; Pharmaceuticals</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12/1/2021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1,500,000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1,485,423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1,505,625</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Culligan International Company</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Dollar Loan (First</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Conglomerate</w:t>
            </w:r>
          </w:p>
        </w:tc>
        <w:tc>
          <w:tcPr>
            <w:tcW w:w="1320" w:type="dxa"/>
            <w:vAlign w:val="bottom"/>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6.25%</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12/19/2017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779,642</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736,275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765,998</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 Company</w:t>
            </w: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Dollar Loan (Second</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Conglomerate</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9.50%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6/19/2018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783,162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739,367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727,033</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Cumulus Media Holdings Inc.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Broadcast Radio and Television</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12/23/2020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470,093</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466,100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466,863</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Custom Sensors</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Industrial Equipment</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9/30/2021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498,750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497,651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498,750</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DaVita HealthCare Partners Inc. (fka</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DaVita Inc.)</w:t>
            </w:r>
          </w:p>
        </w:tc>
        <w:tc>
          <w:tcPr>
            <w:tcW w:w="2080" w:type="dxa"/>
            <w:vAlign w:val="bottom"/>
            <w:gridSpan w:val="2"/>
          </w:tcPr>
          <w:p>
            <w:pPr>
              <w:spacing w:after="0"/>
              <w:rPr>
                <w:sz w:val="20"/>
                <w:szCs w:val="20"/>
                <w:color w:val="auto"/>
              </w:rPr>
            </w:pPr>
            <w:r>
              <w:rPr>
                <w:rFonts w:ascii="Arial" w:cs="Arial" w:eastAsia="Arial" w:hAnsi="Arial"/>
                <w:sz w:val="14"/>
                <w:szCs w:val="14"/>
                <w:color w:val="auto"/>
              </w:rPr>
              <w:t>Healthcare &amp; Pharmaceuticals</w:t>
            </w:r>
          </w:p>
        </w:tc>
        <w:tc>
          <w:tcPr>
            <w:tcW w:w="1320" w:type="dxa"/>
            <w:vAlign w:val="bottom"/>
          </w:tcPr>
          <w:p>
            <w:pPr>
              <w:spacing w:after="0"/>
              <w:rPr>
                <w:sz w:val="20"/>
                <w:szCs w:val="20"/>
                <w:color w:val="auto"/>
              </w:rPr>
            </w:pPr>
            <w:r>
              <w:rPr>
                <w:rFonts w:ascii="Arial" w:cs="Arial" w:eastAsia="Arial" w:hAnsi="Arial"/>
                <w:sz w:val="14"/>
                <w:szCs w:val="14"/>
                <w:color w:val="auto"/>
                <w:w w:val="95"/>
              </w:rPr>
              <w:t>Tranche B Term Loan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3.50%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6/24/2021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497,500</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495,228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498,062</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Intermediaries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3/19/2018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3,460,027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3,436,485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3,413,835</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Dealertrack Technologies, Inc.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B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2/26/2021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477,011</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475,991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474,230</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Dell International LLC</w:t>
            </w:r>
          </w:p>
        </w:tc>
        <w:tc>
          <w:tcPr>
            <w:tcW w:w="2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Drugs)</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Term B Loan</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4/29/2020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2,969,962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2,957,576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2,980,684</w:t>
            </w: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Delos Finance SARL</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Financial Intermediaries</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497,835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499,790</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B-3</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7/30/2021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1,000,000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995,314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995,630</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Deluxe Entertainment Service Group,</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Term Loan (First</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Inc.</w:t>
            </w:r>
          </w:p>
        </w:tc>
        <w:tc>
          <w:tcPr>
            <w:tcW w:w="2080" w:type="dxa"/>
            <w:vAlign w:val="bottom"/>
            <w:gridSpan w:val="2"/>
          </w:tcPr>
          <w:p>
            <w:pPr>
              <w:spacing w:after="0"/>
              <w:rPr>
                <w:sz w:val="20"/>
                <w:szCs w:val="20"/>
                <w:color w:val="auto"/>
              </w:rPr>
            </w:pPr>
            <w:r>
              <w:rPr>
                <w:rFonts w:ascii="Arial" w:cs="Arial" w:eastAsia="Arial" w:hAnsi="Arial"/>
                <w:sz w:val="14"/>
                <w:szCs w:val="14"/>
                <w:color w:val="auto"/>
              </w:rPr>
              <w:t>Leisure Goods/Activities/Movies</w:t>
            </w:r>
          </w:p>
        </w:tc>
        <w:tc>
          <w:tcPr>
            <w:tcW w:w="1320" w:type="dxa"/>
            <w:vAlign w:val="bottom"/>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6.50%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2/28/2020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1,882,983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1,884,624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1,835,908</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Devix US, Inc.</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250,000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247,710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250,938</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Devix US, Inc.</w:t>
            </w: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Term Loan (Second</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Chemicals/Plastics</w:t>
            </w:r>
          </w:p>
        </w:tc>
        <w:tc>
          <w:tcPr>
            <w:tcW w:w="1320" w:type="dxa"/>
            <w:vAlign w:val="bottom"/>
          </w:tcPr>
          <w:p>
            <w:pPr>
              <w:spacing w:after="0"/>
              <w:rPr>
                <w:sz w:val="20"/>
                <w:szCs w:val="20"/>
                <w:color w:val="auto"/>
              </w:rPr>
            </w:pPr>
            <w:r>
              <w:rPr>
                <w:rFonts w:ascii="Arial" w:cs="Arial" w:eastAsia="Arial" w:hAnsi="Arial"/>
                <w:sz w:val="14"/>
                <w:szCs w:val="14"/>
                <w:color w:val="auto"/>
              </w:rPr>
              <w:t>Lien)</w:t>
            </w:r>
          </w:p>
        </w:tc>
        <w:tc>
          <w:tcPr>
            <w:tcW w:w="720" w:type="dxa"/>
            <w:vAlign w:val="bottom"/>
            <w:gridSpan w:val="3"/>
          </w:tcPr>
          <w:p>
            <w:pPr>
              <w:ind w:left="160"/>
              <w:spacing w:after="0"/>
              <w:rPr>
                <w:sz w:val="20"/>
                <w:szCs w:val="20"/>
                <w:color w:val="auto"/>
              </w:rPr>
            </w:pPr>
            <w:r>
              <w:rPr>
                <w:rFonts w:ascii="Arial" w:cs="Arial" w:eastAsia="Arial" w:hAnsi="Arial"/>
                <w:sz w:val="14"/>
                <w:szCs w:val="14"/>
                <w:color w:val="auto"/>
              </w:rPr>
              <w:t>Loan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5/2/2022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497,500</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495,324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497,500</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7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Loan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995,000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990,370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999,975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31" w:name="page132"/>
    <w:bookmarkEnd w:id="1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20"/>
                <w:szCs w:val="20"/>
                <w:color w:val="auto"/>
              </w:rPr>
            </w:pPr>
            <w:r>
              <w:rPr>
                <w:rFonts w:ascii="Arial" w:cs="Arial" w:eastAsia="Arial" w:hAnsi="Arial"/>
                <w:sz w:val="14"/>
                <w:szCs w:val="14"/>
                <w:color w:val="auto"/>
              </w:rPr>
              <w:t>Dollar Tree</w:t>
            </w:r>
          </w:p>
        </w:tc>
        <w:tc>
          <w:tcPr>
            <w:tcW w:w="2120" w:type="dxa"/>
            <w:vAlign w:val="bottom"/>
          </w:tcPr>
          <w:p>
            <w:pPr>
              <w:ind w:left="120"/>
              <w:spacing w:after="0"/>
              <w:rPr>
                <w:sz w:val="20"/>
                <w:szCs w:val="20"/>
                <w:color w:val="auto"/>
              </w:rPr>
            </w:pPr>
            <w:r>
              <w:rPr>
                <w:rFonts w:ascii="Arial" w:cs="Arial" w:eastAsia="Arial" w:hAnsi="Arial"/>
                <w:sz w:val="14"/>
                <w:szCs w:val="14"/>
                <w:color w:val="auto"/>
              </w:rPr>
              <w:t>Retail</w:t>
            </w:r>
          </w:p>
        </w:tc>
        <w:tc>
          <w:tcPr>
            <w:tcW w:w="148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3/9/2022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1,000,000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995,000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1,007,500</w:t>
            </w:r>
          </w:p>
        </w:tc>
      </w:tr>
      <w:tr>
        <w:trPr>
          <w:trHeight w:val="167"/>
        </w:trPr>
        <w:tc>
          <w:tcPr>
            <w:tcW w:w="2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auto"/>
              </w:rPr>
              <w:t>(3950MM)</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DPX Holdings B.V.</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&amp; Pharmaceuticals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3/11/2021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2,985,000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2,978,605</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2,962,075</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Drew Marine Group Inc.</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Chemicals/Plastics</w:t>
            </w:r>
          </w:p>
        </w:tc>
        <w:tc>
          <w:tcPr>
            <w:tcW w:w="148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11/19/2020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1,489,975</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1,495,721</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1,473,213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Education Management LLC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Leisure Goods/Activities/Movies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A</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7/2/2020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501,970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482,120</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457,295</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Education Management LLC</w:t>
            </w:r>
          </w:p>
        </w:tc>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160"/>
              <w:spacing w:after="0" w:line="130" w:lineRule="exact"/>
              <w:rPr>
                <w:sz w:val="20"/>
                <w:szCs w:val="20"/>
                <w:color w:val="auto"/>
              </w:rPr>
            </w:pPr>
            <w:r>
              <w:rPr>
                <w:rFonts w:ascii="Arial" w:cs="Arial" w:eastAsia="Arial" w:hAnsi="Arial"/>
                <w:sz w:val="14"/>
                <w:szCs w:val="14"/>
                <w:color w:val="auto"/>
              </w:rPr>
              <w:t>8.50%</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ind w:left="160"/>
              <w:spacing w:after="0" w:line="149" w:lineRule="exact"/>
              <w:rPr>
                <w:sz w:val="20"/>
                <w:szCs w:val="20"/>
                <w:color w:val="auto"/>
              </w:rPr>
            </w:pPr>
            <w:r>
              <w:rPr>
                <w:rFonts w:ascii="Arial" w:cs="Arial" w:eastAsia="Arial" w:hAnsi="Arial"/>
                <w:sz w:val="14"/>
                <w:szCs w:val="14"/>
                <w:color w:val="auto"/>
              </w:rPr>
              <w:t>(2.00%</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Cash/6.50%</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w w:val="99"/>
              </w:rPr>
              <w:t>Leisure Goods/Activities/Movies</w:t>
            </w:r>
          </w:p>
        </w:tc>
        <w:tc>
          <w:tcPr>
            <w:tcW w:w="148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588"/>
              <w:spacing w:after="0"/>
              <w:rPr>
                <w:sz w:val="20"/>
                <w:szCs w:val="20"/>
                <w:color w:val="auto"/>
              </w:rPr>
            </w:pPr>
            <w:r>
              <w:rPr>
                <w:rFonts w:ascii="Arial" w:cs="Arial" w:eastAsia="Arial" w:hAnsi="Arial"/>
                <w:sz w:val="14"/>
                <w:szCs w:val="14"/>
                <w:color w:val="auto"/>
              </w:rPr>
              <w:t>PIK)</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7/2/2020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836,617</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805,283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672,882</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11/8/2019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987,500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983,552</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989,969</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Emerald Performance Materials, LLC</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Chemicals/Plastics</w:t>
            </w:r>
          </w:p>
        </w:tc>
        <w:tc>
          <w:tcPr>
            <w:tcW w:w="148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498,750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496,403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496,102</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Emerald Performance Materials, LLC</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(Second</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Chemicals/Plastics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8/1/2022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500,000</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497,553</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484,845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EnergySolutions, LLC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Oil &amp; Gas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6.75%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5/29/2020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937,857</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921,126</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942,546</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Enviromental Resources Management</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5/14/2021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1,000,000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990,000</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985,000</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Evergreen Acqco 1 LP</w:t>
            </w:r>
          </w:p>
        </w:tc>
        <w:tc>
          <w:tcPr>
            <w:tcW w:w="2120" w:type="dxa"/>
            <w:vAlign w:val="bottom"/>
          </w:tcPr>
          <w:p>
            <w:pPr>
              <w:ind w:left="120"/>
              <w:spacing w:after="0" w:line="130" w:lineRule="exact"/>
              <w:rPr>
                <w:sz w:val="20"/>
                <w:szCs w:val="20"/>
                <w:color w:val="auto"/>
              </w:rPr>
            </w:pPr>
            <w:r>
              <w:rPr>
                <w:rFonts w:ascii="Arial" w:cs="Arial" w:eastAsia="Arial" w:hAnsi="Arial"/>
                <w:sz w:val="14"/>
                <w:szCs w:val="14"/>
                <w:color w:val="auto"/>
              </w:rPr>
              <w:t>Retailers (Except Food and</w:t>
            </w: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Drugs)</w:t>
            </w:r>
          </w:p>
        </w:tc>
        <w:tc>
          <w:tcPr>
            <w:tcW w:w="1480" w:type="dxa"/>
            <w:vAlign w:val="bottom"/>
          </w:tcPr>
          <w:p>
            <w:pPr>
              <w:ind w:left="80"/>
              <w:spacing w:after="0"/>
              <w:rPr>
                <w:sz w:val="20"/>
                <w:szCs w:val="20"/>
                <w:color w:val="auto"/>
              </w:rPr>
            </w:pPr>
            <w:r>
              <w:rPr>
                <w:rFonts w:ascii="Arial" w:cs="Arial" w:eastAsia="Arial" w:hAnsi="Arial"/>
                <w:sz w:val="14"/>
                <w:szCs w:val="14"/>
                <w:color w:val="auto"/>
              </w:rPr>
              <w:t>New Term 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7/9/2019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975,056</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972,887</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955,555</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EWT Holdings III Corp. (fka WTG</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III Corp.)</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Industrial Equipment</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1/15/2021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1,987,481</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1,982,274</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1,972,575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Federal-Mogul Corporation</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Automotive</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Tranche C Term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4/15/2021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3"/>
              </w:rPr>
              <w:t>2,985,000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2,971,883</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2,975,687</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2017 Second New</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Financial Intermediaries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Dollar Term Loan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3/23/2018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2,790,451</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2,729,399</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2,785,568</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First Data Corporation</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2018 Dollar Term</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Financial Intermediaries</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3/24/2021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2,111,028</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2,021,476</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2,115,777</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International, LLC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Leisure Goods/Activities/Movies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7/1/2020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1,492,500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1,482,322</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1,421,606</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FMG Resources (August 2006) Pty</w:t>
            </w:r>
          </w:p>
        </w:tc>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ind w:left="160"/>
              <w:spacing w:after="0"/>
              <w:rPr>
                <w:sz w:val="20"/>
                <w:szCs w:val="20"/>
                <w:color w:val="auto"/>
              </w:rPr>
            </w:pPr>
            <w:r>
              <w:rPr>
                <w:rFonts w:ascii="Arial" w:cs="Arial" w:eastAsia="Arial" w:hAnsi="Arial"/>
                <w:sz w:val="14"/>
                <w:szCs w:val="14"/>
                <w:color w:val="auto"/>
              </w:rPr>
              <w:t>LTD (FMG America Finance, Inc.)</w:t>
            </w:r>
          </w:p>
        </w:tc>
        <w:tc>
          <w:tcPr>
            <w:tcW w:w="2120" w:type="dxa"/>
            <w:vAlign w:val="bottom"/>
          </w:tcPr>
          <w:p>
            <w:pPr>
              <w:ind w:left="120"/>
              <w:spacing w:after="0"/>
              <w:rPr>
                <w:sz w:val="20"/>
                <w:szCs w:val="20"/>
                <w:color w:val="auto"/>
              </w:rPr>
            </w:pPr>
            <w:r>
              <w:rPr>
                <w:rFonts w:ascii="Arial" w:cs="Arial" w:eastAsia="Arial" w:hAnsi="Arial"/>
                <w:sz w:val="14"/>
                <w:szCs w:val="14"/>
                <w:color w:val="auto"/>
              </w:rPr>
              <w:t>Nonferrous Metals/Minerals</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6/28/2019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1,982,462</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1,982,212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1,835,423</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Four Seasons Holdings Inc.</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Lodging &amp; Casinos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6/27/2020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493,750</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493,750</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491,281</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Garda World Security Corporation</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Term B Delayed Draw</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Services: Business</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11/6/2020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201,157</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200,308</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199,146</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11/6/2020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786,343</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783,060</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778,479</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Gardner Denver, Inc.</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Initial Dollar Term</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Oil &amp; Gas</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7/30/2020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2,476,212</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2,467,608</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2,377,164</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Gates Global LLC</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Leisure Goods/Activities/Movies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7/3/2021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498,750</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493,763</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494,885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Generac Power Systems, Inc.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Industrial Equipment</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5/29/2020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802,956</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789,932</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797,182</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Nutrition Centers, Inc.</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Retailers (Except Food and</w:t>
            </w: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Amended Tranche B</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Drugs)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3/4/2019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4,724,136</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4,709,712</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4,649,353</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Global Tel*Link Corporation</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Services: Business</w:t>
            </w:r>
          </w:p>
        </w:tc>
        <w:tc>
          <w:tcPr>
            <w:tcW w:w="148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5/26/2020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2,755,515</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2,747,025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2,719,914</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Goodyear Tire &amp; Rubber Company,</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Chemicals/Plastics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 (Second 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4/30/2019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3,333,333</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3,296,753</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3,347,933</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Grosvenor Capital Management</w:t>
            </w:r>
          </w:p>
        </w:tc>
        <w:tc>
          <w:tcPr>
            <w:tcW w:w="2120" w:type="dxa"/>
            <w:vAlign w:val="bottom"/>
          </w:tcPr>
          <w:p>
            <w:pPr>
              <w:ind w:left="120"/>
              <w:spacing w:after="0" w:line="130" w:lineRule="exact"/>
              <w:rPr>
                <w:sz w:val="20"/>
                <w:szCs w:val="20"/>
                <w:color w:val="auto"/>
              </w:rPr>
            </w:pPr>
            <w:r>
              <w:rPr>
                <w:rFonts w:ascii="Arial" w:cs="Arial" w:eastAsia="Arial" w:hAnsi="Arial"/>
                <w:sz w:val="14"/>
                <w:szCs w:val="14"/>
                <w:color w:val="auto"/>
              </w:rPr>
              <w:t>Brokers/Dealers/Investment</w:t>
            </w: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ind w:left="160"/>
              <w:spacing w:after="0"/>
              <w:rPr>
                <w:sz w:val="20"/>
                <w:szCs w:val="20"/>
                <w:color w:val="auto"/>
              </w:rPr>
            </w:pPr>
            <w:r>
              <w:rPr>
                <w:rFonts w:ascii="Arial" w:cs="Arial" w:eastAsia="Arial" w:hAnsi="Arial"/>
                <w:sz w:val="14"/>
                <w:szCs w:val="14"/>
                <w:color w:val="auto"/>
              </w:rPr>
              <w:t>Holdings, LP</w:t>
            </w:r>
          </w:p>
        </w:tc>
        <w:tc>
          <w:tcPr>
            <w:tcW w:w="2120" w:type="dxa"/>
            <w:vAlign w:val="bottom"/>
          </w:tcPr>
          <w:p>
            <w:pPr>
              <w:ind w:left="120"/>
              <w:spacing w:after="0"/>
              <w:rPr>
                <w:sz w:val="20"/>
                <w:szCs w:val="20"/>
                <w:color w:val="auto"/>
              </w:rPr>
            </w:pPr>
            <w:r>
              <w:rPr>
                <w:rFonts w:ascii="Arial" w:cs="Arial" w:eastAsia="Arial" w:hAnsi="Arial"/>
                <w:sz w:val="14"/>
                <w:szCs w:val="14"/>
                <w:color w:val="auto"/>
              </w:rPr>
              <w:t>Houses</w:t>
            </w:r>
          </w:p>
        </w:tc>
        <w:tc>
          <w:tcPr>
            <w:tcW w:w="1480" w:type="dxa"/>
            <w:vAlign w:val="bottom"/>
          </w:tcPr>
          <w:p>
            <w:pPr>
              <w:ind w:left="80"/>
              <w:spacing w:after="0"/>
              <w:rPr>
                <w:sz w:val="20"/>
                <w:szCs w:val="20"/>
                <w:color w:val="auto"/>
              </w:rPr>
            </w:pPr>
            <w:r>
              <w:rPr>
                <w:rFonts w:ascii="Arial" w:cs="Arial" w:eastAsia="Arial" w:hAnsi="Arial"/>
                <w:sz w:val="14"/>
                <w:szCs w:val="14"/>
                <w:color w:val="auto"/>
              </w:rPr>
              <w:t>Initial Term 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3,395,892</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3,381,240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3,353,443</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GTCR Valor Companies, Inc.</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6/1/2021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1,995,000</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1,981,582</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1,965,075</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Harland Clarke Holdings Corp. (fka</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Tranche B-4 Term</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ind w:left="160"/>
              <w:spacing w:after="0"/>
              <w:rPr>
                <w:sz w:val="20"/>
                <w:szCs w:val="20"/>
                <w:color w:val="auto"/>
              </w:rPr>
            </w:pPr>
            <w:r>
              <w:rPr>
                <w:rFonts w:ascii="Arial" w:cs="Arial" w:eastAsia="Arial" w:hAnsi="Arial"/>
                <w:sz w:val="14"/>
                <w:szCs w:val="14"/>
                <w:color w:val="auto"/>
              </w:rPr>
              <w:t>Clarke American Corp.)</w:t>
            </w:r>
          </w:p>
        </w:tc>
        <w:tc>
          <w:tcPr>
            <w:tcW w:w="2120" w:type="dxa"/>
            <w:vAlign w:val="bottom"/>
          </w:tcPr>
          <w:p>
            <w:pPr>
              <w:ind w:left="120"/>
              <w:spacing w:after="0"/>
              <w:rPr>
                <w:sz w:val="20"/>
                <w:szCs w:val="20"/>
                <w:color w:val="auto"/>
              </w:rPr>
            </w:pPr>
            <w:r>
              <w:rPr>
                <w:rFonts w:ascii="Arial" w:cs="Arial" w:eastAsia="Arial" w:hAnsi="Arial"/>
                <w:sz w:val="14"/>
                <w:szCs w:val="14"/>
                <w:color w:val="auto"/>
              </w:rPr>
              <w:t>Publishing</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8/2/2019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487,500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485,460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488,963</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HCA Inc.</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B-4 Term</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Healthcare &amp; Pharmaceuticals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5/1/2018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5,663,006</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5,409,534</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5,658,872</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Hertz Corporation, The</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Tranche B-1 Term</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Automotive</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3/12/2018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2,940,000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2,975,234</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2,927,152</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Hoffmaster Group, Inc.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Containers/Glass Products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5/8/2020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1,990,000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1,972,040</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1,999,950</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Huntsman International LLC</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Extended Term B</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Chemicals/Plastics</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4/19/2017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3,880,270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3,866,113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3,872,199</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Husky Injection</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6/30/2021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498,099</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495,886</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495,818</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Ikaria, Inc.</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Initial Term Loan</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Healthcare &amp; Pharmaceuticals</w:t>
            </w:r>
          </w:p>
        </w:tc>
        <w:tc>
          <w:tcPr>
            <w:tcW w:w="1480" w:type="dxa"/>
            <w:vAlign w:val="bottom"/>
          </w:tcPr>
          <w:p>
            <w:pPr>
              <w:ind w:left="80"/>
              <w:spacing w:after="0"/>
              <w:rPr>
                <w:sz w:val="20"/>
                <w:szCs w:val="20"/>
                <w:color w:val="auto"/>
              </w:rPr>
            </w:pPr>
            <w:r>
              <w:rPr>
                <w:rFonts w:ascii="Arial" w:cs="Arial" w:eastAsia="Arial" w:hAnsi="Arial"/>
                <w:sz w:val="14"/>
                <w:szCs w:val="14"/>
                <w:color w:val="auto"/>
              </w:rPr>
              <w:t>(First Lien)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2/12/2021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435,702</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433,809</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434,251</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 (US), Inc. (fka Lawson Software</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B-5 Term</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6/3/2020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2,211,036</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2,194,068</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2,190,650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6.00%</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10/29/2021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3"/>
              </w:rPr>
              <w:t>2,000,000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1,990,539</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1,993,760</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 Crew Group, Inc.</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Retailers (Except Food and</w:t>
            </w: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Drugs)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Retired 03/05/2014</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3/5/2021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965,206</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965,206</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906,493</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Aerospace and Defense</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First Lien 6/14</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4.50%</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6/19/2021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497,576</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496,332</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492,913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Kinetic Concepts, Inc.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&amp; Pharmaceuticals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Dollar Term D-1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5/4/2018</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2,477,613</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2,453,687</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2,477,167</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7.50%</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5/15/2020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3"/>
              </w:rPr>
              <w:t>2,995,000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2,968,450</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2,961,306</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 Quinta Holdings, Inc.</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Lodging &amp; Casinos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4/14/2021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451,283</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449,626</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450,719</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Level 3 Financing, Inc.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Telecommunications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4.50%</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1/31/2022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500,000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496,541</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502,085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Containers/Glass Products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7/31/2021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498,750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496,409</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491,269</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Michaels Stores, Inc.</w:t>
            </w:r>
          </w:p>
        </w:tc>
        <w:tc>
          <w:tcPr>
            <w:tcW w:w="2120" w:type="dxa"/>
            <w:vAlign w:val="bottom"/>
          </w:tcPr>
          <w:p>
            <w:pPr>
              <w:ind w:left="120"/>
              <w:spacing w:after="0" w:line="130" w:lineRule="exact"/>
              <w:rPr>
                <w:sz w:val="20"/>
                <w:szCs w:val="20"/>
                <w:color w:val="auto"/>
              </w:rPr>
            </w:pPr>
            <w:r>
              <w:rPr>
                <w:rFonts w:ascii="Arial" w:cs="Arial" w:eastAsia="Arial" w:hAnsi="Arial"/>
                <w:sz w:val="14"/>
                <w:szCs w:val="14"/>
                <w:color w:val="auto"/>
              </w:rPr>
              <w:t>Retailers (Except Food and</w:t>
            </w: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Drugs)</w:t>
            </w:r>
          </w:p>
        </w:tc>
        <w:tc>
          <w:tcPr>
            <w:tcW w:w="1480" w:type="dxa"/>
            <w:vAlign w:val="bottom"/>
          </w:tcPr>
          <w:p>
            <w:pPr>
              <w:ind w:left="80"/>
              <w:spacing w:after="0"/>
              <w:rPr>
                <w:sz w:val="20"/>
                <w:szCs w:val="20"/>
                <w:color w:val="auto"/>
              </w:rPr>
            </w:pPr>
            <w:r>
              <w:rPr>
                <w:rFonts w:ascii="Arial" w:cs="Arial" w:eastAsia="Arial" w:hAnsi="Arial"/>
                <w:sz w:val="14"/>
                <w:szCs w:val="14"/>
                <w:color w:val="auto"/>
              </w:rPr>
              <w:t>Term B 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1/28/2020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491,250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491,250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488,258</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Michaels Stores, Inc.</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Retailers (Except Food and</w:t>
            </w:r>
          </w:p>
        </w:tc>
        <w:tc>
          <w:tcPr>
            <w:tcW w:w="1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Drugs)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B-2</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1/28/2020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1,492,500</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1,485,638</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1,488,769</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Microsemi Corporation</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Incremental Term</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Electronics/Electric</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2/19/2020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2,393,981</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2,389,500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2,381,509</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Electronics/Electric</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2/19/2020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172,170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172,170</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171,309</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Midas Intermediate Holdco II, LLC</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Delayed Draw Term</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Automotive</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8/18/2021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25,253</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25,253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25,364</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Automotive</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8/18/2021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224,122</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223,063</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225,103</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Millenium Laboratories, LLC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Drugs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4/16/2021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3"/>
              </w:rPr>
              <w:t>1,492,500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1,479,041</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1,489,396</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Mitel US Holdings, Inc.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Telecommunications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1/31/2020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196,558</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195,710</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196,411</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Healthcare &amp; Pharmaceuticals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3/31/2021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445,455</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444,453</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442,033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5.00%</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5/29/2020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995,000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986,186</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996,244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National CineMedia, LLC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w w:val="99"/>
              </w:rPr>
              <w:t>Leisure Goods/Activities/Movies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 (2013)</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2.95%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11/26/2019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3"/>
              </w:rPr>
              <w:t>1,086,207</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1,058,933</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1,067,198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Veterinary Associates, Inc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&amp; Pharmaceuticals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8/14/2021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997,500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992,907</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996,253</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National Vision, Inc.</w:t>
            </w:r>
          </w:p>
        </w:tc>
        <w:tc>
          <w:tcPr>
            <w:tcW w:w="2120" w:type="dxa"/>
            <w:vAlign w:val="bottom"/>
          </w:tcPr>
          <w:p>
            <w:pPr>
              <w:ind w:left="120"/>
              <w:spacing w:after="0" w:line="130" w:lineRule="exact"/>
              <w:rPr>
                <w:sz w:val="20"/>
                <w:szCs w:val="20"/>
                <w:color w:val="auto"/>
              </w:rPr>
            </w:pPr>
            <w:r>
              <w:rPr>
                <w:rFonts w:ascii="Arial" w:cs="Arial" w:eastAsia="Arial" w:hAnsi="Arial"/>
                <w:sz w:val="14"/>
                <w:szCs w:val="14"/>
                <w:color w:val="auto"/>
              </w:rPr>
              <w:t>Retailers (Except Food and</w:t>
            </w: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Term Loan (Second</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Drugs)</w:t>
            </w:r>
          </w:p>
        </w:tc>
        <w:tc>
          <w:tcPr>
            <w:tcW w:w="148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6.75%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3/11/2022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250,000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249,730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240,418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Publishing</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3.69%</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10/12/2016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2,215,385</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2,214,305</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2,201,538</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Electronics/Electric</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B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10/30/2020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995,000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992,803</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986,921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Conglomerate</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3/10/2017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4,807,530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4,817,740</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4,799,502</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Food Services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 (2013)</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12/28/2018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486,250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486,250</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480,780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NRG Energy, Inc.</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Utilities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(2013)</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7/2/2018</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3,861,225</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3,842,164</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3,850,761</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Chemicals/Plastics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4/7/2017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797,986</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797,986</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791,004</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Ollie’s Bargain Outlet, Inc</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Retailers (Except Food and</w:t>
            </w:r>
          </w:p>
        </w:tc>
        <w:tc>
          <w:tcPr>
            <w:tcW w:w="1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Drugs)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9/30/2019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977,052</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972,882</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962,396</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On Assignment, Inc.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Initial Term B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3.50%</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5/15/2020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3"/>
              </w:rPr>
              <w:t>1,311,364</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1,303,451</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1,301,528</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Onex Carestream Finance LP</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 Lien</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Healthcare &amp; Pharmaceuticals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2013)</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6/7/2019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4,074,401</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4,059,378</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4,078,842</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OnexYork Acquisition Co</w:t>
            </w:r>
          </w:p>
        </w:tc>
        <w:tc>
          <w:tcPr>
            <w:tcW w:w="2120" w:type="dxa"/>
            <w:vAlign w:val="bottom"/>
          </w:tcPr>
          <w:p>
            <w:pPr>
              <w:spacing w:after="0"/>
              <w:rPr>
                <w:sz w:val="11"/>
                <w:szCs w:val="11"/>
                <w:color w:val="auto"/>
              </w:rPr>
            </w:pPr>
          </w:p>
        </w:tc>
        <w:tc>
          <w:tcPr>
            <w:tcW w:w="1480" w:type="dxa"/>
            <w:vAlign w:val="bottom"/>
          </w:tcPr>
          <w:p>
            <w:pPr>
              <w:ind w:left="80"/>
              <w:spacing w:after="0" w:line="130" w:lineRule="exact"/>
              <w:rPr>
                <w:sz w:val="20"/>
                <w:szCs w:val="20"/>
                <w:color w:val="auto"/>
              </w:rPr>
            </w:pPr>
            <w:r>
              <w:rPr>
                <w:rFonts w:ascii="Arial" w:cs="Arial" w:eastAsia="Arial" w:hAnsi="Arial"/>
                <w:sz w:val="14"/>
                <w:szCs w:val="14"/>
                <w:color w:val="auto"/>
              </w:rPr>
              <w:t>Delayed Draw Term</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Arial" w:cs="Arial" w:eastAsia="Arial" w:hAnsi="Arial"/>
                <w:sz w:val="14"/>
                <w:szCs w:val="14"/>
                <w:color w:val="auto"/>
              </w:rPr>
              <w:t>Healthcare &amp; Pharmaceuticals</w:t>
            </w:r>
          </w:p>
        </w:tc>
        <w:tc>
          <w:tcPr>
            <w:tcW w:w="148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10/1/2021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OnexYork Acquisition Co</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&amp; Pharmaceuticals</w:t>
            </w:r>
          </w:p>
        </w:tc>
        <w:tc>
          <w:tcPr>
            <w:tcW w:w="1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10/1/2021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498,750</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495,208</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496,466</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OpenLink International LLC</w:t>
            </w:r>
          </w:p>
        </w:tc>
        <w:tc>
          <w:tcPr>
            <w:tcW w:w="2120" w:type="dxa"/>
            <w:vAlign w:val="bottom"/>
          </w:tcPr>
          <w:p>
            <w:pPr>
              <w:ind w:left="120"/>
              <w:spacing w:after="0" w:line="149" w:lineRule="exact"/>
              <w:rPr>
                <w:sz w:val="20"/>
                <w:szCs w:val="20"/>
                <w:color w:val="auto"/>
              </w:rPr>
            </w:pPr>
            <w:r>
              <w:rPr>
                <w:rFonts w:ascii="Arial" w:cs="Arial" w:eastAsia="Arial" w:hAnsi="Arial"/>
                <w:sz w:val="14"/>
                <w:szCs w:val="14"/>
                <w:color w:val="auto"/>
              </w:rPr>
              <w:t>Services: Business</w:t>
            </w:r>
          </w:p>
        </w:tc>
        <w:tc>
          <w:tcPr>
            <w:tcW w:w="1480" w:type="dxa"/>
            <w:vAlign w:val="bottom"/>
          </w:tcPr>
          <w:p>
            <w:pPr>
              <w:ind w:left="80"/>
              <w:spacing w:after="0" w:line="149" w:lineRule="exact"/>
              <w:rPr>
                <w:sz w:val="20"/>
                <w:szCs w:val="20"/>
                <w:color w:val="auto"/>
              </w:rPr>
            </w:pPr>
            <w:r>
              <w:rPr>
                <w:rFonts w:ascii="Arial" w:cs="Arial" w:eastAsia="Arial" w:hAnsi="Arial"/>
                <w:sz w:val="14"/>
                <w:szCs w:val="14"/>
                <w:color w:val="auto"/>
              </w:rPr>
              <w:t>Term B Loan</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10/28/2017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970,000</w:t>
            </w:r>
          </w:p>
        </w:tc>
        <w:tc>
          <w:tcPr>
            <w:tcW w:w="10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970,000</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957,875</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Orbitz Worldwide, Inc.</w:t>
            </w:r>
          </w:p>
        </w:tc>
        <w:tc>
          <w:tcPr>
            <w:tcW w:w="2120" w:type="dxa"/>
            <w:vAlign w:val="bottom"/>
            <w:shd w:val="clear" w:color="auto" w:fill="CCEEFF"/>
          </w:tcPr>
          <w:p>
            <w:pPr>
              <w:spacing w:after="0"/>
              <w:rPr>
                <w:sz w:val="11"/>
                <w:szCs w:val="11"/>
                <w:color w:val="auto"/>
              </w:rPr>
            </w:pPr>
          </w:p>
        </w:tc>
        <w:tc>
          <w:tcPr>
            <w:tcW w:w="14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4/15/2021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3"/>
              </w:rPr>
              <w:t>1,494,994</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1,492,711</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1,494,755</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P.F. Chang’s China Bistro, Inc. (Wok</w:t>
            </w:r>
          </w:p>
        </w:tc>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340" w:type="dxa"/>
            <w:vAlign w:val="bottom"/>
          </w:tcPr>
          <w:p>
            <w:pPr>
              <w:ind w:left="160"/>
              <w:spacing w:after="0"/>
              <w:rPr>
                <w:sz w:val="20"/>
                <w:szCs w:val="20"/>
                <w:color w:val="auto"/>
              </w:rPr>
            </w:pPr>
            <w:r>
              <w:rPr>
                <w:rFonts w:ascii="Arial" w:cs="Arial" w:eastAsia="Arial" w:hAnsi="Arial"/>
                <w:sz w:val="14"/>
                <w:szCs w:val="14"/>
                <w:color w:val="auto"/>
              </w:rPr>
              <w:t>Acquisition Corp.)</w:t>
            </w:r>
          </w:p>
        </w:tc>
        <w:tc>
          <w:tcPr>
            <w:tcW w:w="2120" w:type="dxa"/>
            <w:vAlign w:val="bottom"/>
          </w:tcPr>
          <w:p>
            <w:pPr>
              <w:ind w:left="120"/>
              <w:spacing w:after="0"/>
              <w:rPr>
                <w:sz w:val="20"/>
                <w:szCs w:val="20"/>
                <w:color w:val="auto"/>
              </w:rPr>
            </w:pPr>
            <w:r>
              <w:rPr>
                <w:rFonts w:ascii="Arial" w:cs="Arial" w:eastAsia="Arial" w:hAnsi="Arial"/>
                <w:sz w:val="14"/>
                <w:szCs w:val="14"/>
                <w:color w:val="auto"/>
              </w:rPr>
              <w:t>Food/Drug Retailers</w:t>
            </w:r>
          </w:p>
        </w:tc>
        <w:tc>
          <w:tcPr>
            <w:tcW w:w="1480" w:type="dxa"/>
            <w:vAlign w:val="bottom"/>
          </w:tcPr>
          <w:p>
            <w:pPr>
              <w:ind w:left="80"/>
              <w:spacing w:after="0"/>
              <w:rPr>
                <w:sz w:val="20"/>
                <w:szCs w:val="20"/>
                <w:color w:val="auto"/>
              </w:rPr>
            </w:pPr>
            <w:r>
              <w:rPr>
                <w:rFonts w:ascii="Arial" w:cs="Arial" w:eastAsia="Arial" w:hAnsi="Arial"/>
                <w:sz w:val="14"/>
                <w:szCs w:val="14"/>
                <w:color w:val="auto"/>
              </w:rPr>
              <w:t>Term Borrowing</w:t>
            </w:r>
          </w:p>
        </w:tc>
        <w:tc>
          <w:tcPr>
            <w:tcW w:w="520" w:type="dxa"/>
            <w:vAlign w:val="bottom"/>
          </w:tcPr>
          <w:p>
            <w:pPr>
              <w:ind w:left="80"/>
              <w:spacing w:after="0"/>
              <w:rPr>
                <w:sz w:val="20"/>
                <w:szCs w:val="20"/>
                <w:color w:val="auto"/>
              </w:rPr>
            </w:pPr>
            <w:r>
              <w:rPr>
                <w:rFonts w:ascii="Arial" w:cs="Arial" w:eastAsia="Arial" w:hAnsi="Arial"/>
                <w:sz w:val="14"/>
                <w:szCs w:val="14"/>
                <w:color w:val="auto"/>
              </w:rPr>
              <w:t>Loan</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6/24/2019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3"/>
              </w:rPr>
              <w:t>1,447,901</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1,440,712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1,406,274</w:t>
            </w:r>
          </w:p>
        </w:tc>
      </w:tr>
      <w:tr>
        <w:trPr>
          <w:trHeight w:val="182"/>
        </w:trPr>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P2 Upstream Acquisition Co. (P2</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 Business</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10/30/2020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990,000</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985,444</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947,925</w:t>
            </w:r>
          </w:p>
        </w:tc>
      </w:tr>
      <w:tr>
        <w:trPr>
          <w:trHeight w:val="36"/>
        </w:trPr>
        <w:tc>
          <w:tcPr>
            <w:tcW w:w="234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108" w:right="239" w:bottom="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Upstream Canada BC ULC)</w:t>
            </w:r>
          </w:p>
        </w:tc>
        <w:tc>
          <w:tcPr>
            <w:tcW w:w="2080" w:type="dxa"/>
            <w:vAlign w:val="bottom"/>
            <w:shd w:val="clear" w:color="auto" w:fill="CCEEFF"/>
          </w:tcPr>
          <w:p>
            <w:pPr>
              <w:spacing w:after="0"/>
              <w:rPr>
                <w:sz w:val="14"/>
                <w:szCs w:val="14"/>
                <w:color w:val="auto"/>
              </w:rPr>
            </w:pP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Par Pharmaceutical</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 B3</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9/28/2019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497,502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499,065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PetCo Animal Supplies Stores, Inc.</w:t>
            </w:r>
          </w:p>
        </w:tc>
        <w:tc>
          <w:tcPr>
            <w:tcW w:w="20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Retailers (Except Food and</w:t>
            </w:r>
          </w:p>
        </w:tc>
        <w:tc>
          <w:tcPr>
            <w:tcW w:w="1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Drugs)</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 Loans</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11/24/2017</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$1,469,388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1,468,520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1,467,066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PetSmart</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Retail</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5.00%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3/11/2022</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$1,000,000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PGX Holdings,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9/29/2020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993,750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984,482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993,750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w w:val="97"/>
              </w:rPr>
              <w:t>Pharmaceutical Product Development,</w:t>
            </w:r>
          </w:p>
        </w:tc>
        <w:tc>
          <w:tcPr>
            <w:tcW w:w="2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Arial" w:cs="Arial" w:eastAsia="Arial" w:hAnsi="Arial"/>
                <w:sz w:val="14"/>
                <w:szCs w:val="14"/>
                <w:color w:val="auto"/>
              </w:rPr>
              <w:t>Inc. (Jaguar Holdings, LLC)</w:t>
            </w:r>
          </w:p>
        </w:tc>
        <w:tc>
          <w:tcPr>
            <w:tcW w:w="20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1460" w:type="dxa"/>
            <w:vAlign w:val="bottom"/>
          </w:tcPr>
          <w:p>
            <w:pPr>
              <w:ind w:left="80"/>
              <w:spacing w:after="0"/>
              <w:rPr>
                <w:sz w:val="20"/>
                <w:szCs w:val="20"/>
                <w:color w:val="auto"/>
              </w:rPr>
            </w:pPr>
            <w:r>
              <w:rPr>
                <w:rFonts w:ascii="Arial" w:cs="Arial" w:eastAsia="Arial" w:hAnsi="Arial"/>
                <w:sz w:val="14"/>
                <w:szCs w:val="14"/>
                <w:color w:val="auto"/>
              </w:rPr>
              <w:t>2013 Term Loan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12/5/2018</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$1,940,400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1,918,409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1,935,898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6/16/2021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497,500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495,245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Pinnacle Foods Finance LLC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Food Products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New Term Loan G</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4/29/2020</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$2,581,332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2,576,466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2,565,560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Leisure Goods/Activities/Movies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3/31/2021</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$1,488,750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1,482,052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Polymer Group,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Initial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12/19/2019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492,860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2/2/2022</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$2,000,000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1,940,655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1,973,760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Prestige Brands,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Drugs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B-1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4.13%</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1/31/2019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344,697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341,112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Prestige Brands,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Leisure Goods/Activities/Movies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9/3/2021</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$ 1,861,111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1,858,280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1,860,534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QoL Meds, LLC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5.50%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7/15/2020</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$1,995,000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1,985,909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1,990,013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Quintiles Transnational Corp.</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Conglomerate</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B-3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6/8/2018</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$3,627,678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3,600,425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3,628,802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10/1/2021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995,145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996,882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Ranpak Holdings, Inc.</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(Second</w:t>
            </w: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 Business</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8.25%</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9/30/2022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497,672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496,250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Redtop Acquisitions Limited</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Initial Dollar Term</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Electronics/Electric</w:t>
            </w:r>
          </w:p>
        </w:tc>
        <w:tc>
          <w:tcPr>
            <w:tcW w:w="1460" w:type="dxa"/>
            <w:vAlign w:val="bottom"/>
          </w:tcPr>
          <w:p>
            <w:pPr>
              <w:ind w:left="80"/>
              <w:spacing w:after="0"/>
              <w:rPr>
                <w:sz w:val="20"/>
                <w:szCs w:val="20"/>
                <w:color w:val="auto"/>
              </w:rPr>
            </w:pPr>
            <w:r>
              <w:rPr>
                <w:rFonts w:ascii="Arial" w:cs="Arial" w:eastAsia="Arial" w:hAnsi="Arial"/>
                <w:sz w:val="14"/>
                <w:szCs w:val="14"/>
                <w:color w:val="auto"/>
              </w:rPr>
              <w:t>Loan (First Lien)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12/3/2020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495,000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491,974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494,381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Rexnord LLC/RBS Global,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8/21/2020</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$1,646,799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1,648,172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1,642,172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Reynolds Group Holdings Inc.</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Incremental U.S.</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Industrial Equipment</w:t>
            </w:r>
          </w:p>
        </w:tc>
        <w:tc>
          <w:tcPr>
            <w:tcW w:w="1460" w:type="dxa"/>
            <w:vAlign w:val="bottom"/>
          </w:tcPr>
          <w:p>
            <w:pPr>
              <w:ind w:left="80"/>
              <w:spacing w:after="0"/>
              <w:rPr>
                <w:sz w:val="20"/>
                <w:szCs w:val="20"/>
                <w:color w:val="auto"/>
              </w:rPr>
            </w:pPr>
            <w:r>
              <w:rPr>
                <w:rFonts w:ascii="Arial" w:cs="Arial" w:eastAsia="Arial" w:hAnsi="Arial"/>
                <w:sz w:val="14"/>
                <w:szCs w:val="14"/>
                <w:color w:val="auto"/>
              </w:rPr>
              <w:t>Term Loan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12/1/2018</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$1,960,200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1,960,200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1,965,767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Riverbed Technology</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6.00%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2/25/2022</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$1,000,000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Rocket Software, Inc.</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Services: Business</w:t>
            </w:r>
          </w:p>
        </w:tc>
        <w:tc>
          <w:tcPr>
            <w:tcW w:w="1460" w:type="dxa"/>
            <w:vAlign w:val="bottom"/>
          </w:tcPr>
          <w:p>
            <w:pPr>
              <w:ind w:left="80"/>
              <w:spacing w:after="0"/>
              <w:rPr>
                <w:sz w:val="20"/>
                <w:szCs w:val="20"/>
                <w:color w:val="auto"/>
              </w:rPr>
            </w:pPr>
            <w:r>
              <w:rPr>
                <w:rFonts w:ascii="Arial" w:cs="Arial" w:eastAsia="Arial" w:hAnsi="Arial"/>
                <w:sz w:val="14"/>
                <w:szCs w:val="14"/>
                <w:color w:val="auto"/>
              </w:rPr>
              <w:t>Lien)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2/8/2018</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$1,916,674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1,898,764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1,906,285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Rovi Solutions Corporation / Rovi</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B-3 Term</w:t>
            </w: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Guides, Inc.</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Electronics/Electric</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7/2/2021</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$1,492,500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1,485,607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1,479,441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RPI Finance Trust</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Drugs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B-2 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5/9/2018</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$5,207,431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5,188,396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5,219,147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SBP Holdings LP</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Industrial Equipment</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3/27/2021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992,500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988,065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863,475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Scientific Games International,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 B2</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6.00%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10/1/2021</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$1,000,000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990,433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998,040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Scitor Corporation</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2/15/2017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463,977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462,387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461,077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Seadrill</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Oil &amp; Gas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2/21/2021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997,481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917,590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806,294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Sensata Technologies B.V./Sensata</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Technology Finance Company, LLC</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Industrial Equipment</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5/13/2019</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$1,509,445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1,509,445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1,511,603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w w:val="96"/>
              </w:rPr>
              <w:t>Sensus USA Inc. (fka Sensus Metering</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Arial" w:cs="Arial" w:eastAsia="Arial" w:hAnsi="Arial"/>
                <w:sz w:val="14"/>
                <w:szCs w:val="14"/>
                <w:color w:val="auto"/>
              </w:rPr>
              <w:t>Systems)</w:t>
            </w:r>
          </w:p>
        </w:tc>
        <w:tc>
          <w:tcPr>
            <w:tcW w:w="2080" w:type="dxa"/>
            <w:vAlign w:val="bottom"/>
          </w:tcPr>
          <w:p>
            <w:pPr>
              <w:ind w:left="80"/>
              <w:spacing w:after="0"/>
              <w:rPr>
                <w:sz w:val="20"/>
                <w:szCs w:val="20"/>
                <w:color w:val="auto"/>
              </w:rPr>
            </w:pPr>
            <w:r>
              <w:rPr>
                <w:rFonts w:ascii="Arial" w:cs="Arial" w:eastAsia="Arial" w:hAnsi="Arial"/>
                <w:sz w:val="14"/>
                <w:szCs w:val="14"/>
                <w:color w:val="auto"/>
              </w:rPr>
              <w:t>Utilities</w:t>
            </w:r>
          </w:p>
        </w:tc>
        <w:tc>
          <w:tcPr>
            <w:tcW w:w="1460" w:type="dxa"/>
            <w:vAlign w:val="bottom"/>
          </w:tcPr>
          <w:p>
            <w:pPr>
              <w:ind w:left="80"/>
              <w:spacing w:after="0"/>
              <w:rPr>
                <w:sz w:val="20"/>
                <w:szCs w:val="20"/>
                <w:color w:val="auto"/>
              </w:rPr>
            </w:pPr>
            <w:r>
              <w:rPr>
                <w:rFonts w:ascii="Arial" w:cs="Arial" w:eastAsia="Arial" w:hAnsi="Arial"/>
                <w:sz w:val="14"/>
                <w:szCs w:val="14"/>
                <w:color w:val="auto"/>
              </w:rPr>
              <w:t>Lien)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5/9/2017</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$1,925,067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1,920,548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1,925,067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ServiceMaster Company, The</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Conglomerate</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Tranche B 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7/1/2021</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$1,995,000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1,976,650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1,994,641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Shearers Foods LLC</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Food Services</w:t>
            </w:r>
          </w:p>
        </w:tc>
        <w:tc>
          <w:tcPr>
            <w:tcW w:w="1460" w:type="dxa"/>
            <w:vAlign w:val="bottom"/>
          </w:tcPr>
          <w:p>
            <w:pPr>
              <w:ind w:left="80"/>
              <w:spacing w:after="0"/>
              <w:rPr>
                <w:sz w:val="20"/>
                <w:szCs w:val="20"/>
                <w:color w:val="auto"/>
              </w:rPr>
            </w:pPr>
            <w:r>
              <w:rPr>
                <w:rFonts w:ascii="Arial" w:cs="Arial" w:eastAsia="Arial" w:hAnsi="Arial"/>
                <w:sz w:val="14"/>
                <w:szCs w:val="14"/>
                <w:color w:val="auto"/>
              </w:rPr>
              <w:t>Lien)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6/30/2021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995,166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996,253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Sonneborn, LLC</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Chemicals/Plastics</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12/10/2020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225,000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224,471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Initial US 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5.50%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12/10/2020</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$1,275,000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1,272,004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Sophia, L.P.</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7/19/2018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886,138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877,732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884,756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SourceHOV LLC</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Term Loan B (First</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Services: Business</w:t>
            </w:r>
          </w:p>
        </w:tc>
        <w:tc>
          <w:tcPr>
            <w:tcW w:w="1460" w:type="dxa"/>
            <w:vAlign w:val="bottom"/>
          </w:tcPr>
          <w:p>
            <w:pPr>
              <w:ind w:left="80"/>
              <w:spacing w:after="0"/>
              <w:rPr>
                <w:sz w:val="20"/>
                <w:szCs w:val="20"/>
                <w:color w:val="auto"/>
              </w:rPr>
            </w:pPr>
            <w:r>
              <w:rPr>
                <w:rFonts w:ascii="Arial" w:cs="Arial" w:eastAsia="Arial" w:hAnsi="Arial"/>
                <w:sz w:val="14"/>
                <w:szCs w:val="14"/>
                <w:color w:val="auto"/>
              </w:rPr>
              <w:t>Lien)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10/31/2019</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$2,000,000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1,942,284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1,915,000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Southwire Company, LLC (f.k.a</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Southwire Company)</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Building and Development</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Initial Term Loan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2/10/2021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496,250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495,181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485,084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SRAM, LLC</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Industrial Equipment</w:t>
            </w:r>
          </w:p>
        </w:tc>
        <w:tc>
          <w:tcPr>
            <w:tcW w:w="1460" w:type="dxa"/>
            <w:vAlign w:val="bottom"/>
          </w:tcPr>
          <w:p>
            <w:pPr>
              <w:ind w:left="80"/>
              <w:spacing w:after="0"/>
              <w:rPr>
                <w:sz w:val="20"/>
                <w:szCs w:val="20"/>
                <w:color w:val="auto"/>
              </w:rPr>
            </w:pPr>
            <w:r>
              <w:rPr>
                <w:rFonts w:ascii="Arial" w:cs="Arial" w:eastAsia="Arial" w:hAnsi="Arial"/>
                <w:sz w:val="14"/>
                <w:szCs w:val="14"/>
                <w:color w:val="auto"/>
              </w:rPr>
              <w:t>Lien)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4/10/2020</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$2,967,681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2,957,888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2,952,842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3/19/2021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983,723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975,131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STHI Holding</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4.50%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8/6/2021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994,388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SunGard Data Systems Inc. (Solar</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Corp.)</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Conglomerate</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Tranche C Term Loan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2/28/2017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285,352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283,117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285,084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SunGard Data Systems Inc. (Solar</w:t>
            </w:r>
          </w:p>
        </w:tc>
        <w:tc>
          <w:tcPr>
            <w:tcW w:w="20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Arial" w:cs="Arial" w:eastAsia="Arial" w:hAnsi="Arial"/>
                <w:sz w:val="14"/>
                <w:szCs w:val="14"/>
                <w:color w:val="auto"/>
              </w:rPr>
              <w:t>Capital Corp.)</w:t>
            </w:r>
          </w:p>
        </w:tc>
        <w:tc>
          <w:tcPr>
            <w:tcW w:w="20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1460" w:type="dxa"/>
            <w:vAlign w:val="bottom"/>
          </w:tcPr>
          <w:p>
            <w:pPr>
              <w:ind w:left="80"/>
              <w:spacing w:after="0"/>
              <w:rPr>
                <w:sz w:val="20"/>
                <w:szCs w:val="20"/>
                <w:color w:val="auto"/>
              </w:rPr>
            </w:pPr>
            <w:r>
              <w:rPr>
                <w:rFonts w:ascii="Arial" w:cs="Arial" w:eastAsia="Arial" w:hAnsi="Arial"/>
                <w:sz w:val="14"/>
                <w:szCs w:val="14"/>
                <w:color w:val="auto"/>
                <w:w w:val="99"/>
              </w:rPr>
              <w:t>Tranche E Term Loan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3/9/2020</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$3,707,953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3,618,899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3,706,804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Publishing</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11.60%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12/30/2016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238,660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232,462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4/23/2019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479,913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476,105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473,314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TGI Friday’s</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7/15/2020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267,977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266,768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267,642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TGI Friday’s</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Term Loan (Second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Food Services</w:t>
            </w:r>
          </w:p>
        </w:tc>
        <w:tc>
          <w:tcPr>
            <w:tcW w:w="1460" w:type="dxa"/>
            <w:vAlign w:val="bottom"/>
          </w:tcPr>
          <w:p>
            <w:pPr>
              <w:ind w:left="80"/>
              <w:spacing w:after="0"/>
              <w:rPr>
                <w:sz w:val="20"/>
                <w:szCs w:val="20"/>
                <w:color w:val="auto"/>
              </w:rPr>
            </w:pPr>
            <w:r>
              <w:rPr>
                <w:rFonts w:ascii="Arial" w:cs="Arial" w:eastAsia="Arial" w:hAnsi="Arial"/>
                <w:sz w:val="14"/>
                <w:szCs w:val="14"/>
                <w:color w:val="auto"/>
              </w:rPr>
              <w:t>Lien)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7/15/2021</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$2,000,000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2,016,250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TPF II Power LLC and TPF II Covert</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Midco LLC</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Utilities</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10/2/2021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496,689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504,790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TransDigm,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w w:val="99"/>
              </w:rPr>
              <w:t>Tranche C 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2/28/2020</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$4,847,054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4,856,484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4,824,661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TransFirst</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11/12/2021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495,182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502,815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TransUnion</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4/9/2021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496,250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495,138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493,977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Tricorbraun, Inc. (fka Kranson</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Industries, Inc.)</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Containers/Glass Products</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5/3/2018</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$1,850,000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1,843,008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1,822,250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Truven Health Analytics Inc. (fka</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New Tranche B Term</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Arial" w:cs="Arial" w:eastAsia="Arial" w:hAnsi="Arial"/>
                <w:sz w:val="14"/>
                <w:szCs w:val="14"/>
                <w:color w:val="auto"/>
                <w:w w:val="98"/>
              </w:rPr>
              <w:t>Thomson Reuters (Healthcare) Inc.)</w:t>
            </w:r>
          </w:p>
        </w:tc>
        <w:tc>
          <w:tcPr>
            <w:tcW w:w="2080" w:type="dxa"/>
            <w:vAlign w:val="bottom"/>
          </w:tcPr>
          <w:p>
            <w:pPr>
              <w:ind w:left="80"/>
              <w:spacing w:after="0"/>
              <w:rPr>
                <w:sz w:val="20"/>
                <w:szCs w:val="20"/>
                <w:color w:val="auto"/>
              </w:rPr>
            </w:pPr>
            <w:r>
              <w:rPr>
                <w:rFonts w:ascii="Arial" w:cs="Arial" w:eastAsia="Arial" w:hAnsi="Arial"/>
                <w:sz w:val="14"/>
                <w:szCs w:val="14"/>
                <w:color w:val="auto"/>
              </w:rPr>
              <w:t>Healthcare &amp; Pharmaceuticals</w:t>
            </w:r>
          </w:p>
        </w:tc>
        <w:tc>
          <w:tcPr>
            <w:tcW w:w="1460" w:type="dxa"/>
            <w:vAlign w:val="bottom"/>
          </w:tcPr>
          <w:p>
            <w:pPr>
              <w:ind w:left="80"/>
              <w:spacing w:after="0"/>
              <w:rPr>
                <w:sz w:val="20"/>
                <w:szCs w:val="20"/>
                <w:color w:val="auto"/>
              </w:rPr>
            </w:pPr>
            <w:r>
              <w:rPr>
                <w:rFonts w:ascii="Arial" w:cs="Arial" w:eastAsia="Arial" w:hAnsi="Arial"/>
                <w:sz w:val="14"/>
                <w:szCs w:val="14"/>
                <w:color w:val="auto"/>
              </w:rPr>
              <w:t>Loan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6/6/2019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487,566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479,874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481,471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Twin River Management Group,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Lodging &amp; Casinos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7/10/2020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974,167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976,455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975,998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w w:val="96"/>
              </w:rPr>
              <w:t>U.S. Security Associates Holdings,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Delayed Draw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7/28/2017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158,518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157,610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U.S. Security Associates Holdings,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7/28/2017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931,046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926,144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920,572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w w:val="98"/>
              </w:rPr>
              <w:t>United Surgical Partners International,</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New Tranche B Term</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Arial" w:cs="Arial" w:eastAsia="Arial" w:hAnsi="Arial"/>
                <w:sz w:val="14"/>
                <w:szCs w:val="14"/>
                <w:color w:val="auto"/>
              </w:rPr>
              <w:t>Inc.</w:t>
            </w:r>
          </w:p>
        </w:tc>
        <w:tc>
          <w:tcPr>
            <w:tcW w:w="2080" w:type="dxa"/>
            <w:vAlign w:val="bottom"/>
          </w:tcPr>
          <w:p>
            <w:pPr>
              <w:ind w:left="80"/>
              <w:spacing w:after="0"/>
              <w:rPr>
                <w:sz w:val="20"/>
                <w:szCs w:val="20"/>
                <w:color w:val="auto"/>
              </w:rPr>
            </w:pPr>
            <w:r>
              <w:rPr>
                <w:rFonts w:ascii="Arial" w:cs="Arial" w:eastAsia="Arial" w:hAnsi="Arial"/>
                <w:sz w:val="14"/>
                <w:szCs w:val="14"/>
                <w:color w:val="auto"/>
              </w:rPr>
              <w:t>Healthcare &amp; Pharmaceuticals</w:t>
            </w:r>
          </w:p>
        </w:tc>
        <w:tc>
          <w:tcPr>
            <w:tcW w:w="1460" w:type="dxa"/>
            <w:vAlign w:val="bottom"/>
          </w:tcPr>
          <w:p>
            <w:pPr>
              <w:ind w:left="80"/>
              <w:spacing w:after="0"/>
              <w:rPr>
                <w:sz w:val="20"/>
                <w:szCs w:val="20"/>
                <w:color w:val="auto"/>
              </w:rPr>
            </w:pPr>
            <w:r>
              <w:rPr>
                <w:rFonts w:ascii="Arial" w:cs="Arial" w:eastAsia="Arial" w:hAnsi="Arial"/>
                <w:sz w:val="14"/>
                <w:szCs w:val="14"/>
                <w:color w:val="auto"/>
              </w:rPr>
              <w:t>Loan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4/3/2019</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$2,431,749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2,408,580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2,431,749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Univar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5.00%</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6/30/2017</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$3,844,964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3,844,749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3,813,935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line="130" w:lineRule="exact"/>
              <w:rPr>
                <w:sz w:val="20"/>
                <w:szCs w:val="20"/>
                <w:color w:val="auto"/>
              </w:rPr>
            </w:pPr>
            <w:r>
              <w:rPr>
                <w:rFonts w:ascii="Arial" w:cs="Arial" w:eastAsia="Arial" w:hAnsi="Arial"/>
                <w:sz w:val="14"/>
                <w:szCs w:val="14"/>
                <w:color w:val="auto"/>
              </w:rPr>
              <w:t>Univision Communications Inc.</w:t>
            </w:r>
          </w:p>
        </w:tc>
        <w:tc>
          <w:tcPr>
            <w:tcW w:w="2080" w:type="dxa"/>
            <w:vAlign w:val="bottom"/>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4"/>
                <w:szCs w:val="14"/>
                <w:color w:val="auto"/>
              </w:rPr>
              <w:t>Replacement First-</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Telecommunications</w:t>
            </w:r>
          </w:p>
        </w:tc>
        <w:tc>
          <w:tcPr>
            <w:tcW w:w="1460" w:type="dxa"/>
            <w:vAlign w:val="bottom"/>
          </w:tcPr>
          <w:p>
            <w:pPr>
              <w:ind w:left="80"/>
              <w:spacing w:after="0"/>
              <w:rPr>
                <w:sz w:val="20"/>
                <w:szCs w:val="20"/>
                <w:color w:val="auto"/>
              </w:rPr>
            </w:pPr>
            <w:r>
              <w:rPr>
                <w:rFonts w:ascii="Arial" w:cs="Arial" w:eastAsia="Arial" w:hAnsi="Arial"/>
                <w:sz w:val="14"/>
                <w:szCs w:val="14"/>
                <w:color w:val="auto"/>
              </w:rPr>
              <w:t>Lien Term Loan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3/1/2020</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$2,947,446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2,931,982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2,940,549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Valeant Pharmaceuticals International,</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D2 Term Loan</w:t>
            </w: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Drugs</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B</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2/13/2019</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$2,545,588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2,537,415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2,539,683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9/6/2019</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1"/>
              </w:rPr>
              <w:t>$1,264,058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1,259,623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1,259,634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Vertafore,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(2013)</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10/3/2019</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$2,881,003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2,881,003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2,878,294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5.00%</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6/28/2021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497,500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495,243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499,366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Washington Inventory Service</w:t>
            </w:r>
          </w:p>
        </w:tc>
        <w:tc>
          <w:tcPr>
            <w:tcW w:w="2080" w:type="dxa"/>
            <w:vAlign w:val="bottom"/>
            <w:shd w:val="clear" w:color="auto" w:fill="CCEEFF"/>
          </w:tcPr>
          <w:p>
            <w:pPr>
              <w:spacing w:after="0"/>
              <w:rPr>
                <w:sz w:val="11"/>
                <w:szCs w:val="11"/>
                <w:color w:val="auto"/>
              </w:rPr>
            </w:pPr>
          </w:p>
        </w:tc>
        <w:tc>
          <w:tcPr>
            <w:tcW w:w="1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U.S. Term Loan (First</w:t>
            </w: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 Business</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12/20/2018</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1"/>
              </w:rPr>
              <w:t>$1,832,876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1,851,978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1,796,218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Waste Industries</w:t>
            </w:r>
          </w:p>
        </w:tc>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Environmental</w:t>
            </w:r>
          </w:p>
        </w:tc>
        <w:tc>
          <w:tcPr>
            <w:tcW w:w="146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74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2/27/2020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249,375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Wendy’s International, Inc</w:t>
            </w:r>
          </w:p>
        </w:tc>
        <w:tc>
          <w:tcPr>
            <w:tcW w:w="2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1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3.25%</w:t>
            </w:r>
          </w:p>
        </w:tc>
        <w:tc>
          <w:tcPr>
            <w:tcW w:w="102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5/15/2019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673,630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668,099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670,545</w:t>
            </w:r>
          </w:p>
        </w:tc>
        <w:tc>
          <w:tcPr>
            <w:tcW w:w="0" w:type="dxa"/>
            <w:vAlign w:val="bottom"/>
          </w:tcPr>
          <w:p>
            <w:pPr>
              <w:spacing w:after="0"/>
              <w:rPr>
                <w:sz w:val="1"/>
                <w:szCs w:val="1"/>
                <w:color w:val="auto"/>
              </w:rPr>
            </w:pPr>
          </w:p>
        </w:tc>
      </w:tr>
      <w:tr>
        <w:trPr>
          <w:trHeight w:val="365"/>
        </w:trPr>
        <w:tc>
          <w:tcPr>
            <w:tcW w:w="2380" w:type="dxa"/>
            <w:vAlign w:val="bottom"/>
            <w:gridSpan w:val="2"/>
          </w:tcPr>
          <w:p>
            <w:pPr>
              <w:spacing w:after="0"/>
              <w:rPr>
                <w:sz w:val="20"/>
                <w:szCs w:val="20"/>
                <w:color w:val="auto"/>
              </w:rPr>
            </w:pPr>
            <w:r>
              <w:rPr>
                <w:rFonts w:ascii="Arial" w:cs="Arial" w:eastAsia="Arial" w:hAnsi="Arial"/>
                <w:sz w:val="14"/>
                <w:szCs w:val="14"/>
                <w:color w:val="auto"/>
              </w:rPr>
              <w:t>West Corporation</w:t>
            </w:r>
          </w:p>
        </w:tc>
        <w:tc>
          <w:tcPr>
            <w:tcW w:w="2080" w:type="dxa"/>
            <w:vAlign w:val="bottom"/>
          </w:tcPr>
          <w:p>
            <w:pPr>
              <w:ind w:left="80"/>
              <w:spacing w:after="0"/>
              <w:rPr>
                <w:sz w:val="20"/>
                <w:szCs w:val="20"/>
                <w:color w:val="auto"/>
              </w:rPr>
            </w:pPr>
            <w:r>
              <w:rPr>
                <w:rFonts w:ascii="Arial" w:cs="Arial" w:eastAsia="Arial" w:hAnsi="Arial"/>
                <w:sz w:val="14"/>
                <w:szCs w:val="14"/>
                <w:color w:val="auto"/>
              </w:rPr>
              <w:t>Telecommunications</w:t>
            </w:r>
          </w:p>
        </w:tc>
        <w:tc>
          <w:tcPr>
            <w:tcW w:w="1460" w:type="dxa"/>
            <w:vAlign w:val="bottom"/>
          </w:tcPr>
          <w:p>
            <w:pPr>
              <w:ind w:left="80"/>
              <w:spacing w:after="0"/>
              <w:rPr>
                <w:sz w:val="20"/>
                <w:szCs w:val="20"/>
                <w:color w:val="auto"/>
              </w:rPr>
            </w:pPr>
            <w:r>
              <w:rPr>
                <w:rFonts w:ascii="Arial" w:cs="Arial" w:eastAsia="Arial" w:hAnsi="Arial"/>
                <w:sz w:val="14"/>
                <w:szCs w:val="14"/>
                <w:color w:val="auto"/>
              </w:rPr>
              <w:t>Term B-10 Loan</w:t>
            </w:r>
          </w:p>
        </w:tc>
        <w:tc>
          <w:tcPr>
            <w:tcW w:w="740" w:type="dxa"/>
            <w:vAlign w:val="bottom"/>
          </w:tcPr>
          <w:p>
            <w:pPr>
              <w:ind w:left="100"/>
              <w:spacing w:after="0"/>
              <w:rPr>
                <w:sz w:val="20"/>
                <w:szCs w:val="20"/>
                <w:color w:val="auto"/>
              </w:rPr>
            </w:pPr>
            <w:r>
              <w:rPr>
                <w:rFonts w:ascii="Arial" w:cs="Arial" w:eastAsia="Arial" w:hAnsi="Arial"/>
                <w:sz w:val="14"/>
                <w:szCs w:val="14"/>
                <w:color w:val="auto"/>
              </w:rPr>
              <w:t>Loan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6/30/2018</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$2,571,560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2,605,923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2,562,998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297,760,340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295,239,268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20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2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5,831,797</w:t>
            </w: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5,831,797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5,831,797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20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5,831,797</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5,831,797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5,831,797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80" w:right="2120" w:hanging="5572"/>
        <w:spacing w:after="0" w:line="449" w:lineRule="auto"/>
        <w:tabs>
          <w:tab w:leader="none" w:pos="4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February 28, 2015. S-6</w:t>
      </w:r>
    </w:p>
    <w:p>
      <w:pPr>
        <w:sectPr>
          <w:pgSz w:w="11900" w:h="16838" w:orient="portrait"/>
          <w:cols w:equalWidth="0" w:num="1">
            <w:col w:w="11420"/>
          </w:cols>
          <w:pgMar w:left="240" w:top="127" w:right="239" w:bottom="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Statements of Changes in Net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For the year ended</w:t>
            </w:r>
          </w:p>
        </w:tc>
        <w:tc>
          <w:tcPr>
            <w:tcW w:w="2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For the year ended</w:t>
            </w:r>
          </w:p>
        </w:tc>
      </w:tr>
      <w:tr>
        <w:trPr>
          <w:trHeight w:val="171"/>
        </w:trPr>
        <w:tc>
          <w:tcPr>
            <w:tcW w:w="682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 2016</w:t>
            </w: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February 28, 2015</w:t>
            </w:r>
          </w:p>
        </w:tc>
        <w:tc>
          <w:tcPr>
            <w:tcW w:w="26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February 28, 2014</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Net investment income (loss)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104,587</w:t>
            </w:r>
          </w:p>
        </w:tc>
        <w:tc>
          <w:tcPr>
            <w:tcW w:w="5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793,848</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   (2,143,630)</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(loss) from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419,096</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620,817</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(8,815,296)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Net unrealized appreciation (depreciation) on investments</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(16,277,895)</w:t>
            </w:r>
          </w:p>
        </w:tc>
        <w:tc>
          <w:tcPr>
            <w:tcW w:w="2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(3,874,583)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6,776,871</w:t>
            </w:r>
          </w:p>
        </w:tc>
      </w:tr>
      <w:tr>
        <w:trPr>
          <w:trHeight w:val="27"/>
        </w:trPr>
        <w:tc>
          <w:tcPr>
            <w:tcW w:w="68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decrease in net assets from operations</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(15,754,212)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(2,459,918)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(4,182,055)</w:t>
            </w:r>
          </w:p>
        </w:tc>
      </w:tr>
      <w:tr>
        <w:trPr>
          <w:trHeight w:val="223"/>
        </w:trPr>
        <w:tc>
          <w:tcPr>
            <w:tcW w:w="6820" w:type="dxa"/>
            <w:vAlign w:val="bottom"/>
          </w:tcPr>
          <w:p>
            <w:pPr>
              <w:ind w:left="720"/>
              <w:spacing w:after="0"/>
              <w:rPr>
                <w:sz w:val="20"/>
                <w:szCs w:val="20"/>
                <w:color w:val="auto"/>
              </w:rPr>
            </w:pPr>
            <w:r>
              <w:rPr>
                <w:rFonts w:ascii="Arial" w:cs="Arial" w:eastAsia="Arial" w:hAnsi="Arial"/>
                <w:sz w:val="18"/>
                <w:szCs w:val="18"/>
                <w:color w:val="auto"/>
              </w:rPr>
              <w:t>Total decrease in net assets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(15,754,212)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2"/>
              </w:rPr>
              <w:t>(2,459,918)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(4,182,055)</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(5,803,156)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(3,343,238)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838,817</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  (21,557,368</w:t>
            </w:r>
          </w:p>
        </w:tc>
        <w:tc>
          <w:tcPr>
            <w:tcW w:w="50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8"/>
              </w:rPr>
              <w:t>(5,803,156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(3,343,238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 2016</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 2015</w:t>
            </w:r>
          </w:p>
        </w:tc>
        <w:tc>
          <w:tcPr>
            <w:tcW w:w="22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February 28,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DECREASE IN NET ASSETS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(15,754,212)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(2,459,918)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(4,182,055)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DECREASE IN NET ASSETS FROM</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color w:val="auto"/>
              </w:rPr>
              <w:t>OPERATIONS TO NET CASH PROVIDED BY (USED BY) OPERATING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Paid-in-kind interest income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(56,830)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16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(280,310)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(454,809)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(568,674)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955,858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3,442,442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from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(419,096)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(620,817)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16,277,895</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3,874,583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(6,776,871)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 and redemption of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142,862,138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141,358,326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128,190,654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(147,989,317)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(138,738,379)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(55,721,381)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60"/>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(407,925)</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160,315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 from open trades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(572,144)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(318,421)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91,336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60"/>
              <w:spacing w:after="0"/>
              <w:rPr>
                <w:sz w:val="20"/>
                <w:szCs w:val="20"/>
                <w:color w:val="auto"/>
              </w:rPr>
            </w:pPr>
            <w:r>
              <w:rPr>
                <w:rFonts w:ascii="Arial" w:cs="Arial" w:eastAsia="Arial" w:hAnsi="Arial"/>
                <w:sz w:val="18"/>
                <w:szCs w:val="18"/>
                <w:color w:val="auto"/>
              </w:rPr>
              <w:t>Interest payable</w:t>
            </w:r>
          </w:p>
        </w:tc>
        <w:tc>
          <w:tcPr>
            <w:tcW w:w="16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(5,846)</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9,410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Payable from open trades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(4,230,669)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60"/>
              <w:spacing w:after="0"/>
              <w:rPr>
                <w:sz w:val="20"/>
                <w:szCs w:val="20"/>
                <w:color w:val="auto"/>
              </w:rPr>
            </w:pPr>
            <w:r>
              <w:rPr>
                <w:rFonts w:ascii="Arial" w:cs="Arial" w:eastAsia="Arial" w:hAnsi="Arial"/>
                <w:sz w:val="18"/>
                <w:szCs w:val="18"/>
                <w:color w:val="auto"/>
              </w:rPr>
              <w:t>Accrued base management fee</w:t>
            </w:r>
          </w:p>
        </w:tc>
        <w:tc>
          <w:tcPr>
            <w:tcW w:w="16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10,904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subordinated management fee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(97,629)</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NET CASH (USED BY) PROVIDED BY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(3,482,164)</w:t>
            </w: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(520,470)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70,546,218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Borrowings on debt</w:t>
            </w:r>
          </w:p>
        </w:tc>
        <w:tc>
          <w:tcPr>
            <w:tcW w:w="16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277,711,620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Paydowns on debt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(366,793,378)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Deferred debt financing costs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(2,250,398)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(91,332,156)</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(3,482,164)</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(2,187,136)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(20,785,938)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5,831,797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8,018,933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28,804,871</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2,349,633</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5,831,797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8,018,933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Interest paid during the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11,702,603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9,625,726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11,722,159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information: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56,830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167,097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280,310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454,809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955,858</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953,862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994,602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Purpose</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Saratoga Investment Corp. CLO 2013-1, Ltd. (the “Issuer”, “we”, “our”, “us”, “CLO” and “Saratoga CLO”), an exempted company with limited liability incorporated under the laws of the Cayman Islands was formed on November 28, 2007 and commenced operations on January 22, 2008. The Issuer was established to acquire or participate in U.S. dollar-denominated corporate debt obligations.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an indenture, dated January 22, 2008 (the “Indenture”), with U.S. Bank National Association (the “Trustee”) servicing as the Trustee there under.</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17, 2013, in a refinancing transaction,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 As of February 29, 2016, Saratoga Investment Corp. owned 100% of the Subordinated Notes of the CLO.</w:t>
      </w:r>
    </w:p>
    <w:p>
      <w:pPr>
        <w:spacing w:after="0" w:line="193"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Pursuant to an investment management agreement (the “Investment Management Agreement”), Saratoga Investment Corp. (the “Investment Manager”), provides investment management services to the Issuer, and makes day-to-day investment decisions concerning the assets of the Issuer. The Investment Manager also performs certain administrative services on behalf of the Issuer under the Investment Management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The accompanying financial statements have been prepared in accordance with U.S. generally accepted accounting principles (“U.S. GAAP”) and are stated in U.S. dollars. The following is a summary of the significant accounting policies followed by the Issuer in the preparation of its financial statements.</w:t>
      </w:r>
    </w:p>
    <w:p>
      <w:pPr>
        <w:spacing w:after="0" w:line="124"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 xml:space="preserve">The Issuer is considered to be an investment company for financial reporting purposes and has applied the guidance in accordance with the Financial Accounting Standards Board (“FASB”) Accounting Standards Codification (“ASC”) Topic 946, </w:t>
      </w:r>
      <w:r>
        <w:rPr>
          <w:rFonts w:ascii="Arial" w:cs="Arial" w:eastAsia="Arial" w:hAnsi="Arial"/>
          <w:sz w:val="17"/>
          <w:szCs w:val="17"/>
          <w:i w:val="1"/>
          <w:iCs w:val="1"/>
          <w:color w:val="auto"/>
        </w:rPr>
        <w:t>“Financial Services—Investment Companies.”</w:t>
      </w:r>
      <w:r>
        <w:rPr>
          <w:rFonts w:ascii="Arial" w:cs="Arial" w:eastAsia="Arial" w:hAnsi="Arial"/>
          <w:sz w:val="17"/>
          <w:szCs w:val="17"/>
          <w:color w:val="auto"/>
        </w:rPr>
        <w:t xml:space="preserve"> There has been no change to the Issuer’s status as an investment company during the year ended February 29,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preparation of the financial statements in conformity with U.S. GAAP requires the Investment Manager to make estimates and assumptions that affect the reported amounts of assets and liabilities at the date of the financial statements, including the fair value of investments, and the amounts of income and expenses during the reporting period. Actual results could differ from these estimates and such differences could be material.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Issuer defines cash and cash equivalents as highly liquid financial instruments with original maturities of three months or less. Cash and cash equivalents may include investments in money market mutual funds, which are carried at fair value. At February 29, 2016 and February 28, 2015, cash and cash equivalents amounted to $2.3 million and $5.8 million, respectively, and are swept on an overnight basis into a money market deposit account and invested in shares of JP Morgan Liquidity Institutional fund held at the Trustee.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Issuer accounts for its investments at fair value in accordance with the FASB ASC Topic 820, Fair Value Measurements and Disclosures (“ASC 820”). ASC 820 defines fair value, establishes a framework for measuring fair value, establishes a fair value hierarchy based on the quality of inputs used to measure fair value and enhances disclosure requirements for fair value measurements.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ASC 820 requires the Issuer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4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the Investment Manager to approve a fair value determination to reflect significant events affecting the value of these investments. The Investment Manager values investments for which market quotations are not readily available at fair value. Determinations of fair value may involve significant judgments and estimates. The types of factors that may be considered in determining the fair value of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are ultimately realized upon the disposal of such investments.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Transactions and Income Recognition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Issuer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the Investment Manager’s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Paid-in-Kind Interest</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Issuer holds debt investments in its portfolio that contain a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Debt Financing Costs, net</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In April 2015, the FASB has issued Accounting Standards Update (“ASU”) No. 2015-03, </w:t>
      </w:r>
      <w:r>
        <w:rPr>
          <w:rFonts w:ascii="Arial" w:cs="Arial" w:eastAsia="Arial" w:hAnsi="Arial"/>
          <w:sz w:val="17"/>
          <w:szCs w:val="17"/>
          <w:i w:val="1"/>
          <w:iCs w:val="1"/>
          <w:color w:val="auto"/>
        </w:rPr>
        <w:t>Interest—Imputation of Interest (Subtopic 835-30):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the Presentation of Debt Issuance Costs </w:t>
      </w:r>
      <w:r>
        <w:rPr>
          <w:rFonts w:ascii="Arial" w:cs="Arial" w:eastAsia="Arial" w:hAnsi="Arial"/>
          <w:sz w:val="17"/>
          <w:szCs w:val="17"/>
          <w:color w:val="auto"/>
        </w:rPr>
        <w:t>(“ASU 2015-03”). The amendments in this ASU require that debt issuance costs related to a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debt liability be presented in the balance sheet as a direct deduction from the carrying amount of that debt liability, consistent with debt discounts. The recognition and measurement guidance for debt issuance costs are not affected by the amendments in this ASU. The guidance is effective for fiscal years, and interim periods within those fiscal years, beginning after December 15, 2015, and early adoption is allowed, and is to be applied on a retrospective basis. Management has adopted the provisions of ASU 2015-03 as of February 28, 2015, by reclassifying deferred debt financing costs from within total assets to within total liabilities as a contra-liability. The adoption of the provisions of ASU 2015-03 did not materially impact the Issuer’s financial position or results of operations. Prior period amounts were reclassified to conform to the current period presentation.</w:t>
      </w:r>
    </w:p>
    <w:p>
      <w:pPr>
        <w:spacing w:after="0" w:line="17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Included in deferred debt financing costs of $1.7 million as of February 29, 2016 and $1.9 million as of February 28, 2015 are structuring fees of the investment bank, rating agency fees and legal fees associated with the issuance of the 2013-1 CLO Notes on October 17, 2013. Such costs have been capitalized and amortized using an effective yield method, over the life of the related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Deferred debt financing costs of $1.6 million, incurred in connection with the issuance of the Secured Notes, were expensed when the Secured Notes were extinguished on October 17,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Issuer is externally managed by the Investment Manager pursuant to the Investment Management Agreement. As compensation for the performance of its obligations under the Investment Management Agreement, the Investment Manager is entitled to receive from the Issuer a base management fee (the “Base Management Fee”), a subordinated management fee (the “Subordinated Management Fee”) and an incentive management fee (the “Incentive Management Fee”). The Base Management Fee is payable in arrears quarterly (subject to availability of funds and to the satisfaction of payment obligations on the debt obligations of the Issuer (the “Priority of Payments”) in an amount equal to 0.25% per annum of the fee basis amount at the beginning of the collection period. The Subordinated Management Fee is payable in arrears quarterly (subject to availability of funds and to the Priority of Payments) in an amount equal to 0.25% per annum of the fee basis amount at the beginning of the Collection Period. The Incentive Management Fee equals 20% of the remaining interest proceeds and principal proceeds, if any, after the Subordinated Notes have realized the incentive management fee target return of 12.0%, in accordance with the Priority of Payments after making the prior distributions on the relevant payment date. For the years ended February 29, 2016, February 28, 2015 and 2014, no Incentive Management Fees have been paid.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 bears its own organizational and offering expenses, all expenses related to its investment program and expenses incurred in connection with its operations including, but not limited to, external legal, administrative, trustee, accounting, tax and audit expenses, costs related to trading, acquiring, monitoring or disposing of investments of the Issuer, and interest and other borrowing expenses, expenses of preparing and distributing reports, financial statements, and litigation or other extraordinary expenses. The Issuer has retained the Trustee to provide trustee services. Additionally, the Trustee performs loan administration, debt covenant compliance calculations, and monitoring and reporting services. For the years ended February 29, 2016, February 28, 2015 and 2014, the Issuer paid $0.1 million, $0.1 million, $0.1 million, respectively, for trustee services provided and is included in other expenses in the statements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Issuer has issued rated and unrated notes to finance its operations. Interest on debt is calculated by the Trustee for the Issuer. Interest is accrued and generally paid quarterly. For the years ended February 29, 2016, February 28, 2015 and 2014, $5.6 million, $3.7 million and $5.7 million of payments to the Subordinated Notes were included in interest expense on the statements of operations,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In the ordinary course of its business, the Issuer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Issuer is also exposed to credit risk related to maintaining all of its cash and cash equivalents, including those in reserve accounts, at a major financial institution.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Issuer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firstLine="8"/>
        <w:spacing w:after="0" w:line="254"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the Issuer’s financial statements and disclosures.</w:t>
      </w:r>
    </w:p>
    <w:p>
      <w:pPr>
        <w:spacing w:after="0" w:line="19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August 2015, the FASB issued ASU 2015-15, </w:t>
      </w:r>
      <w:r>
        <w:rPr>
          <w:rFonts w:ascii="Arial" w:cs="Arial" w:eastAsia="Arial" w:hAnsi="Arial"/>
          <w:sz w:val="17"/>
          <w:szCs w:val="17"/>
          <w:i w:val="1"/>
          <w:iCs w:val="1"/>
          <w:color w:val="auto"/>
        </w:rPr>
        <w:t>Interest—Imputation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Associated with Line-of-Credit Arrangements </w:t>
      </w:r>
      <w:r>
        <w:rPr>
          <w:rFonts w:ascii="Arial" w:cs="Arial" w:eastAsia="Arial" w:hAnsi="Arial"/>
          <w:sz w:val="17"/>
          <w:szCs w:val="17"/>
          <w:color w:val="auto"/>
        </w:rPr>
        <w:t xml:space="preserve">(“ASU 2015-15”). ASU 2015-15 updates the accounting guidance included in ASU 2015-03, </w:t>
      </w:r>
      <w:r>
        <w:rPr>
          <w:rFonts w:ascii="Arial" w:cs="Arial" w:eastAsia="Arial" w:hAnsi="Arial"/>
          <w:sz w:val="17"/>
          <w:szCs w:val="17"/>
          <w:i w:val="1"/>
          <w:iCs w:val="1"/>
          <w:color w:val="auto"/>
        </w:rPr>
        <w:t>Interest—Imputation of Interest (Subtopic 835-30): Simplifying the Presentation of Debt Issuance Costs</w:t>
      </w:r>
      <w:r>
        <w:rPr>
          <w:rFonts w:ascii="Arial" w:cs="Arial" w:eastAsia="Arial" w:hAnsi="Arial"/>
          <w:sz w:val="17"/>
          <w:szCs w:val="17"/>
          <w:color w:val="auto"/>
        </w:rPr>
        <w:t>. The updated accounting guidance provided by ASU 2015-15 was the result of the Emerging Issues Task Force meeting, held on June 18, 2015, at which the SEC staff stated that the SEC would not object to an entity deferring and presenting costs related to revolving debt arrangements as an asset. As the Issuer previously adopted the provisions of ASU 2015-03 and reclassified all deferred debt financing costs from within total assets to within total liabilities as a contra-liability effective as of February 28, 2015, it has chosen not to avail itself of the updated accounting treatment provided by ASU 2015-15 and continues to include all deferred debt financing costs as a contra-liability within total liabilities.</w:t>
      </w:r>
    </w:p>
    <w:p>
      <w:pPr>
        <w:spacing w:after="0" w:line="17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February 2015, the FASB issued ASU 2015-02, </w:t>
      </w:r>
      <w:r>
        <w:rPr>
          <w:rFonts w:ascii="Arial" w:cs="Arial" w:eastAsia="Arial" w:hAnsi="Arial"/>
          <w:sz w:val="16"/>
          <w:szCs w:val="16"/>
          <w:i w:val="1"/>
          <w:iCs w:val="1"/>
          <w:color w:val="auto"/>
        </w:rPr>
        <w:t>Consolidation (ASC Topic 810): Amendments to the Consolidation Analysis</w:t>
      </w:r>
      <w:r>
        <w:rPr>
          <w:rFonts w:ascii="Arial" w:cs="Arial" w:eastAsia="Arial" w:hAnsi="Arial"/>
          <w:sz w:val="16"/>
          <w:szCs w:val="16"/>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does not believe these changes will have a material impact on the Issuer’s financial statements and disclosures.</w:t>
      </w:r>
    </w:p>
    <w:p>
      <w:pPr>
        <w:spacing w:after="0" w:line="15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Issuer’s financial statements and disclosures.</w:t>
      </w:r>
    </w:p>
    <w:p>
      <w:pPr>
        <w:spacing w:after="0" w:line="16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In May 2014, the FASB issued ASU </w:t>
      </w:r>
      <w:r>
        <w:rPr>
          <w:rFonts w:ascii="Arial" w:cs="Arial" w:eastAsia="Arial" w:hAnsi="Arial"/>
          <w:sz w:val="17"/>
          <w:szCs w:val="17"/>
          <w:i w:val="1"/>
          <w:iCs w:val="1"/>
          <w:color w:val="auto"/>
        </w:rPr>
        <w:t>2014-09, 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Management is currently evaluating the impact these changes will have on the Issuer’s financial statements and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noted above, the Issuer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Issuer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Issuer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a Level 3 asset, assuming no additional corroborating evidence.</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addition to using the above inputs in investment valuations, the Issuer continues to employ the valuation policy that is consistent with ASC 820 and the 1940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fair value measurements of investments, by major class, as of February 29, 2016, according to the fair value hierarchy:</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Fair Value Measurements</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2"/>
                <w:szCs w:val="12"/>
                <w:color w:val="auto"/>
              </w:rPr>
            </w:pPr>
          </w:p>
        </w:tc>
        <w:tc>
          <w:tcPr>
            <w:tcW w:w="98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2"/>
                <w:szCs w:val="12"/>
                <w:color w:val="auto"/>
              </w:rPr>
            </w:pPr>
          </w:p>
        </w:tc>
        <w:tc>
          <w:tcPr>
            <w:tcW w:w="11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10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$239,255,853</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$45,397,073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$284,652,926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Equity interest</w:t>
            </w: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190,095</w:t>
            </w:r>
          </w:p>
        </w:tc>
        <w:tc>
          <w:tcPr>
            <w:tcW w:w="5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1,768</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191,863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239,445,948</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45,398,841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284,844,789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fair value measurements of investments, by major class, as of February 28, 2015, according to the fair value hierarchy:</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Fair Value Measurements</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12"/>
                <w:szCs w:val="12"/>
                <w:color w:val="auto"/>
              </w:rPr>
            </w:pPr>
          </w:p>
        </w:tc>
        <w:tc>
          <w:tcPr>
            <w:tcW w:w="12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2"/>
                <w:szCs w:val="12"/>
                <w:color w:val="auto"/>
              </w:rPr>
            </w:pPr>
          </w:p>
        </w:tc>
        <w:tc>
          <w:tcPr>
            <w:tcW w:w="100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$294,621,817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$294,621,817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Equity interest</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617,451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617,451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295,239,268</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295,239,268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into or out of Level 1, 2 or 3 are recognized at the reporting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Term Loans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Net unrealized depreciation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(2,839,083)</w:t>
            </w: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(615,683)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(3,454,766)</w:t>
            </w: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19,713,411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19,713,411</w:t>
            </w:r>
          </w:p>
        </w:tc>
      </w:tr>
      <w:tr>
        <w:trPr>
          <w:trHeight w:val="216"/>
        </w:trPr>
        <w:tc>
          <w:tcPr>
            <w:tcW w:w="9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Sales and redemptions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(10,930,430)</w:t>
            </w:r>
          </w:p>
        </w:tc>
        <w:tc>
          <w:tcPr>
            <w:tcW w:w="2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(10,930,430)</w:t>
            </w: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6,887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6,887</w:t>
            </w:r>
          </w:p>
        </w:tc>
      </w:tr>
      <w:tr>
        <w:trPr>
          <w:trHeight w:val="223"/>
        </w:trPr>
        <w:tc>
          <w:tcPr>
            <w:tcW w:w="9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Net transfers in Level 3(1)</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39,446,288</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617,451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40,063,739</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February 29, 2016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45,397,073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45,398,841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Issuer’s investment in Level 3 investments were classified as such during the year ended February 29, 2016, as market quotes for these investments are only provided by one trading desk.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2015:</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Term Loans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2,618,899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unrealized appreciation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18,651</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Sales and redemptions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(2,658,626)</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Balance as of February 28, 2015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into or out of Level 3 are recognized at the reporting date.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net unrealized depreciation on Level 3 investments held as of February 29, 2016 was $3.4 million, and is included in net unrealized depreciation on investments in the statements of operations. There were no Level 3 investments held as of February 28, 2015.</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Significant unobservable inputs used in the fair value measurement of the Level 3 term loans and equity include market quotations available from multiple dealers. A significant increase (decrease) in the market quote, in isolation, would result in a significantly lower (higher) fair value measurement.</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29, 2016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Valuation Technique</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Unobservable Input</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Range</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45,397,073</w:t>
            </w:r>
          </w:p>
        </w:tc>
        <w:tc>
          <w:tcPr>
            <w:tcW w:w="3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Market Comparables</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Third-Party Bid</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32.00%</w:t>
            </w: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- 100.00%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Equity interest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1,768</w:t>
            </w: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Market Comparables</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Third-Party Bid</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- 12.83%</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Financing</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Secured Notes are limited recourse obligations of the Issuer. The Subordinated Notes are unsecured, limited recourse debt obligations of the Issuer.</w:t>
      </w:r>
    </w:p>
    <w:p>
      <w:pPr>
        <w:spacing w:after="0" w:line="24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October 17, 2013,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 The Subordinated Notes were not included in the refinancing transaction.</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2013-1 CLO Notes are limited recourse obligations of the Issuer. The Subordinated Notes are unsecured, limited recourse debt obligations of the Issuer.</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relative order of seniority of payment of each class of securities is, as follows: first, Class X Notes, second, Class A-1 Notes, third, Class A-2 Notes, fourth, Class B Notes, fifth, Class C Notes, sixth, Class D Notes, seventh, Class E Notes, eighth,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Class F Notes, and ninth, the Subordinated Notes, with (a) each class of securities (other than the Subordinated Notes) in such list being senior to each other class of securities that follows such class of securities in such list and (b) each class of securities (other than the Class X Notes) in such list being subordinate to each other class of securities that precedes such class of securities in such list. The Subordinated Notes are subordinated to the 2013-1 CLO Notes and are entitled to periodic payments from interest proceeds available in accordance with the Priority of Payments.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certain information for each outstanding class of notes issued, pursuant to the Indenture on October 17, 2013, at February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960" w:type="dxa"/>
            <w:vAlign w:val="bottom"/>
          </w:tcPr>
          <w:p>
            <w:pPr>
              <w:spacing w:after="0"/>
              <w:rPr>
                <w:sz w:val="14"/>
                <w:szCs w:val="14"/>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17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9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LIBOR + 1.30%</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October 20, 2023</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LIBOR + 1.50%</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2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 + 2.00%</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44,800,000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LIBOR + 2.90%</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16,000,000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2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 + 3.50%</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14,000,000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LIBOR + 4.50%</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2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 + 5.75%</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30,000,000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312,400,000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certain information for each outstanding class of notes issued, pursuant to the Indenture on October 17, 2013, at February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960" w:type="dxa"/>
            <w:vAlign w:val="bottom"/>
          </w:tcPr>
          <w:p>
            <w:pPr>
              <w:spacing w:after="0"/>
              <w:rPr>
                <w:sz w:val="14"/>
                <w:szCs w:val="14"/>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17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9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LIBOR + 1.30%</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October 20, 2023</w:t>
            </w:r>
          </w:p>
        </w:tc>
        <w:tc>
          <w:tcPr>
            <w:tcW w:w="4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LIBOR + 1.50%</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2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 + 2.00%</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44,800,000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LIBOR + 2.90%</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16,000,000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2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 + 3.50%</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14,000,000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LIBOR + 4.50%</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24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LIBOR + 5.75%</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30,000,000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312,400,000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each outstanding class of notes issued, pursuant to the Indenture, at fair value at February 29, 2016:</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Debt Security</w:t>
            </w:r>
          </w:p>
        </w:tc>
        <w:tc>
          <w:tcPr>
            <w:tcW w:w="4480" w:type="dxa"/>
            <w:vAlign w:val="bottom"/>
            <w:gridSpan w:val="4"/>
          </w:tcPr>
          <w:p>
            <w:pPr>
              <w:ind w:left="3240"/>
              <w:spacing w:after="0"/>
              <w:rPr>
                <w:sz w:val="20"/>
                <w:szCs w:val="20"/>
                <w:color w:val="auto"/>
              </w:rPr>
            </w:pPr>
            <w:r>
              <w:rPr>
                <w:rFonts w:ascii="Arial" w:cs="Arial" w:eastAsia="Arial" w:hAnsi="Arial"/>
                <w:sz w:val="14"/>
                <w:szCs w:val="14"/>
                <w:b w:val="1"/>
                <w:bCs w:val="1"/>
                <w:color w:val="auto"/>
              </w:rPr>
              <w:t>February 29, 2016</w:t>
            </w: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3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168,738,419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19,899,837</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43,780,120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14,987,621</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12,941,289</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10,358,170</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3,027,150</w:t>
            </w:r>
          </w:p>
        </w:tc>
        <w:tc>
          <w:tcPr>
            <w:tcW w:w="100" w:type="dxa"/>
            <w:vAlign w:val="bottom"/>
            <w:shd w:val="clear" w:color="auto" w:fill="CCEEFF"/>
          </w:tcPr>
          <w:p>
            <w:pPr>
              <w:spacing w:after="0"/>
              <w:rPr>
                <w:sz w:val="18"/>
                <w:szCs w:val="18"/>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12,827,980</w:t>
            </w:r>
          </w:p>
        </w:tc>
        <w:tc>
          <w:tcPr>
            <w:tcW w:w="100" w:type="dxa"/>
            <w:vAlign w:val="bottom"/>
          </w:tcPr>
          <w:p>
            <w:pPr>
              <w:spacing w:after="0"/>
              <w:rPr>
                <w:sz w:val="19"/>
                <w:szCs w:val="19"/>
                <w:color w:val="auto"/>
              </w:rPr>
            </w:pPr>
          </w:p>
        </w:tc>
      </w:tr>
      <w:tr>
        <w:trPr>
          <w:trHeight w:val="216"/>
        </w:trPr>
        <w:tc>
          <w:tcPr>
            <w:tcW w:w="8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286,560,586</w:t>
            </w:r>
          </w:p>
        </w:tc>
        <w:tc>
          <w:tcPr>
            <w:tcW w:w="100" w:type="dxa"/>
            <w:vAlign w:val="bottom"/>
            <w:shd w:val="clear" w:color="auto" w:fill="CCEEFF"/>
          </w:tcPr>
          <w:p>
            <w:pPr>
              <w:spacing w:after="0"/>
              <w:rPr>
                <w:sz w:val="18"/>
                <w:szCs w:val="18"/>
                <w:color w:val="auto"/>
              </w:rPr>
            </w:pPr>
          </w:p>
        </w:tc>
      </w:tr>
      <w:tr>
        <w:trPr>
          <w:trHeight w:val="372"/>
        </w:trPr>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0" w:type="dxa"/>
            <w:vAlign w:val="bottom"/>
            <w:gridSpan w:val="2"/>
          </w:tcPr>
          <w:p>
            <w:pPr>
              <w:ind w:left="420"/>
              <w:spacing w:after="0"/>
              <w:rPr>
                <w:sz w:val="20"/>
                <w:szCs w:val="20"/>
                <w:color w:val="auto"/>
              </w:rPr>
            </w:pPr>
            <w:r>
              <w:rPr>
                <w:rFonts w:ascii="Arial" w:cs="Arial" w:eastAsia="Arial" w:hAnsi="Arial"/>
                <w:sz w:val="18"/>
                <w:szCs w:val="18"/>
                <w:color w:val="auto"/>
              </w:rPr>
              <w:t>S-15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each outstanding class of notes issued, pursuant to the Indenture, at fair value at February 28,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Debt Security</w:t>
            </w:r>
          </w:p>
        </w:tc>
        <w:tc>
          <w:tcPr>
            <w:tcW w:w="3060" w:type="dxa"/>
            <w:vAlign w:val="bottom"/>
            <w:gridSpan w:val="4"/>
          </w:tcPr>
          <w:p>
            <w:pPr>
              <w:ind w:left="1820"/>
              <w:spacing w:after="0"/>
              <w:rPr>
                <w:sz w:val="20"/>
                <w:szCs w:val="20"/>
                <w:color w:val="auto"/>
              </w:rPr>
            </w:pPr>
            <w:r>
              <w:rPr>
                <w:rFonts w:ascii="Arial" w:cs="Arial" w:eastAsia="Arial" w:hAnsi="Arial"/>
                <w:sz w:val="14"/>
                <w:szCs w:val="14"/>
                <w:b w:val="1"/>
                <w:bCs w:val="1"/>
                <w:color w:val="auto"/>
              </w:rPr>
              <w:t>February 28, 2015</w:t>
            </w: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168,987,651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19,973,973</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44,569,451</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15,898,369</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13,737,672</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12,404,616</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4,234,225</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17,031,146</w:t>
            </w:r>
          </w:p>
        </w:tc>
        <w:tc>
          <w:tcPr>
            <w:tcW w:w="100" w:type="dxa"/>
            <w:vAlign w:val="bottom"/>
          </w:tcPr>
          <w:p>
            <w:pPr>
              <w:spacing w:after="0"/>
              <w:rPr>
                <w:sz w:val="19"/>
                <w:szCs w:val="19"/>
                <w:color w:val="auto"/>
              </w:rPr>
            </w:pPr>
          </w:p>
        </w:tc>
      </w:tr>
      <w:tr>
        <w:trPr>
          <w:trHeight w:val="216"/>
        </w:trPr>
        <w:tc>
          <w:tcPr>
            <w:tcW w:w="8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296,837,103</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These notes are fair valued based on a discounted cash flow model, specifically using Intex cash flow models, to form the basis for the valuation and would be classified as level 3 liabilities within the fair value hierarchy.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the weighted average interest rate for the years ended February 29, 2016, February 28, 2015 and February 28, 2014:</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Weighted Average Interest Rate</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940" w:type="dxa"/>
            <w:vAlign w:val="bottom"/>
          </w:tcPr>
          <w:p>
            <w:pPr>
              <w:spacing w:after="0"/>
              <w:rPr>
                <w:sz w:val="10"/>
                <w:szCs w:val="10"/>
                <w:color w:val="auto"/>
              </w:rPr>
            </w:pPr>
          </w:p>
        </w:tc>
        <w:tc>
          <w:tcPr>
            <w:tcW w:w="1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15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29,</w:t>
            </w:r>
          </w:p>
        </w:tc>
        <w:tc>
          <w:tcPr>
            <w:tcW w:w="15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February 28,</w:t>
            </w:r>
          </w:p>
        </w:tc>
        <w:tc>
          <w:tcPr>
            <w:tcW w:w="8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Pr>
          <w:p>
            <w:pPr>
              <w:spacing w:after="0"/>
              <w:rPr>
                <w:sz w:val="14"/>
                <w:szCs w:val="14"/>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2013-1 CLO Notes</w:t>
            </w: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X Floating Rate Senior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LIBOR + 1.05%</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1.28%</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1.29%</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A-1 Floating Rate Senior Notes</w:t>
            </w:r>
          </w:p>
        </w:tc>
        <w:tc>
          <w:tcPr>
            <w:tcW w:w="26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LIBOR + 1.30%</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1.62%</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1.54%</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LIBOR + 1.50%</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1.82%</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1.73%</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1.74%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26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LIBOR + 2.00%</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2.32%</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2.23%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2.24%</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LIBOR + 2.90%</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3.22%</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3.13%</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3.14%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26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LIBOR + 3.50%</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3.82%</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3.73%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3.74%</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LIBOR + 4.50%</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4.82%</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4.73%</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4.74%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26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LIBOR + 5.75%</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6.07%</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5.98%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5.99%</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Secured Notes</w:t>
            </w: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A Floating Rate Senior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LIBOR + 0.75%</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1.03%</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26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LIBOR + 2.50%</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2.78%</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LIBOR + 3.75%</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4.03%</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26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LIBOR + 4.70%</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4.98%</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2640" w:type="dxa"/>
            <w:vAlign w:val="bottom"/>
            <w:gridSpan w:val="3"/>
          </w:tcPr>
          <w:p>
            <w:pPr>
              <w:ind w:left="940"/>
              <w:spacing w:after="0"/>
              <w:rPr>
                <w:sz w:val="20"/>
                <w:szCs w:val="20"/>
                <w:color w:val="auto"/>
              </w:rPr>
            </w:pPr>
            <w:r>
              <w:rPr>
                <w:rFonts w:ascii="Arial" w:cs="Arial" w:eastAsia="Arial" w:hAnsi="Arial"/>
                <w:sz w:val="18"/>
                <w:szCs w:val="18"/>
                <w:color w:val="auto"/>
              </w:rPr>
              <w:t>LIBOR + 6.45%</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6.73%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Indenture provides that payments on the Subordinated Notes shall rank subordinate in priority of payment to payments due on all classes of 2013-1 CLO Notes and subordinate in priority of payment to the payment of fees and expenses. Distributions on the Subordinated Notes are limited to the assets of the Issuer remaining after payment of all of the liabilities of the Issuer that rank senior in priority of payment to the Subordinated Notes. To the extent that the proceeds from the collateral are not sufficient to make distributions on the Subordinated Notes the Issuer will have no further obligation in respect of the Subordinated Notes.</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Interest proceeds and, after the 2013-1 CLO Notes have been paid in full, principal proceeds, in each case will be distributed to the holders of the Subordinated Notes in accordance with the Indenture.</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Distributions, if any, on the Subordinated Notes will be payable quarterly on the 20th day of each January, April, July and October of each calendar year or, if any such day is not a business day, on the next succeeding business day (each, a “Payment Date”), commencing on the first Payment Date, and on January 21, 2020 (or if any such day is not a business day, the next succeeding business day) (the “Stated Redemption Date”) (if not redeemed prior to such date) sequentially in order of seniority. At the Stated Redemption Date, the Subordinated Notes will be redeemed after payment in full of all of the 2013-1 CLO Notes and the payment of all administrative and other fees and expenses. The failure to pay interest proceeds or principal proceeds to the holders of the Subordinated Notes will not be an event of default under the Indenture.</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May of 2009, the Issuer defaulted on its Class E overcollateralization ratio of 105.10%, at which point, $4.0 million of interest proceeds were used to repay the Class E Notes through November 2009. Interest on the Class C, Class D, and Class E Notes was deferred and repaid in January of 2010 upon the Issuer’s return to compliance. Distributions to the Subordinated Notes resumed in April of 2010.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As of February 29, 2016, the remaining unamortized discount on the Class A-1 Notes, Class A-2 Notes, Class B Notes, Class C Notes, Class D Notes, Class E Notes, and Class F Notes were $1.3 million, $0.1 million, $0.9 million, $0.6 million, $0.7 million, $1.4 million, and $0.5 million, respectively.</w:t>
      </w:r>
    </w:p>
    <w:p>
      <w:pPr>
        <w:spacing w:after="0" w:line="124"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As of February 28, 2015, the remaining unamortized discount on the Class A-1 Notes, Class A-2 Notes, Class B Notes, Class C Notes, Class D Notes, Class E Notes, and Class F Notes were $1.5 million, $0.2 million, $1.0 million, $0.6 million, $0.8 million, $1.5 million, and $0.6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Under the current laws, the Issuer is not subject to net income taxation in the United States or the Cayman Islands. Accordingly, no provision for income taxes has been made in the accompanying financial statements.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Pursuant to ASC Topic 740,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the Issuer adopted the provisions of the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The Investment Manager has analyzed such tax positions for uncertain tax positions for tax years that may be open (2013—2016). The Issuer identifies its major tax jurisdictions as U.S. Federal, state and foreign jurisdictions where the Issuer makes investments. As of February 29, 2016 and February 28, 2015, there was no impact to the financial statements as a result of the Issuer’s accounting for uncertainty in income taxes. The Issuer does not have any unrecognized tax benefits or liabilities for the years ended February 29, 2016, February 28, 2015 and 2014. Also, the Issuer recognizes interest and, if applicable, penalties for any uncertain tax positions, as a component of income tax expense. No interest or penalty expense was recorded by the Issuer for the years ended February 29, 2016, February 28, 2015 and 2014.</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the ordinary course of its business, the Issuer may enter into contracts or agreements that contain indemnifications or warranties. Future events could occur that lead to the execution of these provisions against the Issuer. Based on its history and experience, the Investment Manager feels that the likelihood of such an event is remote.</w:t>
      </w:r>
    </w:p>
    <w:p>
      <w:pPr>
        <w:spacing w:after="0" w:line="18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In the ordinary course of business, the Issuer may directly or indirectly be a defendant or plaintiff in legal actions with respect to bankruptcy, insolvency or other types of proceedings. Such lawsuits may involve claims that could adversely affect the value of certain financial instruments owned by the Issuer. As of February 29, 2016 and February 28, 2015, the Issuer is not subject to any material legal proceedings.</w:t>
      </w:r>
    </w:p>
    <w:p>
      <w:pPr>
        <w:spacing w:after="0" w:line="166"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The terms of Collateralized Debt Investments may require the Issuer to provide funding for any unfunded portion of a Collateralized Debt Investment at the request of the borrower. At February 29, 2016 and February 28, 2015, the Issuer had no unfunded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Related-Party Transactions</w:t>
      </w:r>
    </w:p>
    <w:p>
      <w:pPr>
        <w:spacing w:after="0" w:line="12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In the ordinary course of business and as permitted per the terms of the Indenture, the Issuer may acquire or sell investments to or from related parties at the fair value at such time. For the years ended February 29, 2016, February 28, 2015 and 2014, the Issuer bought no investments from related parties and sold investments fair valued at $0.0 million, $0.0 million, and $0.3 million, respectively, to the Investment Manager.</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Subordinated Notes are wholly owned by the Investment Manager. The Subordinated Notes do not have a stated coupon rate, but are entitled to residual cash flows from the CLO’s investments after all of the other tranches of debt and certain other fees and expenses are paid. For the years ended February 29, 2016, February 28, 2015 and 2014, $5.6 million, $3.7 million, and $5.7 million of payments to the Subordinated Notes were included in interest expense in the statements of operations,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Capital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contributions and distributions shall be made at such time and in such amounts as determined by the Investment Manager and the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majority holder of the Subordinated Notes has various control rights over the CLO, including the ability to call the CLO prior to its legal maturity, replace the Investment Manager under certain circumstances, and refinance any of the outstanding debt tranches. The voting structure of the Subordinated Notes may require either majority or unanimous approval depending upon the issue.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authorized share capital of the Issuer consists of 50,000 ordinary shares, 250 of which are owned by Maples Finance Limited and are held under the terms of a declaration of trust.</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February 29, 2016 and February 28, 2015, net assets were $(21.6) million and $(5.8) million, respectively. These amounts include accumulated losses of $(5.8) million and $(3.3) million, respectively, which includes cumulative net investment income or loss, cumulative amounts of gains and losses realized from investment transactions, net unrealized appreciation or depreciation of investments, as well as the cumulative effect of accounting mismatches between investments accounted for at fair value and amortized cost or accrual-basis assets and liabilities as discussed in Significant Accounting Policies, above. The Issuer’s investments continue to generate sufficient liquidity to satisfy its obligations on periodic payment dates as well as comply with all performance criteria as of the statements of assets and liabilities date.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years ended February 29, 2016, February 28,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February 29,</w:t>
            </w: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February 28,</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3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Average subordinated notes’ capital balance(1)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$18,382,072</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$25,077,372</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$28,471,910</w:t>
            </w:r>
          </w:p>
        </w:tc>
        <w:tc>
          <w:tcPr>
            <w:tcW w:w="2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Ratio and supplemental data:</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Return(2)</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(49.59)%</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investment income(3)</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0.57%</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3.17%</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expenses(3)</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79.34%</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49.79%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Base management fee(3)</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4.07%</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3.03%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fee(3)</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4.07%</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Subordinated notes’ capital balance is calculated based on the sum of the subordinated notes outstanding amount and total net assets, net of ordinary equity.</w:t>
      </w:r>
    </w:p>
    <w:p>
      <w:pPr>
        <w:spacing w:after="0" w:line="1" w:lineRule="exact"/>
        <w:rPr>
          <w:rFonts w:ascii="Arial" w:cs="Arial" w:eastAsia="Arial" w:hAnsi="Arial"/>
          <w:sz w:val="18"/>
          <w:szCs w:val="18"/>
          <w:color w:val="auto"/>
        </w:rPr>
      </w:pPr>
    </w:p>
    <w:p>
      <w:pPr>
        <w:jc w:val="both"/>
        <w:ind w:left="460" w:right="300" w:hanging="452"/>
        <w:spacing w:after="0" w:line="250"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return is calculated based on a time-weighted rate of return methodology. Quarterly rates of return are compounded to derive the total return reflected above. Total return is calculated for the subordinated notes’ capital taken as a whole and assumes the purchase of the subordinated notes’ capital on the first day of the period and the sale of the last day of the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Calculated based on the average subordinated notes’ capital balance.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Investment Manager has evaluated events or transactions that have occurred since February 29, 2016 through May 17, 2016, the date the financial statements were available for issuance. The Investment Manager has determined that there are no material events that would require the disclosure in the financial statements.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00"/>
          </w:cols>
          <w:pgMar w:left="240" w:top="459" w:right="3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640" w:hanging="17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Saratoga Investment Corp.;</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640" w:hanging="17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Saratoga Investment Corp.;</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20" w:firstLine="464"/>
        <w:spacing w:after="0" w:line="342" w:lineRule="auto"/>
        <w:tabs>
          <w:tab w:leader="none" w:pos="63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procedures (as defined in Exchange Act Rules 13a-15(e) and 15d-15(e)) for the company and have:</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connection with the Annual Report on Form 10-K of Saratoga Investment Corp. (the “Company”) for the annual period ended February 29, 2016, as filed with the Securities Exchange Commission on the date hereof (the “Report”), I, Christian L. Oberbeck, Chief Executive Officer of the Company, and I, Henri J. Steenkamp, Chief Financial Officer of the Company, each certify, pursuant to Section 906 of the Sarbanes-Oxley Act of 2002, that to our knowledge:</w:t>
      </w:r>
    </w:p>
    <w:p>
      <w:pPr>
        <w:spacing w:after="0" w:line="39" w:lineRule="exact"/>
        <w:rPr>
          <w:sz w:val="20"/>
          <w:szCs w:val="20"/>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lvl w:ilvl="1">
      <w:lvlJc w:val="left"/>
      <w:lvlText w:val="•"/>
      <w:numFmt w:val="bullet"/>
      <w:start w:val="1"/>
    </w:lvl>
  </w:abstractNum>
  <w:abstractNum w:abstractNumId="7">
    <w:nsid w:val="4B588F54"/>
    <w:multiLevelType w:val="hybridMultilevel"/>
    <w:lvl w:ilvl="0">
      <w:lvlJc w:val="left"/>
      <w:lvlText w:val="•"/>
      <w:numFmt w:val="bullet"/>
      <w:start w:val="1"/>
    </w:lvl>
    <w:lvl w:ilvl="1">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decimal"/>
      <w:start w:val="2"/>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decimal"/>
      <w:start w:val="1"/>
    </w:lvl>
    <w:lvl w:ilvl="1">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2"/>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emdash "/>
      <w:numFmt w:val="bullet"/>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lvl w:ilvl="1">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14"/>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lowerLetter"/>
      <w:start w:val="7"/>
    </w:lvl>
  </w:abstractNum>
  <w:abstractNum w:abstractNumId="62">
    <w:nsid w:val="661E3F1E"/>
    <w:multiLevelType w:val="hybridMultilevel"/>
    <w:lvl w:ilvl="0">
      <w:lvlJc w:val="left"/>
      <w:lvlText w:val="(%1)"/>
      <w:numFmt w:val="lowerLetter"/>
      <w:start w:val="1"/>
    </w:lvl>
  </w:abstractNum>
  <w:abstractNum w:abstractNumId="63">
    <w:nsid w:val="5DC79EA8"/>
    <w:multiLevelType w:val="hybridMultilevel"/>
    <w:lvl w:ilvl="0">
      <w:lvlJc w:val="left"/>
      <w:lvlText w:val="(%1)"/>
      <w:numFmt w:val="lowerLetter"/>
      <w:start w:val="7"/>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2"/>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2"/>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decimal"/>
      <w:start w:val="2"/>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2019-12-29T11:25:04Z</dcterms:created>
  <dcterms:modified xsi:type="dcterms:W3CDTF">2019-12-29T11:25:04Z</dcterms:modified>
</cp:coreProperties>
</file>