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February 28, 2017</w:t>
      </w:r>
    </w:p>
    <w:p>
      <w:pPr>
        <w:spacing w:after="0" w:line="243" w:lineRule="exact"/>
        <w:rPr>
          <w:sz w:val="24"/>
          <w:szCs w:val="24"/>
          <w:color w:val="auto"/>
        </w:rPr>
      </w:pPr>
    </w:p>
    <w:p>
      <w:pPr>
        <w:ind w:left="460" w:right="80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001-33376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SARATOGA INVESTMENT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1860" w:type="dxa"/>
            <w:vAlign w:val="bottom"/>
          </w:tcPr>
          <w:p>
            <w:pPr>
              <w:spacing w:after="0"/>
              <w:rPr>
                <w:sz w:val="18"/>
                <w:szCs w:val="18"/>
                <w:color w:val="auto"/>
              </w:rPr>
            </w:pPr>
          </w:p>
        </w:tc>
        <w:tc>
          <w:tcPr>
            <w:tcW w:w="4920" w:type="dxa"/>
            <w:vAlign w:val="bottom"/>
            <w:gridSpan w:val="4"/>
          </w:tcPr>
          <w:p>
            <w:pPr>
              <w:jc w:val="center"/>
              <w:ind w:right="3780"/>
              <w:spacing w:after="0"/>
              <w:rPr>
                <w:sz w:val="20"/>
                <w:szCs w:val="20"/>
                <w:color w:val="auto"/>
              </w:rPr>
            </w:pPr>
            <w:r>
              <w:rPr>
                <w:rFonts w:ascii="Arial" w:cs="Arial" w:eastAsia="Arial" w:hAnsi="Arial"/>
                <w:sz w:val="18"/>
                <w:szCs w:val="18"/>
                <w:b w:val="1"/>
                <w:bCs w:val="1"/>
                <w:color w:val="auto"/>
                <w:w w:val="98"/>
              </w:rPr>
              <w:t>Maryland</w:t>
            </w:r>
          </w:p>
        </w:tc>
        <w:tc>
          <w:tcPr>
            <w:tcW w:w="2100" w:type="dxa"/>
            <w:vAlign w:val="bottom"/>
            <w:gridSpan w:val="2"/>
          </w:tcPr>
          <w:p>
            <w:pPr>
              <w:jc w:val="center"/>
              <w:ind w:left="639"/>
              <w:spacing w:after="0"/>
              <w:rPr>
                <w:sz w:val="20"/>
                <w:szCs w:val="20"/>
                <w:color w:val="auto"/>
              </w:rPr>
            </w:pPr>
            <w:r>
              <w:rPr>
                <w:rFonts w:ascii="Arial" w:cs="Arial" w:eastAsia="Arial" w:hAnsi="Arial"/>
                <w:sz w:val="18"/>
                <w:szCs w:val="18"/>
                <w:b w:val="1"/>
                <w:bCs w:val="1"/>
                <w:color w:val="auto"/>
                <w:w w:val="89"/>
              </w:rPr>
              <w:t>20-8700615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780" w:type="dxa"/>
            <w:vAlign w:val="bottom"/>
            <w:gridSpan w:val="5"/>
          </w:tcPr>
          <w:p>
            <w:pPr>
              <w:jc w:val="center"/>
              <w:ind w:right="19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100" w:type="dxa"/>
            <w:vAlign w:val="bottom"/>
            <w:gridSpan w:val="2"/>
          </w:tcPr>
          <w:p>
            <w:pPr>
              <w:jc w:val="center"/>
              <w:ind w:left="659"/>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780" w:type="dxa"/>
            <w:vAlign w:val="bottom"/>
            <w:gridSpan w:val="5"/>
          </w:tcPr>
          <w:p>
            <w:pPr>
              <w:jc w:val="center"/>
              <w:ind w:right="1900"/>
              <w:spacing w:after="0"/>
              <w:rPr>
                <w:sz w:val="20"/>
                <w:szCs w:val="20"/>
                <w:color w:val="auto"/>
              </w:rPr>
            </w:pPr>
            <w:r>
              <w:rPr>
                <w:rFonts w:ascii="Arial" w:cs="Arial" w:eastAsia="Arial" w:hAnsi="Arial"/>
                <w:sz w:val="14"/>
                <w:szCs w:val="14"/>
                <w:b w:val="1"/>
                <w:bCs w:val="1"/>
                <w:color w:val="auto"/>
                <w:w w:val="94"/>
              </w:rPr>
              <w:t>incorporation or organization)</w:t>
            </w:r>
          </w:p>
        </w:tc>
        <w:tc>
          <w:tcPr>
            <w:tcW w:w="240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95"/>
              </w:rPr>
              <w:t>Identification Number)</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535 Madison Avenue</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New York, New York 10022</w:t>
            </w: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6440" w:type="dxa"/>
            <w:vAlign w:val="bottom"/>
            <w:gridSpan w:val="4"/>
          </w:tcPr>
          <w:p>
            <w:pPr>
              <w:jc w:val="center"/>
              <w:ind w:left="3995"/>
              <w:spacing w:after="0"/>
              <w:rPr>
                <w:sz w:val="20"/>
                <w:szCs w:val="20"/>
                <w:color w:val="auto"/>
              </w:rPr>
            </w:pPr>
            <w:r>
              <w:rPr>
                <w:rFonts w:ascii="Arial" w:cs="Arial" w:eastAsia="Arial" w:hAnsi="Arial"/>
                <w:sz w:val="18"/>
                <w:szCs w:val="18"/>
                <w:b w:val="1"/>
                <w:bCs w:val="1"/>
                <w:color w:val="auto"/>
                <w:w w:val="90"/>
              </w:rPr>
              <w:t>(212) 906-7800</w:t>
            </w: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520" w:type="dxa"/>
            <w:vAlign w:val="bottom"/>
            <w:gridSpan w:val="4"/>
          </w:tcPr>
          <w:p>
            <w:pPr>
              <w:jc w:val="center"/>
              <w:ind w:right="9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520" w:type="dxa"/>
            <w:vAlign w:val="bottom"/>
            <w:gridSpan w:val="4"/>
          </w:tcPr>
          <w:p>
            <w:pPr>
              <w:jc w:val="center"/>
              <w:ind w:right="919"/>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60" w:type="dxa"/>
            <w:vAlign w:val="bottom"/>
          </w:tcPr>
          <w:p>
            <w:pPr>
              <w:spacing w:after="0"/>
              <w:rPr>
                <w:sz w:val="24"/>
                <w:szCs w:val="24"/>
                <w:color w:val="auto"/>
              </w:rPr>
            </w:pPr>
          </w:p>
        </w:tc>
        <w:tc>
          <w:tcPr>
            <w:tcW w:w="4920" w:type="dxa"/>
            <w:vAlign w:val="bottom"/>
            <w:gridSpan w:val="4"/>
          </w:tcPr>
          <w:p>
            <w:pPr>
              <w:jc w:val="center"/>
              <w:ind w:right="3780"/>
              <w:spacing w:after="0"/>
              <w:rPr>
                <w:sz w:val="20"/>
                <w:szCs w:val="20"/>
                <w:color w:val="auto"/>
              </w:rPr>
            </w:pPr>
            <w:r>
              <w:rPr>
                <w:rFonts w:ascii="Arial" w:cs="Arial" w:eastAsia="Arial" w:hAnsi="Arial"/>
                <w:sz w:val="14"/>
                <w:szCs w:val="14"/>
                <w:b w:val="1"/>
                <w:bCs w:val="1"/>
                <w:color w:val="auto"/>
                <w:w w:val="91"/>
              </w:rPr>
              <w:t>Title of Each Class</w:t>
            </w:r>
          </w:p>
        </w:tc>
        <w:tc>
          <w:tcPr>
            <w:tcW w:w="30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Name of Each Exchange on Which Registered</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0.001 per share</w:t>
            </w:r>
          </w:p>
        </w:tc>
        <w:tc>
          <w:tcPr>
            <w:tcW w:w="282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000" w:type="dxa"/>
            <w:vAlign w:val="bottom"/>
            <w:gridSpan w:val="2"/>
          </w:tcPr>
          <w:p>
            <w:pPr>
              <w:ind w:left="780"/>
              <w:spacing w:after="0" w:line="191" w:lineRule="exact"/>
              <w:rPr>
                <w:sz w:val="20"/>
                <w:szCs w:val="20"/>
                <w:color w:val="auto"/>
              </w:rPr>
            </w:pPr>
            <w:r>
              <w:rPr>
                <w:rFonts w:ascii="Arial" w:cs="Arial" w:eastAsia="Arial" w:hAnsi="Arial"/>
                <w:sz w:val="18"/>
                <w:szCs w:val="18"/>
                <w:b w:val="1"/>
                <w:bCs w:val="1"/>
                <w:color w:val="auto"/>
                <w:w w:val="93"/>
              </w:rPr>
              <w:t>Common Stock, par value $</w:t>
            </w:r>
          </w:p>
        </w:tc>
        <w:tc>
          <w:tcPr>
            <w:tcW w:w="3780" w:type="dxa"/>
            <w:vAlign w:val="bottom"/>
            <w:gridSpan w:val="3"/>
            <w:vMerge w:val="continue"/>
          </w:tcPr>
          <w:p>
            <w:pPr>
              <w:spacing w:after="0"/>
              <w:rPr>
                <w:sz w:val="16"/>
                <w:szCs w:val="16"/>
                <w:color w:val="auto"/>
              </w:rPr>
            </w:pPr>
          </w:p>
        </w:tc>
        <w:tc>
          <w:tcPr>
            <w:tcW w:w="3000" w:type="dxa"/>
            <w:vAlign w:val="bottom"/>
            <w:gridSpan w:val="5"/>
          </w:tcPr>
          <w:p>
            <w:pPr>
              <w:jc w:val="center"/>
              <w:ind w:right="180"/>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34"/>
        </w:trPr>
        <w:tc>
          <w:tcPr>
            <w:tcW w:w="6780" w:type="dxa"/>
            <w:vAlign w:val="bottom"/>
            <w:gridSpan w:val="5"/>
          </w:tcPr>
          <w:p>
            <w:pPr>
              <w:jc w:val="center"/>
              <w:ind w:right="1920"/>
              <w:spacing w:after="0"/>
              <w:rPr>
                <w:sz w:val="20"/>
                <w:szCs w:val="20"/>
                <w:color w:val="auto"/>
              </w:rPr>
            </w:pPr>
            <w:r>
              <w:rPr>
                <w:rFonts w:ascii="Arial" w:cs="Arial" w:eastAsia="Arial" w:hAnsi="Arial"/>
                <w:sz w:val="18"/>
                <w:szCs w:val="18"/>
                <w:b w:val="1"/>
                <w:bCs w:val="1"/>
                <w:color w:val="auto"/>
                <w:w w:val="90"/>
              </w:rPr>
              <w:t>6.75% Notes due 2023</w:t>
            </w:r>
          </w:p>
        </w:tc>
        <w:tc>
          <w:tcPr>
            <w:tcW w:w="30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446"/>
        </w:trPr>
        <w:tc>
          <w:tcPr>
            <w:tcW w:w="1860" w:type="dxa"/>
            <w:vAlign w:val="bottom"/>
          </w:tcPr>
          <w:p>
            <w:pPr>
              <w:spacing w:after="0"/>
              <w:rPr>
                <w:sz w:val="24"/>
                <w:szCs w:val="24"/>
                <w:color w:val="auto"/>
              </w:rPr>
            </w:pPr>
          </w:p>
        </w:tc>
        <w:tc>
          <w:tcPr>
            <w:tcW w:w="6660" w:type="dxa"/>
            <w:vAlign w:val="bottom"/>
            <w:gridSpan w:val="5"/>
          </w:tcPr>
          <w:p>
            <w:pPr>
              <w:jc w:val="center"/>
              <w:ind w:left="56"/>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6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8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99"/>
              </w:rPr>
              <w:t>☐</w:t>
            </w:r>
          </w:p>
        </w:tc>
        <w:tc>
          <w:tcPr>
            <w:tcW w:w="600" w:type="dxa"/>
            <w:vAlign w:val="bottom"/>
            <w:gridSpan w:val="2"/>
            <w:vMerge w:val="restart"/>
          </w:tcPr>
          <w:p>
            <w:pPr>
              <w:ind w:left="14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r>
        <w:trPr>
          <w:trHeight w:val="446"/>
        </w:trPr>
        <w:tc>
          <w:tcPr>
            <w:tcW w:w="85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360" w:type="dxa"/>
            <w:vAlign w:val="bottom"/>
          </w:tcPr>
          <w:p>
            <w:pPr>
              <w:ind w:left="100"/>
              <w:spacing w:after="0"/>
              <w:rPr>
                <w:sz w:val="20"/>
                <w:szCs w:val="20"/>
                <w:color w:val="auto"/>
              </w:rPr>
            </w:pPr>
            <w:r>
              <w:rPr>
                <w:rFonts w:ascii="Arial" w:cs="Arial" w:eastAsia="Arial" w:hAnsi="Arial"/>
                <w:sz w:val="18"/>
                <w:szCs w:val="18"/>
                <w:color w:val="auto"/>
                <w:w w:val="77"/>
              </w:rPr>
              <w:t>Yes</w:t>
            </w:r>
          </w:p>
        </w:tc>
        <w:tc>
          <w:tcPr>
            <w:tcW w:w="300" w:type="dxa"/>
            <w:vAlign w:val="bottom"/>
            <w:vMerge w:val="continue"/>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15(d) of the Act.  Yes</w:t>
            </w:r>
          </w:p>
        </w:tc>
        <w:tc>
          <w:tcPr>
            <w:tcW w:w="3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No</w:t>
            </w:r>
          </w:p>
        </w:tc>
        <w:tc>
          <w:tcPr>
            <w:tcW w:w="60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18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00" w:firstLine="45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0" w:right="239" w:bottom="0" w:gutter="0" w:footer="0" w:header="0"/>
        </w:sectPr>
      </w:pP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720"/>
            <w:col w:w="5760" w:space="720"/>
            <w:col w:w="1680" w:space="720"/>
            <w:col w:w="160"/>
          </w:cols>
          <w:pgMar w:left="240" w:top="230" w:right="2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5">
            <w:col w:w="1660" w:space="720"/>
            <w:col w:w="160" w:space="60"/>
            <w:col w:w="5540" w:space="720"/>
            <w:col w:w="1980" w:space="420"/>
            <w:col w:w="160"/>
          </w:cols>
          <w:pgMar w:left="240" w:top="230" w:right="239" w:bottom="0" w:gutter="0" w:footer="0" w:header="0"/>
          <w:type w:val="continuous"/>
        </w:sectPr>
      </w:pPr>
    </w:p>
    <w:bookmarkStart w:id="1" w:name="page2"/>
    <w:bookmarkEnd w:id="1"/>
    <w:p>
      <w:pPr>
        <w:spacing w:after="0" w:line="207" w:lineRule="exact"/>
        <w:tabs>
          <w:tab w:leader="none" w:pos="23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60"/>
        <w:spacing w:after="0" w:line="207" w:lineRule="exact"/>
        <w:tabs>
          <w:tab w:leader="none" w:pos="8040" w:val="left"/>
          <w:tab w:leader="none" w:pos="87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The aggregate market value of the voting and non-voting common stock held by non-affiliates of the registrant as of August 31, 2016 was approximately $64.5 million based upon a closing price of $17.93 reported for such date by the New York Stock Exchange.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outstanding common shares of the registrant as of May 16, 2017 was 5,884,375.</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91"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ABOUT REFERENCES</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this Annual Report on Form 10-K (the “Annual Report”), the “Company,” “we,” “us” and “our” refer to Saratoga Investment Corp. and its wholly owned subsidiaries, Saratoga Investment Funding LLC and Saratoga Investment Corp. SBIC, L.P., unless the context otherwise requires. We refer to Saratoga Investment Advisors, LLC, our investment adviser, as “Saratoga Investment Advisors,” the “Investment Adviser” or the “Manager.”</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Some of the statements in this Annual Report constitute forward-looking statements. Forward-looking statements relate to expectations, beliefs, projections, future plans and strategies, anticipated events or trends and similar expressions concerning matters that are not historical facts. In some cases, you can identify forward-looking statements by terms such as “anticipate,” “believe,” “could,” “estimate,” “expect,” “intend,” “may,” “plan,” “potential,” “project,” “should,” “will” and “would” or the negative of these terms or other comparable terminology.</w:t>
      </w:r>
    </w:p>
    <w:p>
      <w:pPr>
        <w:spacing w:after="0" w:line="18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contained in this Annual Report involve risks and uncertainties, including statements as to:</w:t>
      </w:r>
    </w:p>
    <w:p>
      <w:pPr>
        <w:spacing w:after="0" w:line="131"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660" w:right="340" w:hanging="206"/>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regulatory structure and tax treatment, including our ability to operate as a business development company (“BDC”), or to operate our small business investment company (“SBIC”) subsidiary, and to continue to qualify to be taxed as a regulated investment company (“RIC”);</w:t>
      </w:r>
    </w:p>
    <w:p>
      <w:pPr>
        <w:spacing w:after="0" w:line="29" w:lineRule="exact"/>
        <w:rPr>
          <w:rFonts w:ascii="Arial" w:cs="Arial" w:eastAsia="Arial" w:hAnsi="Arial"/>
          <w:sz w:val="16"/>
          <w:szCs w:val="16"/>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effectively administer our investments.</w:t>
      </w:r>
    </w:p>
    <w:p>
      <w:pPr>
        <w:spacing w:after="0" w:line="225" w:lineRule="exact"/>
        <w:rPr>
          <w:sz w:val="20"/>
          <w:szCs w:val="20"/>
          <w:color w:val="auto"/>
        </w:rPr>
      </w:pPr>
    </w:p>
    <w:p>
      <w:pPr>
        <w:jc w:val="both"/>
        <w:ind w:right="80" w:firstLine="456"/>
        <w:spacing w:after="0" w:line="279" w:lineRule="auto"/>
        <w:rPr>
          <w:sz w:val="20"/>
          <w:szCs w:val="20"/>
          <w:color w:val="auto"/>
        </w:rPr>
      </w:pPr>
      <w:r>
        <w:rPr>
          <w:rFonts w:ascii="Arial" w:cs="Arial" w:eastAsia="Arial" w:hAnsi="Arial"/>
          <w:sz w:val="17"/>
          <w:szCs w:val="17"/>
          <w:color w:val="auto"/>
        </w:rPr>
        <w:t>For a discussion of factors that could cause our actual results to differ from forward-looking statements contained in this Annual Report, please see the discussion under Part I. Item 1A. “Risk Factors”. You should not place undue reliance on these forward-looking statements. The forward-looking statements made in this Annual Report relate only to events as of the date on which the statements are made. We undertake no obligation to update any forward-looking statement to reflect events or circumstances occurring after the date of this Annual Report.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00" w:type="dxa"/>
            <w:vAlign w:val="bottom"/>
            <w:gridSpan w:val="10"/>
          </w:tcPr>
          <w:p>
            <w:pPr>
              <w:ind w:left="8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80" w:type="dxa"/>
            <w:vAlign w:val="bottom"/>
            <w:gridSpan w:val="7"/>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780" w:type="dxa"/>
            <w:vAlign w:val="bottom"/>
            <w:gridSpan w:val="7"/>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10620" w:type="dxa"/>
            <w:vAlign w:val="bottom"/>
            <w:gridSpan w:val="2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1A. Risk Factors</w:t>
              </w:r>
            </w:hyperlink>
          </w:p>
        </w:tc>
        <w:tc>
          <w:tcPr>
            <w:tcW w:w="9020" w:type="dxa"/>
            <w:vAlign w:val="bottom"/>
            <w:gridSpan w:val="1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2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Item 1B. Unresolved Staff Comments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Item 2. Properties</w:t>
              </w:r>
            </w:hyperlink>
          </w:p>
        </w:tc>
        <w:tc>
          <w:tcPr>
            <w:tcW w:w="1420" w:type="dxa"/>
            <w:vAlign w:val="bottom"/>
            <w:tcBorders>
              <w:top w:val="single" w:sz="8" w:color="0000EE"/>
            </w:tcBorders>
            <w:gridSpan w:val="8"/>
          </w:tcPr>
          <w:p>
            <w:pPr>
              <w:spacing w:after="0"/>
              <w:rPr>
                <w:sz w:val="17"/>
                <w:szCs w:val="17"/>
                <w:color w:val="auto"/>
              </w:rPr>
            </w:pPr>
          </w:p>
        </w:tc>
        <w:tc>
          <w:tcPr>
            <w:tcW w:w="7900" w:type="dxa"/>
            <w:vAlign w:val="bottom"/>
            <w:gridSpan w:val="1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Item 3. Legal Proceedings</w:t>
              </w:r>
            </w:hyperlink>
          </w:p>
        </w:tc>
        <w:tc>
          <w:tcPr>
            <w:tcW w:w="8720" w:type="dxa"/>
            <w:vAlign w:val="bottom"/>
            <w:gridSpan w:val="18"/>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Item 4. Mine Safety Disclosures</w:t>
              </w:r>
            </w:hyperlink>
          </w:p>
        </w:tc>
        <w:tc>
          <w:tcPr>
            <w:tcW w:w="8280" w:type="dxa"/>
            <w:vAlign w:val="bottom"/>
            <w:gridSpan w:val="1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780" w:type="dxa"/>
            <w:vAlign w:val="bottom"/>
            <w:gridSpan w:val="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PART II</w:t>
              </w:r>
            </w:hyperlink>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20" w:type="dxa"/>
            <w:vAlign w:val="bottom"/>
            <w:gridSpan w:val="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Item</w:t>
              </w:r>
            </w:hyperlink>
          </w:p>
        </w:tc>
        <w:tc>
          <w:tcPr>
            <w:tcW w:w="10200" w:type="dxa"/>
            <w:vAlign w:val="bottom"/>
            <w:gridSpan w:val="2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5. Market for Registrant’s Common Equity, Related Stockholder Matters and Issuer Purchases of Equity Securities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6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6. Selected Consolidated Financial Data</w:t>
              </w:r>
            </w:hyperlink>
          </w:p>
        </w:tc>
        <w:tc>
          <w:tcPr>
            <w:tcW w:w="19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20" w:type="dxa"/>
            <w:vAlign w:val="bottom"/>
            <w:gridSpan w:val="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w:t>
              </w:r>
            </w:hyperlink>
          </w:p>
        </w:tc>
        <w:tc>
          <w:tcPr>
            <w:tcW w:w="10200" w:type="dxa"/>
            <w:vAlign w:val="bottom"/>
            <w:gridSpan w:val="2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7. Management’s Discussion and Analysis of Financial Condition and Results of Operations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Item 7A. Quantitative and Qualitative Disclosures About Market Risk</w:t>
              </w:r>
            </w:hyperlink>
          </w:p>
        </w:tc>
        <w:tc>
          <w:tcPr>
            <w:tcW w:w="2000" w:type="dxa"/>
            <w:vAlign w:val="bottom"/>
            <w:tcBorders>
              <w:top w:val="single" w:sz="8" w:color="0000EE"/>
            </w:tcBorders>
            <w:gridSpan w:val="2"/>
          </w:tcPr>
          <w:p>
            <w:pPr>
              <w:spacing w:after="0"/>
              <w:rPr>
                <w:sz w:val="17"/>
                <w:szCs w:val="17"/>
                <w:color w:val="auto"/>
              </w:rPr>
            </w:pPr>
          </w:p>
        </w:tc>
        <w:tc>
          <w:tcPr>
            <w:tcW w:w="356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2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Item 8. Consolidated Financial Statements and Supplementary Data</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20" w:type="dxa"/>
            <w:vAlign w:val="bottom"/>
            <w:gridSpan w:val="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Item</w:t>
              </w:r>
            </w:hyperlink>
          </w:p>
        </w:tc>
        <w:tc>
          <w:tcPr>
            <w:tcW w:w="10200" w:type="dxa"/>
            <w:vAlign w:val="bottom"/>
            <w:gridSpan w:val="22"/>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9. Changes in and Disagreements with Accountants on Accounting and Financial Disclosure</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Item 9A. Controls and Procedures</w:t>
              </w:r>
            </w:hyperlink>
          </w:p>
        </w:tc>
        <w:tc>
          <w:tcPr>
            <w:tcW w:w="4600" w:type="dxa"/>
            <w:vAlign w:val="bottom"/>
            <w:tcBorders>
              <w:top w:val="single" w:sz="8" w:color="0000EE"/>
            </w:tcBorders>
            <w:gridSpan w:val="10"/>
          </w:tcPr>
          <w:p>
            <w:pPr>
              <w:spacing w:after="0"/>
              <w:rPr>
                <w:sz w:val="17"/>
                <w:szCs w:val="17"/>
                <w:color w:val="auto"/>
              </w:rPr>
            </w:pPr>
          </w:p>
        </w:tc>
        <w:tc>
          <w:tcPr>
            <w:tcW w:w="354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Item 9B. Other Information</w:t>
              </w:r>
            </w:hyperlink>
          </w:p>
        </w:tc>
        <w:tc>
          <w:tcPr>
            <w:tcW w:w="8620" w:type="dxa"/>
            <w:vAlign w:val="bottom"/>
            <w:gridSpan w:val="1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780" w:type="dxa"/>
            <w:vAlign w:val="bottom"/>
            <w:gridSpan w:val="7"/>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PART III</w:t>
              </w:r>
            </w:hyperlink>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28"/>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Item 10. Directors, Executive Officers and Corporate Governance</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Item 11. Executive Compensation</w:t>
              </w:r>
            </w:hyperlink>
          </w:p>
        </w:tc>
        <w:tc>
          <w:tcPr>
            <w:tcW w:w="2280" w:type="dxa"/>
            <w:vAlign w:val="bottom"/>
            <w:tcBorders>
              <w:top w:val="single" w:sz="8" w:color="0000EE"/>
            </w:tcBorders>
            <w:gridSpan w:val="6"/>
          </w:tcPr>
          <w:p>
            <w:pPr>
              <w:spacing w:after="0"/>
              <w:rPr>
                <w:sz w:val="17"/>
                <w:szCs w:val="17"/>
                <w:color w:val="auto"/>
              </w:rPr>
            </w:pPr>
          </w:p>
        </w:tc>
        <w:tc>
          <w:tcPr>
            <w:tcW w:w="5880" w:type="dxa"/>
            <w:vAlign w:val="bottom"/>
            <w:gridSpan w:val="8"/>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2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Item</w:t>
              </w:r>
            </w:hyperlink>
          </w:p>
        </w:tc>
        <w:tc>
          <w:tcPr>
            <w:tcW w:w="75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12. Security Ownership of Certain Beneficial Owners and Management and Related Stockholder Matters</w:t>
              </w:r>
            </w:hyperlink>
          </w:p>
        </w:tc>
        <w:tc>
          <w:tcPr>
            <w:tcW w:w="262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20" w:type="dxa"/>
            <w:vAlign w:val="bottom"/>
            <w:gridSpan w:val="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Item</w:t>
              </w:r>
            </w:hyperlink>
          </w:p>
        </w:tc>
        <w:tc>
          <w:tcPr>
            <w:tcW w:w="10200" w:type="dxa"/>
            <w:vAlign w:val="bottom"/>
            <w:gridSpan w:val="22"/>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13. Certain Relationships and Related Transactions, and Director Independence</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1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Item 14. Principal Accounting Fees and Services</w:t>
              </w:r>
            </w:hyperlink>
          </w:p>
        </w:tc>
        <w:tc>
          <w:tcPr>
            <w:tcW w:w="4480" w:type="dxa"/>
            <w:vAlign w:val="bottom"/>
            <w:gridSpan w:val="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91">
              <w:r>
                <w:rPr>
                  <w:rFonts w:ascii="Arial" w:cs="Arial" w:eastAsia="Arial" w:hAnsi="Arial"/>
                  <w:sz w:val="18"/>
                  <w:szCs w:val="18"/>
                  <w:color w:val="0000EE"/>
                  <w:w w:val="94"/>
                </w:rPr>
                <w:t>PART IV</w:t>
              </w:r>
            </w:hyperlink>
          </w:p>
        </w:tc>
        <w:tc>
          <w:tcPr>
            <w:tcW w:w="1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28"/>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Item 15. Exhibits, Consolidated Financial Statement Schedules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5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Item 16. Form 10-K Summary</w:t>
              </w:r>
            </w:hyperlink>
          </w:p>
        </w:tc>
        <w:tc>
          <w:tcPr>
            <w:tcW w:w="608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7"/>
          </w:tcPr>
          <w:p>
            <w:pPr>
              <w:spacing w:after="0" w:line="196" w:lineRule="exact"/>
              <w:rPr>
                <w:rFonts w:ascii="Arial" w:cs="Arial" w:eastAsia="Arial" w:hAnsi="Arial"/>
                <w:sz w:val="18"/>
                <w:szCs w:val="18"/>
                <w:color w:val="0000EE"/>
                <w:w w:val="88"/>
              </w:rPr>
            </w:pPr>
            <w:hyperlink w:anchor="page94">
              <w:r>
                <w:rPr>
                  <w:rFonts w:ascii="Arial" w:cs="Arial" w:eastAsia="Arial" w:hAnsi="Arial"/>
                  <w:sz w:val="18"/>
                  <w:szCs w:val="18"/>
                  <w:color w:val="0000EE"/>
                  <w:w w:val="88"/>
                </w:rPr>
                <w:t>Signatures</w:t>
              </w:r>
            </w:hyperlink>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85"/>
        </w:trPr>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7"/>
          </w:tcPr>
          <w:p>
            <w:pPr>
              <w:ind w:left="4880"/>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a specialty finance company that invests primarily in leveraged loans and mezzanine debt issued by private U.S. middle-market companies, which we define as companies having annual EBITDA (earnings before interest, taxes, depreciation and amortization) of between $2 million and $50 million, both through direct lending and through participation in loan syndicates. Our investment objective is to generate current income and, to a lesser extent, capital appreciation from our investments. Our investment activities are externally managed and advised by Saratoga Investment Advisors, LLC, a New York-based investment firm affiliated with Saratoga Partners, a middle market private equity investment firm.</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portfolio is comprised primarily of investments in leveraged loans issued by middle market companies. Leveraged loans are generally senior debt instruments that rank ahead of subordinated debt which are invested by companies with below investment grade or “junk” ratings or, if not rated, would be rated below investment grade or “junk” and, as a result, carry a higher risk of default. Leveraged loans also have the benefit of security interests on the assets of the portfolio company, which may rank ahead of, or be junior to, other security interests. Term loans are loans that do not allow the borrowers to repay all or a portion of the loans prior to maturity and then re-borrow such repaid amounts under the loan again. We also purchase mezzanine debt and make equity investments in middle market companies. Mezzanine debt is typically unsecured and subordinated to senior debt of the portfolio company.</w:t>
      </w:r>
    </w:p>
    <w:p>
      <w:pPr>
        <w:spacing w:after="0" w:line="16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While our primary focus is to generate current income and capital appreciation from our debt and equity investments in middle market companies, we may invest up to 30.0% of our portfolio in opportunistic investments in order to seek to enhance returns to stockholders. Such investments may include investments in distressed debt, including securities of companies in bankruptcy, foreign debt, private equity, securities of public companies that are not thinly traded and structured finance vehicles such as collateralized loan obligation funds. Although we have no current intention to do so, to the extent we invest in private equity funds, we will limit our investments in entities that are excluded from the definition of “investment company” under Section 3(c)(1) or Section 3(c)(7) of Investment Company Act of 1940 (“1940 Act”), which includes private equity funds, to no more than 15% of its net assets.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February 28, 2017, we had total assets of $318.7 million and investments in 29 portfolio companies and an additional investment in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subordinated notes of one collateralized loan obligation fund, Saratoga Investment Corp. CLO 2013-1, Ltd. (“Saratoga CLO”), which had a fair value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$11.0 million as of February 28, 2017. The overall portfolio composition as of February 28, 2017 consisted of 54.3% of first lien term loans, 30.0% of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lien term loans, 3.4% of syndicated loans, 5.3% of subordinated notes of Saratoga CLO and 7.0% of common equity. As of February 28, 2017 the weighted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yield on all of our debt investments, including our investment in the subordinated notes of Saratoga CLO and Class F notes tranche of the Saratoga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CLO, was approximately 10.9%. As of February 28, 2017, approximately 99.9% of our first lien debt investments were fully collateralized in the sense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portfolio companies in which we held such investments had an enterprise value or our investment had an asset coverage equal to or greater than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the related debt investment. The Company uses enterprise value to assess the level of collateralization of its portfolio companies.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enterprise value of a portfolio company is determined by analyzing various factors, including EBITDA, cash flows from operations less capital expenditures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pertinent factors, such as recent offers to purchase a portfolio company’s securities or other liquidation events. As a result, while we consider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portfolio company to be collateralized if its enterprise value exceeds the amount of our loan, we do not hold tangible assets as collateral in our portfolio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companies that we would obtain in the event of a default. Our investment in the subordinated notes of Saratoga CLO represents a first loss position in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portfolio that, at February 28, 2017, was composed of $297.1 million in aggregate principal amount of predominantly senior secured first lien term loans.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first loss position means that we will suffer the first economic losses if losses are incurred on loans held by the Saratoga CLO. As a result, this investment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subject to unique risks. See Part I. Item 1A. “Risk Factors—Our investment in Saratoga CLO constitutes a leveraged investment in a portfolio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predominantly senior secured first lien term loans and is subject to additional risks and volatility.”</w:t>
      </w:r>
    </w:p>
    <w:p>
      <w:pPr>
        <w:spacing w:after="0" w:line="21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an externally managed, closed-end, non-diversified management investment company that has elected to be regulated as a business development company (“BDC”) under the 1940 Act. As a BDC, we are required to comply with various regulatory requirements, including limitations on our use of debt. We finance our investments through borrowings. However, as a BDC, we are only generally allowed to borrow amounts such that our asset coverage, as defined in the 1940 Act, equals at least 200.0% after such borrowing. Pursuant to the 200.0% asset coverage ratio limitation, we are permitted to borrow one dollar to make investments for every dollar we have in assets less all liabilities and indebtedness not represented by preferred stock or debt securities issued by us or loans obtained by us so that for every one dollar of outstanding indebtedness we have two dollars of assets.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have elected to be treated for U.S. federal income tax purposes as a regulated investment company (“RIC”), under Subchapter M of the Internal Revenue Code of 1986 (the “Code”). As a RIC, we generally will not have to pay corporate-level federal income taxes on any net ordinary income or capital gains that we distribute to our stockholders if we meet certain source-of-income, distribution and asset diversification requirements.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we have a wholly-owned subsidiary that is licensed as a small business investment company (“SBIC”) and regulated by the Small Business Administration (“SBA”). See “Item 1. Business—Small Business Investment Company Regulations.” The SBIC license allows us, through our wholly-owned subsidiary, to issue SBA-guaranteed debentures. We received exemptive relief from the Securities and Exchange Commission (“SEC”) to permit us to exclude the debt of our SBIC subsidiary guaranteed by the SBA from the 200.0% asset coverage ratio we are required to maintain under the 1940 Act. This allows us increased flexibility under the 200.0% asset coverage test by permitting us to borrow up to $150.0 million more than we would otherwise be able to absent the receipt of this exemptive relief.</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Information</w:t>
      </w:r>
    </w:p>
    <w:p>
      <w:pPr>
        <w:spacing w:after="0" w:line="121"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We commenced operations, at the time known as GSC Investment Corp., on March 23, 2007 and completed an initial public offering of shares of common stock on March 28, 2007. Prior to July 30, 2010, we were externally managed and advised by GSCP (NJ), L.P., an entity affiliated with GSC Group, Inc. In connection with the consummation of a recapitalization transaction on July 30, 2010, we engaged Saratoga Investment Advisors (“SIA”) to replace GSCP (NJ), L.P. as our investment adviser and changed our name to Saratoga Investment Corp.</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recapitalization transaction consisted of (i) the private sale of 986,842 shares of our common stock for $15.0 million in aggregate purchase price to Saratoga Investment Advisors and certain of its affiliates and (ii) the entry into a $40.0 million senior secured revolving credit facility with Madison Capital Funding LLC (the “Credit Facility”). We used the net proceeds from the private sale of shares of our common stock and a portion of the funds available to us under the Credit Facility to pay the full amount of principal and accrued interest, including default interest, outstanding under our revolving securitized credit facility with Deutsche Bank AG, New York Branch. Specifically, in July 2009, we had exceeded permissible borrowing limits under the revolving securitized credit facility with Deutsche Bank, which resulted in an event of default under the revolving securitized credit facility. As a result of the event of default, Deutsche Bank had the right to accelerate repayment of the outstanding indebtedness under the revolving securitized credit facility and to foreclose and liquidate the collateral pledged under the revolving securitized credit facility. The revolving securitized credit facility with Deutsche Bank was terminated in connection with our payment of all amounts outstanding thereunder on July 30, 2010. In January 2011, we registered for public resale by Saratoga Investment Advisors and certain of its affiliates the 986,842 shares of our common stock issued to them in the recapitalization.</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March 28, 2012, our wholly-owned subsidiary, Saratoga Investment Corp. SBIC, LP (“SBIC LP”), received an SBIC license from the SBA.</w:t>
      </w:r>
    </w:p>
    <w:p>
      <w:pPr>
        <w:spacing w:after="0" w:line="23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corporate offices are located at 535 Madison Avenue, New York, New York 10022. Our telephone number is (212) 906-7800. We maintain a website on the Internet at www.saratogainvestmentcorp.com. Information contained on our website is not incorporated by reference into this Annual Report, and you should not consider that information to be part of this Annual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Saratoga Investment Advisors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Our investment adviser was formed in 2010 as a Delaware limited liability company and became our investment adviser in July 2010. Our investment adviser is led by four principals, Christian L. Oberbeck, Michael J. Grisius, Thomas V. Inglesby, and Charles G. Phillips, with 29, 27, 30 and 20 years of experience in leveraged finance, respectively. Our investment adviser is affiliated with Saratoga Partners, a middle market private equity investment firm. Saratoga Partners was established in 1984 to be the middle market private investment arm of Dillon Read &amp; Co. Inc. and has been independent of Dillon Read and its successor entity, SBC Warburg Dillon Read, since 1998. Saratoga Partners has a 30-year history of private investments in middle market companies and focuses on public and private equity, preferred stock, and senior and mezzanine debt investments.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Relationship with Saratoga Investment Advisors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utilize the personnel, infrastructure, relationships and experience of Saratoga Investment Advisors to enhance the growth of our business. We currently have no employees and each of our executive officers is also an officer of Saratoga Investment Advisors.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have entered into an investment advisory and management agreement (the “Management Agreement”) with Saratoga Investment Advisors. Pursuant to the 1940 Act, the initial term of the Management Agreement was for two years from its effective date of July 30, 2010, with automatic, one-year renewals, subject to approval by our board of directors, a majority of whom must be our independent directors. On July 7, 2016, our board of directors approved the renewal of the Management Agreement for an additional one-year term at an in-person meeting. Pursuant to the Management Agreement, Saratoga Investment Advisors implements our business strategy on a day-to-day basis and performs certain services for us under the direction of our board of directors. Saratoga Investment Advisors is responsible for, among other duties, performing all of our day-to-day functions, determining investment criteria, sourcing, analyzing and executing investments, asset sales, financings and performing asset management duties.</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Saratoga Investment Advisors has formed an investment committee to advise and consult with its senior management team with respect to our investment policies, investment portfolio holdings, financing and leveraging strategies and investment guidelines. We believe that the collective experience of the investment committee members across a variety of fixed income asset classes will benefit us. The investment committee must unanimously approve all investments in excess of $1.0 million made by us. In addition, all sales of our investments must be approved by all four of our investment committee members. The current members of the investment committee are Messrs. Oberbeck, Grisius, Inglesby, and Phillips.</w:t>
      </w:r>
    </w:p>
    <w:p>
      <w:pPr>
        <w:spacing w:after="0" w:line="173"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We pay Saratoga Investment Advisors a fee for investment advisory and management services consisting of two components—a base management fee and an incentive fee. The base management fee is calculated at an annual rate of 1.75% of our gross assets, which includes assets purchased with borrowed funds but excludes cash and cash equivalents. As a result, Saratoga Investment Advisors will benefit as we incur debt or use leverage to purchase assets. Our board of directors will monitor the conflicts presented by this compensation structure by approving the amount of leverage that we may incur.</w:t>
      </w:r>
    </w:p>
    <w:p>
      <w:pPr>
        <w:spacing w:after="0" w:line="154"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In addition to the base management fee, we pay Saratoga Investment Advisors an incentive fee, which consists of two parts. First, we pay Saratoga Investment Advisors an incentive fee with respect to our pre-incentive fee net investment income in each calendar quarter as follows:</w:t>
      </w:r>
    </w:p>
    <w:p>
      <w:pPr>
        <w:spacing w:after="0" w:line="52"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income does not exceed a fixed “hurdle rate” of 1.875% per quarter; and</w:t>
      </w:r>
    </w:p>
    <w:p>
      <w:pPr>
        <w:spacing w:after="0" w:line="153" w:lineRule="exact"/>
        <w:rPr>
          <w:rFonts w:ascii="Arial" w:cs="Arial" w:eastAsia="Arial" w:hAnsi="Arial"/>
          <w:sz w:val="16"/>
          <w:szCs w:val="16"/>
          <w:color w:val="auto"/>
        </w:rPr>
      </w:pPr>
    </w:p>
    <w:p>
      <w:pPr>
        <w:ind w:left="660" w:right="140" w:hanging="206"/>
        <w:spacing w:after="0" w:line="29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100.0% of our pre-incentive fee net investment income with respect to that portion of such pre-incentive fee net investment income, if any, that exceeds the hurdle rate but is less than or equal to 2.344% in any fiscal quarter is payable to the investment adviser. We refer to this portion of our pre-incentive fee net investment income (which exceeds the hurdle rate but is less than or equal to 2.344%) as the “catch-up.” The “catch-up” provision is intended to provide our investment adviser with an incentive fee of 20.0% on all of our pre-incentive fee net investment income as if a hurdle rate did not apply when our pre-incentive fee net investment income exceeds 2.344% in any fiscal quarter. Notwithstanding the foregoing, with respect to any period ending on or prior to December 31, 2010, our investment adviser was only entitled to 20.0% of the amount of our pre-incentive fee net investment income, if any, that exceeded 1.875% in any fiscal quarter without any catch-up provision; and</w:t>
      </w:r>
    </w:p>
    <w:p>
      <w:pPr>
        <w:spacing w:after="0" w:line="72" w:lineRule="exact"/>
        <w:rPr>
          <w:rFonts w:ascii="Arial" w:cs="Arial" w:eastAsia="Arial" w:hAnsi="Arial"/>
          <w:sz w:val="16"/>
          <w:szCs w:val="16"/>
          <w:color w:val="auto"/>
        </w:rPr>
      </w:pPr>
    </w:p>
    <w:p>
      <w:pPr>
        <w:jc w:val="both"/>
        <w:ind w:left="660" w:right="160" w:hanging="206"/>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20.0% of the amount of our pre-incentive fee net investment income, if any, that exceeds 2.344% in any fiscal quarter is payable to the investment adviser (once the hurdle is reached and the catch-up is achieved, 20.0% of all pre-incentive fee net investment income thereafter is allocated to the investment adviser).</w:t>
      </w:r>
    </w:p>
    <w:p>
      <w:pPr>
        <w:spacing w:after="0" w:line="18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There is no accumulation of amounts from quarter to quarter on either the hurdle rate or the parameters set by the “catch-up” mechanism or any clawback of amounts previously paid to Saratoga Investment Advisers if subsequent quarters are below the quarterly hurdle or the “catch-up” parameters. Furthermore, there is no delay of payment to Saratoga Investment Advisers if prior quarters are below the quarterly hurdle or “catch-up.”</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Pre-incentive fee net investment income means interest income, dividend income and other income (including any other fees, such as commitment, origination, structuring, diligence, managerial and consulting fees or other fees that we receive from portfolio companies) earned during the calendar quarter, minus our operating expenses for the quarter. Pre-incentive fee net investment income does not include any realized capital gains, realized capital losses, unrealized capital appreciation or depreciation, or realized gains or losses resulting from the extinguishment of our own debt.</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fiscal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2010. Therefore, realized and unrealized losses incurred prior to such time will not be taken into account when calculating the capital gains portion of the incentive fee, and our Manager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8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We have also entered into a separate administration agreement with Saratoga Investment Advisors pursuant to which Saratoga Investment Advisors furnishes us with office facilities, equipment and clerical, bookkeeping and record keeping services. The administration agreement has an initial term of two years from its effective date of July 30, 2010, with automatic one-year renewals, subject to approval by our board of directors, a majority of whom must be our independent directors. On July 8, 2015, our board of directors approved the renewal of the Administration Agreement for an additional one-year term and determined to increase the cap on the payment or reimbursement of expenses by us thereunder to $1.3 million for the additional one-year term. On July 7, 2016, our board of directors approved the renewal of the Administration Agreement for an additional one-year term. On October 5, 2016, our board of directors determined to increase the cap on the payment or reimbursement of expenses by the Company under the Administration Agreement, from</w:t>
      </w:r>
    </w:p>
    <w:p>
      <w:pPr>
        <w:spacing w:after="0" w:line="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$1.3 million to $1.5 million, effective November 1, 2016. Under the administration agreement, Saratoga Investment Advisors also performs, or oversees the performance of our required administrative services, which include, among other things, being responsible for the financial records which we are required to maintain, preparing reports for our stockholders and reports required to be filed with the SEC. Payments under the administration agreement will be equal to an amount based upon the allocable portion of Saratoga Investment Advisors’ overhead in performing its obligations under the administration agreement, including rent and the allocable portion of the cost of our officers and their respective staffs relating to the performance of services under the administration agreement.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portfolio is comprised primarily of investments in leveraged loans (both first and second lien term loans) issued by middle market companies. Investments in middle market companies are generally less liquid than equivalent investments in companies with larger capitalizations. These investments are sourced in both the primary and secondary markets through a network of relationships with commercial and investment banks, commercial finance companies and financial sponsors. The leveraged loans that we purchase are generally used to finance buyouts, acquisitions, growth, recapitalizations and other types of transactions. Leveraged loans are generally senior debt instruments that rank ahead of subordinated debt which are invested by companies with below investment grade or “junk” ratings or, if not rated, would be rated below investment grade or “junk” and, as a result, carry a higher risk of default. Leveraged loans also have the benefit of security interests on the assets of the portfolio company, which may rank ahead of, or be junior to, other security interests. For a discussion of the risks pertaining to our secured investments, see Part I. Item 1A. “Risk Factors—Our investments may be risky, and you could lose all or part of your investment.”</w:t>
      </w:r>
    </w:p>
    <w:p>
      <w:pPr>
        <w:spacing w:after="0" w:line="1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part of our long-term strategy, we also purchase mezzanine debt and make equity investments in middle market companies. Mezzanine debt is typically unsecured and subordinated to senior debt of the portfolio company. See Part I. Item 1A. “Risk Factors—If we make unsecured debt investments, we may lack adequate protection in the event our portfolio companies become distressed or insolvent and will likely experience a lower recovery than more senior debtholders in the event our portfolio companies default on their indebtedness.”</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Substantially all of the debt investments held in our portfolio hold a non-investment grade rating by one or more rating agencies or, if not rated, would be rated below investment grade if rated, which are often referred to as “junk.” As of February 28, 2017, 70.2% of our debt portfolio at fair value consisted of debt securities for which issuers were not required to make principal payments until the maturity of such debt securities, which could result in a substantial loss to us if such issuers are unable to refinance or repay their debt at maturity. In addition, 83.1% of our debt investments at February 28, 2017, had variable interest rates that reset periodically based on benchmarks such as LIBOR and the prime rate. As a result, significant increases in such benchmarks in the future may make it more difficult for these borrowers to service their obligations under the debt investments that we hold.</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As a BDC, we are required to comply with certain regulatory requirements. For instance, we have to invest at least 70.0% of our total assets in assets of the type listed in section 55(a) of the 1940 Act, including securities of U.S. operating companies whose securities are not listed on a national securities exchange (i.e., New York Stock Exchange, NYSE MKT and The NASDAQ Stock Market), U.S. operating companies with listed securities that have market capitalizations of less than $250.0 million, cash, cash equivalents, U.S. government securities and high-quality debt investments that mature in one year or less, which we refer to as “qualifying assets”.</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While our primary focus is to generate current income and capital appreciation from our debt and equity investments in middle market companies, we may invest up to 30.0% of the portfolio in opportunistic investments in order to seek to enhance returns to stockholders. Such investments may include investments in distressed debt, private equity, securities of public companies that are not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thinly traded and structured finance vehicles such as collateralized loan obligation funds. Although we have no current intention to do so, to the extent we invest in private equity funds, we will limit our investments in entities that are excluded from the definition of “investment company” under Section 3(c)(1) or Section 3(c)(7) of the 1940 Act, which includes private equity funds, to no more than 15% of its net assets.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Leveraged loans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leveraged loan portfolio is comprised primarily of first lien and second lien term loans. First lien term loans are secured by a first priority perfected security interest on all or substantially all of the assets of the borrower and typically include a first priority pledge of the capital stock of the borrower. First lien term loans hold a first priority with regard to right of payment. Generally, first lien term loans offer floating rate interest payments, have a stated maturity of five to seven years, and have a fixed amortization schedule. First lien term loans generally have restrictive financial and negative covenants. Second lien term loans are secured by a second priority perfected security interest on all or substantially all of the assets of the borrower and typically include a second priority pledge of the capital stock of the borrower. Second lien term loans hold a second priority with regard to right of payment. Second lien term loans offer either floating rate or fixed rate interest payments, generally have a stated maturity of five to eight years, and may or may not have a fixed amortization schedule. Second lien term loans that do not have fixed amortization schedules require payment of the principal amount of the loan upon the maturity date of the loan. Second lien term loans have less restrictive financial and negative covenants than those that govern first lien term loans.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Mezzanine debt</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Mezzanine debt usually ranks subordinate in priority of payment to senior debt and is often unsecured. However, mezzanine debt ranks senior to common and preferred equity in a borrowers’ capital structure. Mezzanine debt typically has fixed rate interest payments and a stated maturity of six to eight years and does not have fixed amortization schedules.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some cases, our debt investments may provide for a portion of the interest payable to be paid-in-kind interest (“PIK”). To the extent interest is paid-in-kind, it will be payable through the increase of the principal amount of the obligation by the amount of interest due on the then-outstanding aggregate principal amount of such obligation.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Equity investments may consist of preferred equity that is expected to pay dividends on a current basis or preferred equity that does not pay current dividends. Preferred equity generally has a preference over common equity as to distributions on liquidation and dividends. In some cases, we may acquire common equity. In general, our equity investments are not control-oriented investments and we expect that in many cases we will acquire equity securities as part of a group of private equity investors in which we are not the lead investor.</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Opportunistic Investments</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Opportunistic investments may include investments in distressed debt, which may include securities of companies in bankruptcy, debt and equity securities of public companies that are not thinly traded, emerging market debt, structured finance vehicles such as collateralized loan obligation funds and debt of middle market companies located outside the United States.</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On January 22, 2008, GSC Group, Inc., as asset manager, with Lehman Brothers raising the financing, entered into a collateral management agreement with Saratoga CLO. Saratoga CLO was structured with five tranches of debt, plus residual notes. Saratoga CLO’s five tranches of debt was purchased by a wide variety of CLO debt market participants. In addition, we purchased for $30.0 million all of the outstanding subordinated notes of Saratoga CLO.</w:t>
      </w:r>
    </w:p>
    <w:p>
      <w:pPr>
        <w:spacing w:after="0" w:line="14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Pursuant to its terms, the investment period for Saratoga CLO ended in January 2013, and certain restrictions in such terms prevented portfolio reinvestment. As a result, the Company determined that it was in its best interest to refinance Saratoga CLO given the fee income it receives for managing Saratoga CLO. The Company did not originate any of the loan assets included in the formation of Saratoga CLO, nor has it done so since the subsequent refinancing transaction. Moreover, the Company does not expect to originate any of the loans in the Saratoga CLO portfolio prospectively. The Company has from time to time co-invested in loans with the Saratoga CLO. The Company currently has no co-investments between it and Saratoga CLO.</w:t>
      </w:r>
    </w:p>
    <w:p>
      <w:pPr>
        <w:spacing w:after="0" w:line="15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With respect to our advisory services to Saratoga CLO, and in particular the underwriting standards used when determining which investments qualify for inclusion in the Saratoga CLO, they are substantially similar to the process employed in selecting the Company’s investments. All of the credit metrics for a Saratoga CLO investment are reviewed and documented in the same manner 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they would be for an investment for the Company, with some minor differences. For example, the Saratoga CLO investment process also includes the Standard &amp; Poors and Moody’s review of the loan investment and the assigned corporate ratings, in addition to the Standard &amp; Poors recovery rate analysis, which typically does not apply to a prospective investment of the Company. Lastly, a Saratoga CLO investment also considers the likely secondary liquidity of the loan in considering the investment, whereas the Company’s investments are generally illiquid.</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Saratoga CLO was initially refinanced in October 2013 and its reinvestment period ended in October 2016. On November 15, 2016, we completed the second refinancing of the Saratoga CLO. The Saratoga CLO refinancing, among other things, extended its reinvestment period to October 2018, and extended its legal maturity date to October 2025. Following the refinancing, the Saratoga CLO portfolio remained at the same size and with a similar capital structure of approximately $300.0 million in aggregate principal amount of predominantly senior secured first lien term loans. In addition to refinancing its liabilities, we also purchased $4.5 million in aggregate principal amount of the Class F notes tranche of the Saratoga CLO at par, with a coupon of LIBOR plus 8.5%. The Class F tranche is the eighth tranche in the capital structure of Saratoga CLO and is subordinated to the other debt classes of Saratoga CLO. The Class F tranche is only senior to the subordinated notes, which is effectively the equity position in Saratoga CLO. As a result, the other tranches of debt in Saratoga CLO rank ahead of the $4.5 million Class F tranche and ahead of the aggregate principal amount of our position in the subordinated notes, which as of February 28, 2017 had a fair value of $11.0 million, with respect to priority of payments in the event of a default or a liquidation. After the reinvestment period ends in October 2018, the Company will consider refinancing the Saratoga CLO, subject to market conditions. A refinancing transaction entails finding existing and new investors that are willing to provide debt financing to Saratoga CLO on terms that are acceptable to it and in an amount sufficient to allow it to repay all of its existing debt holders. If Saratoga CLO is unable to refinance its indebtedness by October 2018, then Saratoga CLO will be required to use investment repayments by portfolio companies received thereafter to repay its outstanding indebtedness and ultimately liquidate Saratoga CLO.</w:t>
      </w:r>
    </w:p>
    <w:p>
      <w:pPr>
        <w:spacing w:after="0" w:line="17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terms of the subordinated notes of Saratoga CLO entitles the Company to the residual net interest income in Saratoga CLO, which are paid on a quarterly basis after payment of all expenses, assuming that the Saratoga CLO remains in compliance with its various debt and rating agency compliance tests. The Company’s investment in the subordinated notes of Saratoga CLO can be sold or transferred at any time. The Company has held 100% of the subordinated notes of Saratoga CLO since the inception of Saratoga CLO.</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Generally, the interests of the holders of the various classes of securities issued by the Saratoga CLO are aligned with the interests of the Company as holder of the subordinated notes. The investors in the various debt tranches of the securities issued by the Saratoga CLO are interested in the regular payment of interest income from the Saratoga CLO and the overcollateralization of the underlying loan assets relative to the Saratoga CLO debt issued. On the other hand, the subordinated note holders might prefer purchasing higher yielding riskier assets that could increase returns while the returns of the holders of the debt securities remain unchanged.</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With respect to the collateral management agreement that the Company has entered into with Saratoga CLO, while the agreement is similar to the investment advisory and management agreement between the Company and Saratoga Investment Advisors in that it is an asset management agreement, there are material differences between the two. For example, pursuant to Section 15 of the 1940 Act, the Management Agreement with Saratoga Investment Advisors has an initial term of two years, with annual renewals to be approved by the Company’s board of directors. The contract can be terminated by the Company’s board of directors or stockholders with 60 days’ notice, with no penalty for termination. The collateral management agreement that the Company has entered into with Saratoga CLO, on the other hand, has no renewal requirement, and can be terminated without cause with the approval of two-thirds of each of the class of CLO securities, excluding votes from interested noteholders. Furthermore, the Saratoga CLO collateral management agreement cannot be terminated with cause without the approval of a majority of all of the CLO security holders voting collectively, excluding votes from interested noteholders. If the Saratoga CLO collateral management agreement is terminated, the manager remains in place until a new manager is appointed by the issuer at the direction of a majority of the noteholders, and so long as such replacement is not rejected within 20 days by the most senior class of the Saratoga CLO securities. We receive a base management fee of 0.10% and a subordinated management fee of 0.40% of the outstanding principal amount of Saratoga CLO’s assets, paid quarterly to the extent of available proceeds. Prior to the second refinancing and the issuance of the 2013-1 Amended CLO Notes, we received a base management fee of 0.25% and a subordinated management fee of 0.25% of the outstanding principal amount of Saratoga CLO’s assets, paid quarterly to the extent of available proceeds. We are also entitled to an incentive management fee equal to 20.0% of excess cash flow to the extent the Saratoga CLO subordinated notes receive an internal rate of return paid in cash equal to or greater than 12.0%.</w:t>
      </w:r>
    </w:p>
    <w:p>
      <w:pPr>
        <w:spacing w:after="0" w:line="16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securities issued by the Saratoga CLO do not have any external credit enhancement features that would minimize the potential losses to the subordinated notes. Saratoga CLO recognized losses of approximately $3.4 million in October 2013 and $6.1 million in November 2016 upon the refinancing as a result of the legal and accounting costs associated with the refinancing and the divestiture of certain Saratoga CLO loans not eligible for the refinanced Saratoga CLO. The cost of the refinancing was effectively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borne by the Company as the holder of the subordinated notes in Saratoga CLO. The indenture for the Saratoga CLO does not contemplate the issuance of additional securities while the existing Saratoga CLO securities remain outstanding. The indenture could be amended to allow the issuance of additional securities, which would require consents of the holders of the Saratoga CLO debt securities and the approval of the rating agencies. The Saratoga CLO could issue additional securities pursuant to a refinancing of the existing securities. The costs of any such future refinancing would effectively be borne by us as the holder of the subordinated notes in Saratoga CLO.</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does not believe that any representations or warranties made by the Company as manager of Saratoga CLO or investor in the subordinated notes could materially affect the Company. However, because the Company acts as the collateral manager to Saratoga CLO, it may be subject to claims by third-party investors in Saratoga CLO for alleged or actual negligent acts, errors or omissions or breach of fiduciary duties committed in the scope of performing its services as the collateral manager.</w:t>
      </w:r>
    </w:p>
    <w:p>
      <w:pPr>
        <w:spacing w:after="0" w:line="18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As of February 28, 2017, the Saratoga CLO portfolio consisted of $297.1 million in aggregate principal amount of primarily senior secured first lien term loans. 98.8% of the Saratoga CLO portfolio consisted of such loans at February 28, 2017, to 195 borrowers with an average exposure to each borrower of $1.5 million. The weighted average maturity of the portfolio is 4.45 years. In addition, Saratoga CLO held $13.0 million in cash at February 28, 2017. Our investment in Saratoga CLO falls into our 30% “bucket” of non-qualifying assets under the 1940 Act and currently has a cost basis of approximately $10.3 million, which is net of all principal payments made by Saratoga CLO on the Company’s initial $30.0 million investment in Saratoga CLO.</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Prospective portfolio company characteristics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adviser generally selects portfolio companies with one or more of the following characteristics:</w:t>
      </w:r>
    </w:p>
    <w:p>
      <w:pPr>
        <w:spacing w:after="0" w:line="131"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history of generating stable earnings and strong free cash flow;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well-constructed balance sheets with the ability to withstand industry cycles, supported by sustainable enterprise values;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reasonable debt-to-cash flow multiples;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exceptional management with meaningful stake;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industry leadership with competitive advantages and sustainable market shares and growth prospects in attractive and healthy sectors; and</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structures that provide appropriate terms and reasonable covenants.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selection</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managing us, Saratoga Investment Advisors employs the same investment philosophy and portfolio management methodologies used by Saratoga Partners. Through this investment selection process, based on quantitative and qualitative analysis, Saratoga Investment Advisors seeks to identify portfolio companies with superior fundamental risk-reward profiles and strong, defensible business franchises with the goal of minimizing principal losses while maximizing risk-adjusted returns. Saratoga Investment Advisors’ investment process emphasizes the following:</w:t>
      </w:r>
    </w:p>
    <w:p>
      <w:pPr>
        <w:spacing w:after="0" w:line="77"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bottoms-up, company-specific research and analysis;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preservation, low volatility and minimization of downside risk;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investing with experienced management teams that hold meaningful equity ownership in their businesses.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adviser’s investment process generally includes the following steps:</w:t>
      </w:r>
    </w:p>
    <w:p>
      <w:pPr>
        <w:spacing w:after="0" w:line="131" w:lineRule="exact"/>
        <w:rPr>
          <w:sz w:val="20"/>
          <w:szCs w:val="20"/>
          <w:color w:val="auto"/>
        </w:rPr>
      </w:pPr>
    </w:p>
    <w:p>
      <w:pPr>
        <w:jc w:val="both"/>
        <w:ind w:left="660" w:right="20" w:hanging="206"/>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Initial screening. A brief analysis identifies the investment opportunity and reviews the merits of the transaction. The initial screening memorandum provides a brief description of the company, its industry, competitive position, capital structure, financials, equity sponsor and deal economics. If the deal is determined to be attractive by the senior members of the deal team, the opportunity is fully analyzed.</w:t>
      </w:r>
    </w:p>
    <w:p>
      <w:pPr>
        <w:spacing w:after="0" w:line="70" w:lineRule="exact"/>
        <w:rPr>
          <w:rFonts w:ascii="Arial" w:cs="Arial" w:eastAsia="Arial" w:hAnsi="Arial"/>
          <w:sz w:val="17"/>
          <w:szCs w:val="17"/>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Full analysis. A full analysis includes:</w:t>
      </w:r>
    </w:p>
    <w:p>
      <w:pPr>
        <w:spacing w:after="0" w:line="130" w:lineRule="exact"/>
        <w:rPr>
          <w:rFonts w:ascii="Arial" w:cs="Arial" w:eastAsia="Arial" w:hAnsi="Arial"/>
          <w:sz w:val="18"/>
          <w:szCs w:val="18"/>
          <w:color w:val="auto"/>
        </w:rPr>
      </w:pPr>
    </w:p>
    <w:p>
      <w:pPr>
        <w:ind w:left="1480" w:right="60" w:hanging="446"/>
        <w:spacing w:after="0" w:line="264"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Business and Industry analysis—a review of the company’s business position, competitive dynamics within its industry, cost and growth drivers and technological and geographic factors. Business and industry research often includes meetings with industry experts, consultants, other investors, customers and competitors.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20" w:hanging="446"/>
        <w:spacing w:after="0" w:line="342"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Company analysis—a review of the company’s historical financial performance, future projections, cash flow characteristics, balance sheet strength, liquidation value, legal, financial and accounting risks, contingent liabilities, market share analysis and growth prospects.</w:t>
      </w:r>
    </w:p>
    <w:p>
      <w:pPr>
        <w:spacing w:after="0" w:line="29" w:lineRule="exact"/>
        <w:rPr>
          <w:rFonts w:ascii="Arial" w:cs="Arial" w:eastAsia="Arial" w:hAnsi="Arial"/>
          <w:sz w:val="16"/>
          <w:szCs w:val="16"/>
          <w:color w:val="auto"/>
        </w:rPr>
      </w:pPr>
    </w:p>
    <w:p>
      <w:pPr>
        <w:ind w:left="1480" w:right="360" w:hanging="446"/>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Structural/security analysis—a thorough legal document analysis including but not limited to an assessment of financial and negative covenants, events of default, enforceability of liens and voting rights.</w:t>
      </w:r>
    </w:p>
    <w:p>
      <w:pPr>
        <w:spacing w:after="0" w:line="75" w:lineRule="exact"/>
        <w:rPr>
          <w:rFonts w:ascii="Arial" w:cs="Arial" w:eastAsia="Arial" w:hAnsi="Arial"/>
          <w:sz w:val="18"/>
          <w:szCs w:val="18"/>
          <w:color w:val="auto"/>
        </w:rPr>
      </w:pPr>
    </w:p>
    <w:p>
      <w:pPr>
        <w:ind w:left="660" w:right="80" w:hanging="206"/>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of the investment committee. The investment is then presented to the investment committee for approval. The investment committee must unanimously approve all investments in excess of $1 million made by us. In addition, all sales of our investments must be approved by all four of our investment committee members. The members of our investment committee are Christian L. Oberbeck, Michael J. Grisius, Thomas V. Inglesby, and Charles G. Phillips.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general, our Investment Adviser intends to select investments with financial covenants and terms that reduce leverage over time, thereby enhancing credit quality. These methods include:</w:t>
      </w:r>
    </w:p>
    <w:p>
      <w:pPr>
        <w:spacing w:after="0" w:line="76"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maintenance leverage covenants requiring a decreasing ratio of debt to cash flow;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maintenance cash flow covenants requiring an increasing ratio of cash flow to the sum of interest expense and capital expenditures; and</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incurrence prohibitions, limiting a company’s ability to re-lever.</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 addition, limitations on asset sales and capital expenditures should prevent a company from changing the nature of its business or capitalization without our consent.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adviser seeks, where appropriate, to limit the downside potential of our investments by:</w:t>
      </w:r>
    </w:p>
    <w:p>
      <w:pPr>
        <w:spacing w:after="0" w:line="131"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and potential equity appreciation) that compensates us for credit risk;</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companies to use a portion of their excess cash flow to repay debt;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selecting investments with covenants that incorporate call protection as part of the investment structure; and</w:t>
      </w:r>
    </w:p>
    <w:p>
      <w:pPr>
        <w:spacing w:after="0" w:line="130" w:lineRule="exact"/>
        <w:rPr>
          <w:rFonts w:ascii="Arial" w:cs="Arial" w:eastAsia="Arial" w:hAnsi="Arial"/>
          <w:sz w:val="18"/>
          <w:szCs w:val="18"/>
          <w:color w:val="auto"/>
        </w:rPr>
      </w:pPr>
    </w:p>
    <w:p>
      <w:pPr>
        <w:ind w:left="660" w:right="460" w:hanging="206"/>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selecting investments with affirmative and negative covenants, default penalties, lien protection, change of control provisions and board rights, including either observation or participation rights.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Valuation process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We account for our investments at fair value in accordance with the Financial Accounting Standards Board (“FASB”) Accounting Standards Codification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as approved in good faith using written policies and procedures adopted by our board of directors. Investments for which market quotations are readily available are recorded in our consolidated financial statements at such market quotations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Advisors, our audit committee and an independent valuation firm engaged by our board of directors. Determinations of fair value may involve subjective judgments and estimates. The types of factors that may be considered in determining the fair value of our investments include the nature and realizable value of any collateral, the portfolio company’s ability to make payments, the markets in which the portfolio company does business, market yield trend analysis, comparison to publicly traded companies, discounted cash flow and other relevant factors.</w:t>
      </w:r>
    </w:p>
    <w:p>
      <w:pPr>
        <w:spacing w:after="0" w:line="16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Our investment in the subordinated notes of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similar collateralized loan obligation fund subordinated notes or equity, when available. Specifically, we use Intex cash flow models, or an appropriate substitute, to form the basis for Saratoga CLO’s valuation. The Intex cash flow models use a set of assumptions including projected default rates, recovery rates, reinvestment rate and prepayment rates in order to arrive at estimated cash flows. The assumptions are based on available market data and projections provided by third parties as well as management estimates. We use the output from the Intex models (i.e., the estimated cash flows from our investment in Saratoga CLO) to perform a discounted cash flow analysis on expected future cash flows from our investment in Saratoga CLO to determine a valuation for the subordinated notes of Saratoga CLO held by 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76" w:lineRule="exact"/>
        <w:rPr>
          <w:sz w:val="20"/>
          <w:szCs w:val="20"/>
          <w:color w:val="auto"/>
        </w:rPr>
      </w:pPr>
    </w:p>
    <w:p>
      <w:pPr>
        <w:ind w:left="660" w:right="700" w:hanging="206"/>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Each investment is initially valued by the responsible investment professionals of Saratoga Investment Advisors and preliminary valuation conclusions are documented and discussed with the senior management of our senior management; and</w:t>
      </w:r>
    </w:p>
    <w:p>
      <w:pPr>
        <w:spacing w:after="0" w:line="51" w:lineRule="exact"/>
        <w:rPr>
          <w:rFonts w:ascii="Arial" w:cs="Arial" w:eastAsia="Arial" w:hAnsi="Arial"/>
          <w:sz w:val="17"/>
          <w:szCs w:val="17"/>
          <w:color w:val="auto"/>
        </w:rPr>
      </w:pPr>
    </w:p>
    <w:p>
      <w:pPr>
        <w:ind w:left="660" w:right="100" w:hanging="206"/>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independently reviews a selection of these preliminary valuations each quarter so that the valuation of each investment for which market quotes are not readily available is reviewed by the independent valuation firm at least once each fiscal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660" w:right="320" w:hanging="206"/>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each preliminary valuation and our investment adviser and independent valuation firm (if applicable) will supplement the preliminary valuation to reflect any comments provided by the audit committee; and</w:t>
      </w:r>
    </w:p>
    <w:p>
      <w:pPr>
        <w:spacing w:after="0" w:line="51" w:lineRule="exact"/>
        <w:rPr>
          <w:rFonts w:ascii="Arial" w:cs="Arial" w:eastAsia="Arial" w:hAnsi="Arial"/>
          <w:sz w:val="17"/>
          <w:szCs w:val="17"/>
          <w:color w:val="auto"/>
        </w:rPr>
      </w:pPr>
    </w:p>
    <w:p>
      <w:pPr>
        <w:ind w:left="660" w:right="280" w:hanging="206"/>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approves the fair value of each investment in good faith based on the input of our investment adviser, independent valuation firm (to the extent applicable) and the audit committee of our board of directors.</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relationships with and monitoring of portfolio companies</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Saratoga Investment Advisors will closely monitor each investment we make and, when appropriate, will conduct a regular dialogue with both the management team and other debtholders and seek specifically tailored financial reporting. In addition, in certain circumstances, senior investment professionals of Saratoga Investment Advisors may take board seats or board observation seats.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distributions, if any, will be determined by our board of directors and paid out of assets legally available for distribution. Any such distributions generally will be taxable to our stockholders, including to those stockholders who receive additional shares of our common stock pursuant to our dividend reinvestment plan. Prior to January 2009, we paid quarterly dividends to our stockholders. However, in January 2009, we suspended the practice of paying quarterly dividends to our stockholders and thereafter paid five annual dividend distributions (December 2013, 2012, 2011, 2010 and 2009) to our stockholders since such time, which distributions were made with a combination of cash and the issuance of shares of our common stock as discussed more fully below.</w:t>
      </w:r>
    </w:p>
    <w:p>
      <w:pPr>
        <w:spacing w:after="0" w:line="19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On September 24, 2014, we announced the recommencement of quarterly dividends to our stockholders, and have subsequently made distributions under this new policy. We have adopted a dividend reinvestment plan (“DRIP”) that provides for reinvestment of our dividend distributions on behalf of our stockholders unless a stockholder elects to receive cash. As a result, if our board of directors authorizes, and we declare, a cash dividend, then our stockholders who have not “opted out” of the DRIP by the dividend record date will have their cash dividends automatically reinvested into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17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maintain our qualification as a RIC, we must for each fiscal year distribute an amount equal to at least 90.0% of our ordinary net taxable income and realized net short-term capital gains in excess of realized net long-term capital losses, if any, reduced by deductible expenses. In addition, we will be subject to federal excise taxes to the extent we do not distribute during the calendar year at least (1) 98.0% of our ordinary income for the calendar year,</w:t>
      </w:r>
    </w:p>
    <w:p>
      <w:pPr>
        <w:ind w:right="60" w:firstLine="8"/>
        <w:spacing w:after="0" w:line="271" w:lineRule="auto"/>
        <w:tabs>
          <w:tab w:leader="none" w:pos="2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98.2% of our capital gains in excess of capital losses for the one year period ending on October 31 of the calendar year and (3) any ordinary income and net capital gains for preceding years that were not distributed during such years and on which we paid no federal income tax. For the 2016 calendar year, our distributions were insufficient such that we incurred federal excise taxes of $44,770. We may elect to withhold from distribution a portion of our ordinary income for the 2017 calendar year and/or portion of the capital gains in excess of capital losses realized during the one year period ending October 31, 2017, if any, and, if we do so, we would expect to incur federal excise taxes as a result.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may distribute taxable dividends that are payable in cash or shares of our common stock at the election of each stockholder. Under certain applicable provisions of the Code and the Treasury regulations, distributions payable in cash or in shares of stock at the election of stockholders are treated as taxable dividends. The Internal Revenue Service (“IRS”) has issued private rulings indicating that this rule will apply even where the total amount of cash that may be distributed is limited to no more than 20.0% of the total distribution. Under these rulings, if too many stockholders elect to receive their distributions in cash, each such stockholder would receive a pro rata share of the total cash to be distributed and would receive the remainder of their distribution in shares of stock. If we decide to make any distributions consistent with these rulings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United States federal income tax purposes. As a result, a U.S. stockholder may be required to pay tax with respect to such dividends in excess of any cash received. If a U.S. stockholder sells the stock he or she receives as a dividend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Our primary competitors in providing financing to private middle market companies include public and private investment funds (including private equity funds, mezzanine funds, BDCs and SBICs), commercial and investment banks and commercial financing companies. Additionally, alternative investment vehicles, such as hedge funds, frequently invest in middle-market companies. As a result, competition for investment opportunities at middle-market companies can be intense. However, we continue to believe that there has been an overall reduction in the amount of debt capital available on average since the downturn in the credit markets, which began in mid-2007, and that this has resulted in a somewhat less competitive environment for making new investments. While many middle-market companies were previously able to raise senior debt financing through traditional large financial institutions, we believe this approach to financing is more difficult as implementation of U.S. and international financial reforms, such as Basel 3, limits the capacity of large financial institutions to hold non-investment grade leveraged loans on their balance sheets. We believe that many of these financial institutions have de-emphasized their service and product offerings to middle-market companies in particular.</w:t>
      </w:r>
    </w:p>
    <w:p>
      <w:pPr>
        <w:spacing w:after="0" w:line="18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Many of our competitors are substantially larger and have considerably greater financial and marketing resources than us. For example, some competitors may have access to funding sources that are not available to us. In addition, some of our competitors may have higher risk tolerances or different risk assessments, which may allow them to consider a wider variety of investments and establish more relationships than us. Furthermore, many of our competitors are not subject to the regulatory restrictions that the 1940 Act imposes on us as a BDC. We use the industry information available to the investment professionals of Saratoga Investment Advisors to assess investment risks and determine appropriate pricing for our investments in portfolio companies. In addition, we believe that the investment professionals of our investment adviser enable us to learn about, and compete effectively for, financing opportunities with attractive leveraged companies in the industries in which we seek to invest.</w:t>
      </w:r>
    </w:p>
    <w:p>
      <w:pPr>
        <w:spacing w:after="0" w:line="17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For additional information concerning the competitive risks we face, please see Part I. Item 1A. “Risk Factors—We operate in a highly competitive market for investment opportunities.”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do not currently have any employees and do not expect to have any employees in the future. Services necessary for our business are provided by individuals who are employees of Saratoga Investment Advisors, pursuant to the terms of the Management Agreement and the administration agreement. For a discussion of the Management Agreement, see “Business—Investment Advisory and Management Agreement” below. We reimburse Saratoga Investment Advisors for our allocable portion of expenses incurred by it in performing its obligations under the administration agreement, including rent and our allocable portion of the cost of our officers and their respective staffs, subject to certain limitations. For a discussion of the administration agreement, see “Business—Administration Agreement” below.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 Advisory and Management Agreement</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Saratoga Investment Advisors serves as our investment adviser. Our investment adviser was formed in 2010 as a Delaware limited liability company and became our investment advisor in July 2010. Subject to the overall supervision of our board of directors, Saratoga Investment Advisors manages our day-to-day operations and provides investment advisory and management services to us. Under the terms of the Management Agreement, Saratoga Investment Advisors:</w:t>
      </w:r>
    </w:p>
    <w:p>
      <w:pPr>
        <w:spacing w:after="0" w:line="92"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53" w:lineRule="exact"/>
        <w:rPr>
          <w:rFonts w:ascii="Arial" w:cs="Arial" w:eastAsia="Arial" w:hAnsi="Arial"/>
          <w:sz w:val="16"/>
          <w:szCs w:val="16"/>
          <w:color w:val="auto"/>
        </w:rPr>
      </w:pPr>
    </w:p>
    <w:p>
      <w:pPr>
        <w:ind w:left="660" w:right="52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determines the securities and other assets that we purchase, retain or sell.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Saratoga Investment Advisors services under the Management Agreement are not exclusive, and it is free to furnish similar services to other entities.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Fee and Incentive Fee</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Pursuant to the Management Agreement with Saratoga Investment Advisors, we pay Saratoga Investment Advisors a fee for investment advisory and management services consisting of two components—a base management fee and an incentive fee.</w:t>
      </w:r>
    </w:p>
    <w:p>
      <w:pPr>
        <w:spacing w:after="0" w:line="170"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The base management fee is paid quarterly in arrears, and equals 1.75% per annum of our gross assets (other than cash or cash equivalents but including assets purchased with borrowed funds) and calculated at the end of each fiscal quarter based on the average value of our gross assets (other than cash or cash equivalents but including assets purchased with borrowed funds) as of the end of such fiscal quarter and the end of the immediate prior fiscal quarter. Base management fees for any partial month or quarter are appropriately pro-rated.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the following two parts:</w:t>
      </w:r>
    </w:p>
    <w:p>
      <w:pPr>
        <w:spacing w:after="0" w:line="117"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color w:val="auto"/>
        </w:rPr>
        <w:t>The first part is calculated and payable quarterly in arrears based on our pre-incentive fee net investment income for the immediately preceding fiscal quarter. Pre-incentive fee net investment income means interest income, dividend income and any other income (including any other fees such as commitment, origination, structuring, diligence, managerial and consulting fees or other fees that we receive from portfolio companies) accrued during the fiscal quarter, minus our operating expenses for the quarter (including the base management fee, expenses payable under the administration agreement, and any interest expense and dividends paid on any issued and outstanding preferred stock or debt security, but excluding the incentive fee). Pre-incentive fee net investment income includes, in the case of investments with a deferred interest feature (such as market discount, debt instruments with PIK interest, preferred stock with PIK dividends and zero coupon securities), accrued income that we have not yet received in cash. Pre-incentive fee net investment income does not include any realized capital gains, realized capital losses, unrealized capital appreciation or depreciation or realized gains or losses resulting from the extinguishment of our own debt. Pre-incentive fee net investment income, expressed as a rate of return on the value of our net assets (defined as total assets less liabilities) at the end of the immediately preceding fiscal quarter, is compared to a “hurdle rate” of 1.875% per quarter, subject to a “catch up” provision. The base management fee is calculated prior to giving effect to the payment of any incentive fees.</w:t>
      </w:r>
    </w:p>
    <w:p>
      <w:pPr>
        <w:spacing w:after="0" w:line="65" w:lineRule="exact"/>
        <w:rPr>
          <w:sz w:val="20"/>
          <w:szCs w:val="20"/>
          <w:color w:val="auto"/>
        </w:rPr>
      </w:pPr>
    </w:p>
    <w:p>
      <w:pPr>
        <w:ind w:left="460" w:right="40" w:firstLine="438"/>
        <w:spacing w:after="0" w:line="288" w:lineRule="auto"/>
        <w:rPr>
          <w:sz w:val="20"/>
          <w:szCs w:val="20"/>
          <w:color w:val="auto"/>
        </w:rPr>
      </w:pPr>
      <w:r>
        <w:rPr>
          <w:rFonts w:ascii="Arial" w:cs="Arial" w:eastAsia="Arial" w:hAnsi="Arial"/>
          <w:sz w:val="16"/>
          <w:szCs w:val="16"/>
          <w:color w:val="auto"/>
        </w:rPr>
        <w:t>We pay Saratoga Investment Advisors an incentive fee with respect to our pre-incentive fee net investment income in each fiscal quarter as follows: (A) no incentive fee in any fiscal quarter in which our pre-incentive fee net investment income does not exceed the hurdle rate; (B) 100.0% of our pre-incentive fee net investment income with respect to that portion of such pre-incentive fee net investment income, if any, that exceeds the hurdle rate but is less than or equal to 2.344% in any fiscal quarter is payable to Saratoga Investment Advisors; and (C) 20.0% of the amount of our pre-incentive fee net investment income, if any, that exceeds 2.344% in any fiscal quarter. We refer to the amount specified in clause (B) as the “catch-up.” The “catch-up” provision is intended to provide Saratoga Investment Advisors with an incentive fee of 20.0% on all of our pre-incentive fee net investment income as if a hurdle rate did not apply when our pre-incentive fee net investment income exceeds 2.344% in any fiscal quarter. Notwithstanding the foregoing, with respect to any period ending on or prior to December 31, 2010, Saratoga Investment Advisors was only entitled to 20.0% of the amount of our pre-incentive fee net investment income, if any, that exceeded 1.875% in any fiscal quarter without any catch-up provision. These calculations are appropriately pro-rated when such calculations are applicable for any period of less than three months.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graphical representation of the calculation of the income-related portion of the incentive fee subsequent to any period ending 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w:t>
      </w:r>
    </w:p>
    <w:p>
      <w:pPr>
        <w:spacing w:after="0" w:line="211" w:lineRule="exact"/>
        <w:rPr>
          <w:sz w:val="20"/>
          <w:szCs w:val="20"/>
          <w:color w:val="auto"/>
        </w:rPr>
      </w:pPr>
    </w:p>
    <w:p>
      <w:pPr>
        <w:jc w:val="center"/>
        <w:ind w:left="420" w:right="2620"/>
        <w:spacing w:after="0" w:line="264" w:lineRule="auto"/>
        <w:rPr>
          <w:sz w:val="20"/>
          <w:szCs w:val="20"/>
          <w:color w:val="auto"/>
        </w:rPr>
      </w:pPr>
      <w:r>
        <w:rPr>
          <w:rFonts w:ascii="Arial" w:cs="Arial" w:eastAsia="Arial" w:hAnsi="Arial"/>
          <w:sz w:val="18"/>
          <w:szCs w:val="18"/>
          <w:b w:val="1"/>
          <w:bCs w:val="1"/>
          <w:i w:val="1"/>
          <w:iCs w:val="1"/>
          <w:color w:val="auto"/>
        </w:rPr>
        <w:t xml:space="preserve">Quarterly Incentive Fee Based on “Pre-Incentive Fee Net Investment Income” </w:t>
      </w:r>
      <w:r>
        <w:rPr>
          <w:rFonts w:ascii="Arial" w:cs="Arial" w:eastAsia="Arial" w:hAnsi="Arial"/>
          <w:sz w:val="18"/>
          <w:szCs w:val="18"/>
          <w:b w:val="1"/>
          <w:bCs w:val="1"/>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141605</wp:posOffset>
            </wp:positionV>
            <wp:extent cx="4305300" cy="128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05300"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Percentage of Pre-Incentive Fee Net Investment</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Income allocated to income-related portion of incentive fee</w:t>
      </w:r>
    </w:p>
    <w:p>
      <w:pPr>
        <w:spacing w:after="0" w:line="211"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The second part of the incentive fee, the capital gains fee, is determined and payable in arrears as of the end of each fiscal year (or, upon termination of the Management Agreement), and is calculated at the end of each applicable fiscal year by subtracting (1) the sum of our cumulative aggregate realized capital losses and aggregate unrealized capital depreciation from (2) our cumulative aggregate realized capital gains, in each case calculated from May 31, 2010. If such amount is positive at the end of such year, then the capital gains fee for such year is equal to 20.0% of such amount, less the cumulative aggregate amount of capital gains fees paid in all prior years. If such amount is negative, then there is no capital gains fee for such year.</w:t>
      </w:r>
    </w:p>
    <w:p>
      <w:pPr>
        <w:spacing w:after="0" w:line="85" w:lineRule="exact"/>
        <w:rPr>
          <w:sz w:val="20"/>
          <w:szCs w:val="20"/>
          <w:color w:val="auto"/>
        </w:rPr>
      </w:pPr>
    </w:p>
    <w:p>
      <w:pPr>
        <w:ind w:left="460" w:right="160" w:firstLine="438"/>
        <w:spacing w:after="0" w:line="257" w:lineRule="auto"/>
        <w:rPr>
          <w:sz w:val="20"/>
          <w:szCs w:val="20"/>
          <w:color w:val="auto"/>
        </w:rPr>
      </w:pPr>
      <w:r>
        <w:rPr>
          <w:rFonts w:ascii="Arial" w:cs="Arial" w:eastAsia="Arial" w:hAnsi="Arial"/>
          <w:sz w:val="18"/>
          <w:szCs w:val="18"/>
          <w:color w:val="auto"/>
        </w:rPr>
        <w:t>Under the Management Agreement,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Saratoga Investment Advisors will be entitled to 20.0% of net capital gains that arise after May 31, 2010. In addition, the cost basis for computing our realized gains and losses on investments held by us as of May 31, 2010 equals the fair value of such investments as of such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Example 1: Income Related Portion of Incentive Fee(1):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Hurdle rate(2) = 1.875%</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fee(3) = 0.4375%</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expenses (legal, accounting, custodian, transfer agent, etc.)(4) = 0.33%</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Alternative 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Additional Assumptions</w:t>
      </w:r>
    </w:p>
    <w:p>
      <w:pPr>
        <w:spacing w:after="0" w:line="131"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income (including interest, dividends, fees, etc.) = 1.25%</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Pre-incentive fee net investment income (investment income–(management fee + other expenses)) = 0.4825%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Alternative 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Additional Assumptions</w:t>
      </w:r>
    </w:p>
    <w:p>
      <w:pPr>
        <w:spacing w:after="0" w:line="131"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Investment income (including interest, dividends, fees, etc.) = 3.0%</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Pre-incentive fee net investment income (investment income–(management fee + other expenses)) = 2.2325%</w:t>
      </w:r>
    </w:p>
    <w:p>
      <w:pPr>
        <w:sectPr>
          <w:pgSz w:w="11900" w:h="16838" w:orient="portrait"/>
          <w:cols w:equalWidth="0" w:num="1">
            <w:col w:w="11260"/>
          </w:cols>
          <w:pgMar w:left="240" w:top="459" w:right="399" w:bottom="1440" w:gutter="0" w:footer="0" w:header="0"/>
        </w:sectPr>
      </w:pP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60"/>
          </w:cols>
          <w:pgMar w:left="240" w:top="459" w:right="3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Pre-incentive fee net investment income exceeds hurdle rate, but does not fully satisfy the “catch-up” provision, therefore the income related portion of the incentive fee is 0.3575%.</w:t>
      </w:r>
    </w:p>
    <w:p>
      <w:pPr>
        <w:spacing w:after="0" w:line="19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(100.0% × (pre-incentive fee net investment income–1.875%)</w:t>
      </w:r>
    </w:p>
    <w:p>
      <w:pPr>
        <w:spacing w:after="0" w:line="23" w:lineRule="exact"/>
        <w:rPr>
          <w:sz w:val="20"/>
          <w:szCs w:val="20"/>
          <w:color w:val="auto"/>
        </w:rPr>
      </w:pPr>
    </w:p>
    <w:p>
      <w:pPr>
        <w:ind w:left="1460" w:hanging="220"/>
        <w:spacing w:after="0"/>
        <w:tabs>
          <w:tab w:leader="none" w:pos="14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100.0%(2.2325%–1.875%)</w:t>
      </w:r>
    </w:p>
    <w:p>
      <w:pPr>
        <w:spacing w:after="0" w:line="9" w:lineRule="exact"/>
        <w:rPr>
          <w:rFonts w:ascii="Arial" w:cs="Arial" w:eastAsia="Arial" w:hAnsi="Arial"/>
          <w:sz w:val="18"/>
          <w:szCs w:val="18"/>
          <w:color w:val="auto"/>
        </w:rPr>
      </w:pPr>
    </w:p>
    <w:p>
      <w:pPr>
        <w:ind w:left="1460" w:hanging="220"/>
        <w:spacing w:after="0"/>
        <w:tabs>
          <w:tab w:leader="none" w:pos="14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100.0%(0.3575%)</w:t>
      </w:r>
    </w:p>
    <w:p>
      <w:pPr>
        <w:spacing w:after="0" w:line="9" w:lineRule="exact"/>
        <w:rPr>
          <w:rFonts w:ascii="Arial" w:cs="Arial" w:eastAsia="Arial" w:hAnsi="Arial"/>
          <w:sz w:val="18"/>
          <w:szCs w:val="18"/>
          <w:color w:val="auto"/>
        </w:rPr>
      </w:pPr>
    </w:p>
    <w:p>
      <w:pPr>
        <w:ind w:left="1460" w:hanging="220"/>
        <w:spacing w:after="0"/>
        <w:tabs>
          <w:tab w:leader="none" w:pos="14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0.3575%</w:t>
      </w:r>
    </w:p>
    <w:p>
      <w:pPr>
        <w:spacing w:after="0" w:line="183"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7.5% hurdle rate.</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1.75% annualized management fee. For the purposes of this example, we have assumed that we have not incurred any indebtedness and that we maintain no cash or cash equivalents.</w:t>
      </w:r>
    </w:p>
    <w:p>
      <w:pPr>
        <w:ind w:left="46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“catch-up” provision is intended to provide our investment adviser with an incentive fee of 20.0% on all pre-incentive fee net investment income as if a hurdle rate did not apply when our net investment income exceeds 2.344% in any fiscal quarter.</w:t>
      </w:r>
    </w:p>
    <w:p>
      <w:pPr>
        <w:spacing w:after="0" w:line="291" w:lineRule="exact"/>
        <w:rPr>
          <w:rFonts w:ascii="Arial" w:cs="Arial" w:eastAsia="Arial" w:hAnsi="Arial"/>
          <w:sz w:val="18"/>
          <w:szCs w:val="18"/>
          <w:color w:val="auto"/>
        </w:rPr>
      </w:pPr>
    </w:p>
    <w:p>
      <w:pPr>
        <w:ind w:left="460" w:right="9220"/>
        <w:spacing w:after="0" w:line="431" w:lineRule="auto"/>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Alternative 3 </w:t>
      </w:r>
      <w:r>
        <w:rPr>
          <w:rFonts w:ascii="Arial" w:cs="Arial" w:eastAsia="Arial" w:hAnsi="Arial"/>
          <w:sz w:val="16"/>
          <w:szCs w:val="16"/>
          <w:i w:val="1"/>
          <w:iCs w:val="1"/>
          <w:color w:val="auto"/>
        </w:rPr>
        <w:t>Additional Assumptions</w:t>
      </w: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Investment income (including interest, dividends, fees, etc.) = 3.5%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Pre-Incentive Fee Net Investment Income (investment income–(management fee + other expenses) = 2.7325%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-1819910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Pre-incentive fee net investment income exceeds the hurdle rate, and fully satisfies the “catch-up” provision, therefore the income related portion of the incentive fee is 0.5467%.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Incentive fee</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ind w:left="120"/>
              <w:spacing w:after="0"/>
              <w:rPr>
                <w:sz w:val="20"/>
                <w:szCs w:val="20"/>
                <w:color w:val="auto"/>
              </w:rPr>
            </w:pPr>
            <w:r>
              <w:rPr>
                <w:rFonts w:ascii="Arial" w:cs="Arial" w:eastAsia="Arial" w:hAnsi="Arial"/>
                <w:sz w:val="18"/>
                <w:szCs w:val="18"/>
                <w:color w:val="auto"/>
                <w:w w:val="91"/>
              </w:rPr>
              <w:t>100.0%</w:t>
            </w:r>
          </w:p>
        </w:tc>
        <w:tc>
          <w:tcPr>
            <w:tcW w:w="5580" w:type="dxa"/>
            <w:vAlign w:val="bottom"/>
          </w:tcPr>
          <w:p>
            <w:pPr>
              <w:ind w:left="20"/>
              <w:spacing w:after="0"/>
              <w:rPr>
                <w:sz w:val="20"/>
                <w:szCs w:val="20"/>
                <w:color w:val="auto"/>
              </w:rPr>
            </w:pPr>
            <w:r>
              <w:rPr>
                <w:rFonts w:ascii="Arial" w:cs="Arial" w:eastAsia="Arial" w:hAnsi="Arial"/>
                <w:sz w:val="18"/>
                <w:szCs w:val="18"/>
                <w:color w:val="auto"/>
              </w:rPr>
              <w:t>× pre-incentive fee net investment income (subject to “catch-up”)(4)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Incentive fee</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ind w:left="120"/>
              <w:spacing w:after="0"/>
              <w:rPr>
                <w:sz w:val="20"/>
                <w:szCs w:val="20"/>
                <w:color w:val="auto"/>
              </w:rPr>
            </w:pPr>
            <w:r>
              <w:rPr>
                <w:rFonts w:ascii="Arial" w:cs="Arial" w:eastAsia="Arial" w:hAnsi="Arial"/>
                <w:sz w:val="18"/>
                <w:szCs w:val="18"/>
                <w:color w:val="auto"/>
                <w:w w:val="91"/>
              </w:rPr>
              <w:t>100.0%</w:t>
            </w:r>
          </w:p>
        </w:tc>
        <w:tc>
          <w:tcPr>
            <w:tcW w:w="5580" w:type="dxa"/>
            <w:vAlign w:val="bottom"/>
          </w:tcPr>
          <w:p>
            <w:pPr>
              <w:ind w:left="20"/>
              <w:spacing w:after="0"/>
              <w:rPr>
                <w:sz w:val="20"/>
                <w:szCs w:val="20"/>
                <w:color w:val="auto"/>
              </w:rPr>
            </w:pPr>
            <w:r>
              <w:rPr>
                <w:rFonts w:ascii="Arial" w:cs="Arial" w:eastAsia="Arial" w:hAnsi="Arial"/>
                <w:sz w:val="18"/>
                <w:szCs w:val="18"/>
                <w:color w:val="auto"/>
                <w:w w:val="91"/>
              </w:rPr>
              <w:t>× “catch-up” + (20.0% × (Pre-incentive fee net investment income–2.344%))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Catch up</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2.344%–1.875%</w:t>
            </w:r>
          </w:p>
        </w:tc>
      </w:tr>
      <w:tr>
        <w:trPr>
          <w:trHeight w:val="216"/>
        </w:trPr>
        <w:tc>
          <w:tcPr>
            <w:tcW w:w="112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ind w:left="120"/>
              <w:spacing w:after="0"/>
              <w:rPr>
                <w:sz w:val="20"/>
                <w:szCs w:val="20"/>
                <w:color w:val="auto"/>
              </w:rPr>
            </w:pPr>
            <w:r>
              <w:rPr>
                <w:rFonts w:ascii="Arial" w:cs="Arial" w:eastAsia="Arial" w:hAnsi="Arial"/>
                <w:sz w:val="18"/>
                <w:szCs w:val="18"/>
                <w:color w:val="auto"/>
                <w:w w:val="91"/>
              </w:rPr>
              <w:t>0.469%</w:t>
            </w:r>
          </w:p>
        </w:tc>
        <w:tc>
          <w:tcPr>
            <w:tcW w:w="55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Incentive fee</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(100.0% × 0.469%) +(20.0% ×(2.7325%–2.344%))</w:t>
            </w:r>
          </w:p>
        </w:tc>
      </w:tr>
      <w:tr>
        <w:trPr>
          <w:trHeight w:val="216"/>
        </w:trPr>
        <w:tc>
          <w:tcPr>
            <w:tcW w:w="1120" w:type="dxa"/>
            <w:vAlign w:val="bottom"/>
          </w:tcPr>
          <w:p>
            <w:pPr>
              <w:spacing w:after="0"/>
              <w:rPr>
                <w:sz w:val="18"/>
                <w:szCs w:val="18"/>
                <w:color w:val="auto"/>
              </w:rPr>
            </w:pPr>
          </w:p>
        </w:tc>
        <w:tc>
          <w:tcPr>
            <w:tcW w:w="6680" w:type="dxa"/>
            <w:vAlign w:val="bottom"/>
            <w:gridSpan w:val="3"/>
          </w:tcPr>
          <w:p>
            <w:pPr>
              <w:ind w:left="160"/>
              <w:spacing w:after="0"/>
              <w:rPr>
                <w:sz w:val="20"/>
                <w:szCs w:val="20"/>
                <w:color w:val="auto"/>
              </w:rPr>
            </w:pPr>
            <w:r>
              <w:rPr>
                <w:rFonts w:ascii="Arial" w:cs="Arial" w:eastAsia="Arial" w:hAnsi="Arial"/>
                <w:sz w:val="18"/>
                <w:szCs w:val="18"/>
                <w:color w:val="auto"/>
              </w:rPr>
              <w:t>=   0.469% +(20.0% × 0.3885%)</w:t>
            </w:r>
          </w:p>
        </w:tc>
      </w:tr>
      <w:tr>
        <w:trPr>
          <w:trHeight w:val="216"/>
        </w:trPr>
        <w:tc>
          <w:tcPr>
            <w:tcW w:w="112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ind w:left="120"/>
              <w:spacing w:after="0"/>
              <w:rPr>
                <w:sz w:val="20"/>
                <w:szCs w:val="20"/>
                <w:color w:val="auto"/>
              </w:rPr>
            </w:pPr>
            <w:r>
              <w:rPr>
                <w:rFonts w:ascii="Arial" w:cs="Arial" w:eastAsia="Arial" w:hAnsi="Arial"/>
                <w:sz w:val="18"/>
                <w:szCs w:val="18"/>
                <w:color w:val="auto"/>
                <w:w w:val="91"/>
              </w:rPr>
              <w:t>0.469%</w:t>
            </w:r>
          </w:p>
        </w:tc>
        <w:tc>
          <w:tcPr>
            <w:tcW w:w="5580" w:type="dxa"/>
            <w:vAlign w:val="bottom"/>
          </w:tcPr>
          <w:p>
            <w:pPr>
              <w:ind w:left="20"/>
              <w:spacing w:after="0"/>
              <w:rPr>
                <w:sz w:val="20"/>
                <w:szCs w:val="20"/>
                <w:color w:val="auto"/>
              </w:rPr>
            </w:pPr>
            <w:r>
              <w:rPr>
                <w:rFonts w:ascii="Arial" w:cs="Arial" w:eastAsia="Arial" w:hAnsi="Arial"/>
                <w:sz w:val="18"/>
                <w:szCs w:val="18"/>
                <w:color w:val="auto"/>
              </w:rPr>
              <w:t>+ 0.0777%</w:t>
            </w:r>
          </w:p>
        </w:tc>
      </w:tr>
      <w:tr>
        <w:trPr>
          <w:trHeight w:val="230"/>
        </w:trPr>
        <w:tc>
          <w:tcPr>
            <w:tcW w:w="1120" w:type="dxa"/>
            <w:vAlign w:val="bottom"/>
          </w:tcPr>
          <w:p>
            <w:pPr>
              <w:spacing w:after="0"/>
              <w:rPr>
                <w:sz w:val="20"/>
                <w:szCs w:val="20"/>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0.5467%</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Alternative 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Assumptions(1)</w:t>
      </w:r>
    </w:p>
    <w:p>
      <w:pPr>
        <w:spacing w:after="0" w:line="131"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Year 1: $20.0 million investment made in Company A (“Investment A”), and $30.0 million investment made in Company B (“Investment B”)</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2: Investment A is sold for $50.0 million and fair market value (“FMV”) of Investment B determined to be $32.0 million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3: FMV of Investment B determined to be $25.0 million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4: Investment B sold for $31.0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calculated under the cumulative method would be:</w:t>
      </w:r>
    </w:p>
    <w:p>
      <w:pPr>
        <w:spacing w:after="0" w:line="131"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2: $6 million (20.0% multiplied by $30.0 million realized capital gains on sale of Investment A)</w:t>
      </w:r>
    </w:p>
    <w:p>
      <w:pPr>
        <w:spacing w:after="0" w:line="130" w:lineRule="exact"/>
        <w:rPr>
          <w:rFonts w:ascii="Arial" w:cs="Arial" w:eastAsia="Arial" w:hAnsi="Arial"/>
          <w:sz w:val="18"/>
          <w:szCs w:val="18"/>
          <w:color w:val="auto"/>
        </w:rPr>
      </w:pPr>
    </w:p>
    <w:p>
      <w:pPr>
        <w:ind w:left="660" w:right="220" w:hanging="206"/>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3: None; $5 million (20.0% multiplied by ($30.0 million realized cumulative capital gains less $5.0 million cumulative capital depreciation)) less $6.0 million (capital gains incentive fee paid in Year 2)</w:t>
      </w:r>
    </w:p>
    <w:p>
      <w:pPr>
        <w:spacing w:after="0" w:line="75" w:lineRule="exact"/>
        <w:rPr>
          <w:rFonts w:ascii="Arial" w:cs="Arial" w:eastAsia="Arial" w:hAnsi="Arial"/>
          <w:sz w:val="18"/>
          <w:szCs w:val="18"/>
          <w:color w:val="auto"/>
        </w:rPr>
      </w:pPr>
    </w:p>
    <w:p>
      <w:pPr>
        <w:ind w:left="660" w:right="240" w:hanging="206"/>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4: $200,000; $6.2 million (20.0% multiplied by $31.0 million cumulative realized capital gains) less $6.0 million (capital gains incentive fee paid in Year 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Alternative 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right="10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examples assume that Investment A and Investment B were acquired by us subsequent to May 31, 2010. If Investment A and B were acquired by us prior to May 31, 2010, then the cost basis for computing our realized gains and losses on such investments would equal the fair value of such investments as of May 31, 2010.</w:t>
      </w:r>
    </w:p>
    <w:p>
      <w:pPr>
        <w:spacing w:after="0" w:line="86" w:lineRule="exact"/>
        <w:rPr>
          <w:rFonts w:ascii="Arial" w:cs="Arial" w:eastAsia="Arial" w:hAnsi="Arial"/>
          <w:sz w:val="18"/>
          <w:szCs w:val="18"/>
          <w:color w:val="auto"/>
        </w:rPr>
      </w:pPr>
    </w:p>
    <w:p>
      <w:pPr>
        <w:ind w:left="660" w:right="440" w:hanging="206"/>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Year 1: $20.0 million investment made in Company A (“Investment A”), $30.0 million investment made in Company B (“Investment B”) and $25.0 million investment made in Company C (“Investment C”)</w:t>
      </w:r>
    </w:p>
    <w:p>
      <w:pPr>
        <w:spacing w:after="0" w:line="75" w:lineRule="exact"/>
        <w:rPr>
          <w:rFonts w:ascii="Arial" w:cs="Arial" w:eastAsia="Arial" w:hAnsi="Arial"/>
          <w:sz w:val="18"/>
          <w:szCs w:val="18"/>
          <w:color w:val="auto"/>
        </w:rPr>
      </w:pPr>
    </w:p>
    <w:p>
      <w:pPr>
        <w:ind w:left="660" w:right="360" w:hanging="206"/>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Year 2: Investment A sold for $50.0 million, FMV of Investment B determined to be $25.0 million and FMV of Investment C determined to be $25.0 million</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Year 3: FMV of Investment B determined to be $27.0 million and Investment C sold for $30.0 million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Year 4: FMV of Investment B determined to be $35.0 million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Year 5: Investment B sold for $20.0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calculated under the cumulative method would be:</w:t>
      </w:r>
    </w:p>
    <w:p>
      <w:pPr>
        <w:spacing w:after="0" w:line="131"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30" w:lineRule="exact"/>
        <w:rPr>
          <w:rFonts w:ascii="Arial" w:cs="Arial" w:eastAsia="Arial" w:hAnsi="Arial"/>
          <w:sz w:val="18"/>
          <w:szCs w:val="18"/>
          <w:color w:val="auto"/>
        </w:rPr>
      </w:pPr>
    </w:p>
    <w:p>
      <w:pPr>
        <w:ind w:left="660" w:right="200" w:hanging="20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2: $5.0 million (20.0% multiplied by $25.0 million ($30.0 million realized capital gains on Investment A less $5.0 million unrealized capital depreciation on Investment B))</w:t>
      </w:r>
    </w:p>
    <w:p>
      <w:pPr>
        <w:spacing w:after="0" w:line="75"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3: $1.4 million ($6.4 million (20.0% multiplied by $32.0 million ($35.0 million cumulative realized capital gains less $3.0 million unrealized capital depreciation)) less $5.0 million (capital gains incentive fee paid in Year 2))</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4: None</w:t>
      </w:r>
    </w:p>
    <w:p>
      <w:pPr>
        <w:spacing w:after="0" w:line="130" w:lineRule="exact"/>
        <w:rPr>
          <w:rFonts w:ascii="Arial" w:cs="Arial" w:eastAsia="Arial" w:hAnsi="Arial"/>
          <w:sz w:val="18"/>
          <w:szCs w:val="18"/>
          <w:color w:val="auto"/>
        </w:rPr>
      </w:pPr>
    </w:p>
    <w:p>
      <w:pPr>
        <w:ind w:left="660" w:right="340" w:hanging="20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5: None ($5.0 million (20.0% multiplied by $25.0 million (cumulative realized capital gains of $35.0 million less realized capital losses of $10.0 million)) less $6.4 million (cumulative capital gains incentive fee paid in Year 2 and Year 3))</w:t>
      </w:r>
    </w:p>
    <w:p>
      <w:pPr>
        <w:spacing w:after="0" w:line="170"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The Management Agreement with Saratoga Investment Advisors was approved by our board of directors at an in-person meeting of the directors, including a majority of our independent directors, and was approved by our stockholders at the special meeting of stockholders held on July 30, 2010. On July 7, 2016, our board of directors approved the renewal of the Management Agreement for an additional one-year term at an in-person meeting.</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approving this Management Agreement, the directors considered, among other things, (i) the nature, extent and quality of the advisory and other services to be provided to us by Saratoga Investment Advisors; (ii) our investment performance and the investment performance of Saratoga Investment Advisors; (iii) the expected costs of the services to be provided by Saratoga Investment Advisors (including management fees, advisory fees and expense ratios) as compared to other companies within the industry, and the profits expected to be realized by Saratoga Investment Advisors; (iv) the limited potential for economies of scale in investment management associated with managing us; and (v) Saratoga Investment Advisors estimated pro forma profitability with respect to managing us.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11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The Management Agreement provides that all investment professionals of Saratoga Investment Advisors and its staff, when and to the extent engaged in providing investment advisory services required to be provided by Saratoga Investment Advisors, and the compensation and routine overhead expenses of such personnel allocable to such services, will be provided and paid for by Saratoga Investment Advisors and not by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costs and expenses of our operations and transactions, including those relating to:</w:t>
      </w:r>
    </w:p>
    <w:p>
      <w:pPr>
        <w:spacing w:after="0" w:line="131"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660" w:right="280" w:hanging="206"/>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expenses incurred by our investment adviser payable to third parties, including agents, consultants or other advisors, in monitoring financial and legal affairs for us and in monitoring our investments and performing due diligence on our prospective portfolio companies;</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expenses incurred by our investment adviser payable for travel and due diligence on our prospective portfolio companies;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fees payable to third parties, including agents, consultants or other advisors, relating to, or associated with, evaluating and making investments;</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costs of registration and listing our common stock on any securities exchange;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governmental bodies (including the SEC and the SBA);</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common stockholders including printing costs;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fidelity bond, directors and officers errors and omissions liability insurance, and any other insurance premiums;</w:t>
      </w:r>
    </w:p>
    <w:p>
      <w:pPr>
        <w:spacing w:after="0" w:line="130" w:lineRule="exact"/>
        <w:rPr>
          <w:rFonts w:ascii="Arial" w:cs="Arial" w:eastAsia="Arial" w:hAnsi="Arial"/>
          <w:sz w:val="18"/>
          <w:szCs w:val="18"/>
          <w:color w:val="auto"/>
        </w:rPr>
      </w:pPr>
    </w:p>
    <w:p>
      <w:pPr>
        <w:ind w:left="660" w:right="300" w:hanging="206"/>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75"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the administration agreement, including rent and the allocable portion of the cost of our officers and their respective staffs (including travel expenses)).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Management Agreement will remain in effect continuously, unless terminated under the termination provisions of the agreement. The Management Agreement provides that it may be terminated at any time, without the payment of any penalty, upon 60 days written notice, by the vote of stockholders holding a majority of our outstanding voting securities, or by the vote of our directors or by Saratoga Investment Advisors.</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Management Agreement will, unless terminated as described above, continue in effect from year to year so long as it is approved at least annually by (i) the vote of the board of directors, or by the vote of stockholders holding a majority of our outstanding voting securities, and (ii) the vote of a majority of our directors who are not parties to the Management Agreement or “interested persons” (as such term is defined in Section 2(a)(19) of the 1940 Act) of any party to such agreement, in accordance with the requirements of the 1940 Act.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Under the Management Agreement, Saratoga Investment Advisors and certain of its affiliates are not liable to us for any action taken or omitted to be taken by Saratoga Investment Advisors in connection with the performance of any of its duties or obligations under the agreement or otherwise as an investment adviser to us, except to the extent specified in Section 36(b) of the 1940 Act concerning loss resulting from a breach of fiduciary duty (as the same is finally determined by judicial proceedings) with respect to the receipt of compensation for services and except to the extent such action or omission constitutes gross negligence, willful misfeasance, bad faith or reckless disregard of its duties and obligations under the agreement.</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also provide indemnification to Saratoga Investment Advisors and certain of its affiliates for damages, liabilities, costs and expenses incurred by them in or by reason of any pending, threatened or completed action, suit, investigation or other proceeding arising out of or otherwise based upon the performance of any of its duties or obligations under the agreement or otherwise as an investment adviser to us. However, we would not provide indemnification against any liability to us or our security holders to which Saratoga Investment Advisors or such affiliates would otherwise be subject by reason of willful misfeasance, bad faith or gross negligence in the performance of any such person’s duties or by reason of the reckless disregard of its duties and obligations under the agreement.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Saratoga Investment Advisors is registered as an investment adviser under the Investment Advisers Act of 1940. The principal executive offices of Saratoga Investment Advisors are located at 535 Madison Avenue, New York, New York 10022.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Pursuant to a separate administration agreement, Saratoga Investment Advisors, who also serves as our administrator, furnishes us with office facilities, equipment and clerical, book-keeping and record keeping services. Under the administration agreement, our administrator also performs, or oversees the performance of, our required administrative services, which include, among other things, being responsible for the financial records which we are required to maintain, preparing reports for our stockholders and reports required to be filed with the SEC.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equal an amount based upon our allocable portion of our administrator’s overhead in performing its obligations under the administration agreement, including rent and our allocable portion of the cost of our officers and their respective staffs relating to the performance of services under this agreement (including travel expenses). Our allocable portion is based on the proportion that our total assets bears to the total assets administered or managed by our administrator. Under the administration agreement, our administrator also provides managerial assistance, on our behalf, to those portfolio companies who accept our offer of assistance. The administration agreement may be terminated by either party without penalty upon 60 days written notice to the other party. The amount payable by us under the administration agreement was initially capped at $1.0 million for each annual term of the agreement. On July 8, 2015, our board of directors approved the renewal of the Administration Agreement for an additional one-year term and determined to increase the cap on the payment or reimbursement of expenses by the Company thereunder, which had not been increased since the inception of the agreement, to</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$1.3 million. On July 7, 2016, our board of directors approved the renewal of the Administration Agreement for an additional one-year term. On October 5, 2016, our board of directors determined to increase the cap on the payment or reimbursement of expenses by the Company under the Administration Agreement, from $1.3 million to $1.5 million, effective November 1, 2016.</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Under the administration agreement, Saratoga Investment Advisors and certain of its affiliates are not liable to us for any action taken or omitted to be taken by Saratoga Investment Advisors in connection with the performance of any of its duties or obligations under the agreement.</w:t>
      </w:r>
    </w:p>
    <w:p>
      <w:pPr>
        <w:spacing w:after="0" w:line="14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also provide indemnification to Saratoga Investment Advisors and certain of its affiliates for damages, liabilities, costs and expenses incurred by them in or by reason of any pending, threatened or completed action, suit, investigation or other proceeding arising out of or otherwise based upon the performance of any of its duties or obligations under the agreement or otherwise as an administrator to us. However, we do not provide indemnification against any liability to us or our security holders to which Saratoga Investment Advisors or such affiliates would otherwise be subject by reason of willful misfeasance, bad faith or gross negligence in the performance of any such person’s duties or by reason of the reckless disregard of its duties and obligations under the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right="320" w:firstLine="456"/>
        <w:spacing w:after="0" w:line="297" w:lineRule="auto"/>
        <w:rPr>
          <w:sz w:val="20"/>
          <w:szCs w:val="20"/>
          <w:color w:val="auto"/>
        </w:rPr>
      </w:pPr>
      <w:r>
        <w:rPr>
          <w:rFonts w:ascii="Arial" w:cs="Arial" w:eastAsia="Arial" w:hAnsi="Arial"/>
          <w:sz w:val="16"/>
          <w:szCs w:val="16"/>
          <w:color w:val="auto"/>
        </w:rPr>
        <w:t>We entered into a trademark license agreement with Saratoga Investment Advisors, pursuant to which Saratoga Investment Advisors grants us a non-exclusive, royalty-free license to use the name “Saratoga.” Under this agreement, we have a right to use the “Saratoga” name, for so long as Saratoga Investment Advisors or one of its affiliates remains our investment adviser. Other than with respect to this limited license, we have no legal right to the “Saratoga” name. Saratoga Investment Advisors has the right to terminate the license agreement if it is no longer acting as our investment adviser. In the event the Management Agreement is terminated, we would be required to change our name to eliminate the use of the name “Saratoga.”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Company Regulations</w:t>
      </w:r>
    </w:p>
    <w:p>
      <w:pPr>
        <w:spacing w:after="0" w:line="12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elected to be treated as a BDC under the 1940 Act. As with other companies regulated by the 1940 Act, a BDC must adhere to certain substantive regulatory requirements. The 1940 Act contains prohibitions and restrictions relating to transactions between BDCs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 A majority of the outstanding voting securities of a company is defined under the 1940 Act as the lesser of: (i) 67.0% or more of such company’s stock present at a meeting if more than 50.0% of the outstanding stock of such company is present and represented by proxy or (ii) more than 50.0% of the outstanding stock of such company.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Qualifying assets</w:t>
      </w:r>
    </w:p>
    <w:p>
      <w:pPr>
        <w:spacing w:after="0" w:line="11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A BDC must have been organized and have its principal place of business in the United States and must be operated for the purpose of making investments in the types of securities described in (1), (2) or (3) below. Under the 1940 Act, a BDC may not acquire any asset other than assets of the type listed in Section 55(a) of the 1940 Act, which are referred to as qualifying assets, unless, at the time the acquisition is made, qualifying assets represent at least 70.0% of the company’s total assets. The principal categories of qualifying assets relevant to our business are the following:</w:t>
      </w:r>
    </w:p>
    <w:p>
      <w:pPr>
        <w:spacing w:after="0" w:line="60" w:lineRule="exact"/>
        <w:rPr>
          <w:sz w:val="20"/>
          <w:szCs w:val="20"/>
          <w:color w:val="auto"/>
        </w:rPr>
      </w:pPr>
    </w:p>
    <w:p>
      <w:pPr>
        <w:ind w:left="900" w:right="18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1480" w:right="80" w:hanging="567"/>
        <w:spacing w:after="0" w:line="277"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satisfies either of the following: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30" w:lineRule="exact"/>
        <w:rPr>
          <w:rFonts w:ascii="Arial" w:cs="Arial" w:eastAsia="Arial" w:hAnsi="Arial"/>
          <w:sz w:val="18"/>
          <w:szCs w:val="18"/>
          <w:color w:val="auto"/>
        </w:rPr>
      </w:pPr>
    </w:p>
    <w:p>
      <w:pPr>
        <w:ind w:left="1920" w:right="520" w:hanging="440"/>
        <w:spacing w:after="0" w:line="277" w:lineRule="auto"/>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has a class of securities listed on a national securities exchange but has an aggregate market value of outstanding voting and non-voting common equity of less than $250.0 million;</w:t>
      </w:r>
    </w:p>
    <w:p>
      <w:pPr>
        <w:spacing w:after="0" w:line="75" w:lineRule="exact"/>
        <w:rPr>
          <w:rFonts w:ascii="Arial" w:cs="Arial" w:eastAsia="Arial" w:hAnsi="Arial"/>
          <w:sz w:val="18"/>
          <w:szCs w:val="18"/>
          <w:color w:val="auto"/>
        </w:rPr>
      </w:pPr>
    </w:p>
    <w:p>
      <w:pPr>
        <w:ind w:left="1920" w:right="320" w:hanging="440"/>
        <w:spacing w:after="0" w:line="277" w:lineRule="auto"/>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and the BDC has an affiliated person who is a director of the eligible portfolio company;</w:t>
      </w:r>
    </w:p>
    <w:p>
      <w:pPr>
        <w:spacing w:after="0" w:line="75" w:lineRule="exact"/>
        <w:rPr>
          <w:rFonts w:ascii="Arial" w:cs="Arial" w:eastAsia="Arial" w:hAnsi="Arial"/>
          <w:sz w:val="18"/>
          <w:szCs w:val="18"/>
          <w:color w:val="auto"/>
        </w:rPr>
      </w:pPr>
    </w:p>
    <w:p>
      <w:pPr>
        <w:ind w:left="1920" w:right="840" w:hanging="440"/>
        <w:spacing w:after="0" w:line="277" w:lineRule="auto"/>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is a small and solvent company having total assets of not more than $4.0 million and capital and surplus of not less than $2.0 million; or</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meets such other criteria as may established by the SEC.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3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at least 60.0% of the outstanding equity of the eligible portfolio company.</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options, warrants or rights relating to such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managerial assistance to portfolio companies</w:t>
      </w:r>
    </w:p>
    <w:p>
      <w:pPr>
        <w:spacing w:after="0" w:line="11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BDCs generally must offer to make available to the issuer of the securities in which we invest significant managerial assistance, except in circumstances where either (i) the BDC controls such issuer of securities or (ii) the BDC purchases such securities in conjunction with one or more other persons acting together and one of the other persons in the group makes available such managerial assistance. As a BDC we offer, and must provide upon request, managerial assistance to our portfolio companies. Making available significant managerial assistance means, among other things, any arrangement whereby the BDC, through its directors, officers or employees or those of its investment adviser, offers to provide, and, if accepted, does so provide, significant guidance and counsel concerning the management, operations or business objectives and policies of a portfolio company. This assistance could involve, among other things, monitoring the operations of our portfolio companies, participating in board and management meetings, consulting with and advising officers of portfolio companies and providing other organizational and financial guidance. Pursuant to a separate administration agreement, our investment adviser provides such managerial assistance on our behalf to portfolio companies that request this assistance, recognizing that our involvement with each investment will vary based on factors including the size of the company, the nature of our investment, the company’s overall stage of development and our relative position in the capital structure. We may receive fees for these services.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a BDC, 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25.0% of our total assets constitute repurchase agreements from a single counterparty, we would not meet the asset diversification requirements in order to qualify as a RIC for U.S.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Indebtedness and senior securities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As a BDC, we are permitted, under specified conditions, to issue multiple classes of indebtedness and one class of shares of stock, senior to our common stock, if our asset coverage, as defined in the 1940 Act, is at least equal to 200.0% immediately after each such issuance. In addition, while any indebtedness and senior securities remain outstanding, we must generally make provisions to prohibit any distribution to our stockholders or the repurchase of such securities or stock unless we meet the applicable asset coverage ratios at the time of the distribution or repurchase. We may also borrow amounts up to 5.0% of the value of our total assets for temporary or emergency purposes without regard to asset coverage.</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We may, however, sell our common stock, warrants, options or rights to acquire our common stock, at a price below the current net asset value of the common stock if our board of directors determines that such sale is in our best interests and that of our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may also make rights offerings to our stockholders at prices per share less than the net asset value per share, subject to applicable requirements of the 1940 Act.</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a BDC, we and Saratoga Investment Advisors have each adopted a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SEC registered investment advisers that have the authority to vote (client) proxies (which authority may be implied from a general grant of investment discretion) are required to adopt policies and procedures reasonably designed to ensure that the adviser votes proxies in the best interests of its clients. Registered investment advisers also must maintain certain records on proxy voting. In most cases, we will invest in securities that do not generally entitle us to voting rights in our portfolio companies. When we do have voting rights, we will delegate the exercise of such rights to our investment adviser.</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Saratoga Investment Advisors has particular proxy voting policies and procedures in place. In determining how to vote, officers of Saratoga Investment Advisors will consult with each other, taking into account our interests and the interests of our investors, as well as any potential conflicts of interest. Saratoga Investment Advisors will consult with legal counsel to identify potential conflicts of interest. Where a potential conflict of interest exists, Saratoga Investment Advisors may, if it so elects, resolve it by following the recommendation of a disinterested third party, by seeking the direction of our independent directors or, in extreme cases, by abstaining from voting. While Saratoga Investment Advisors may retain an outside service to provide voting recommendations and to assist in analyzing votes, it will not delegate its voting authority to any third party.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 officer of Saratoga Investment Advisors will keep a written record of how all such proxies are voted. It will retain records of (1) proxy voting policies and procedures, (2) all proxy statements received (or it may rely on proxy statements filed on the SEC’s EDGAR system in lieu thereof), (3) all votes cast, (4) investor requests for voting information, and (5) any specific documents prepared or received in connection with a decision on a proxy vote. If it uses an outside service, Saratoga Investment Advisors may rely on such service to maintain copies of proxy statements and records, so long as such service will provide a copy of such documents promptly upon request.</w:t>
      </w:r>
    </w:p>
    <w:p>
      <w:pPr>
        <w:spacing w:after="0" w:line="18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Saratoga Investment Advisors’ proxy voting policies are not exhaustive and are designed to be responsive to the wide range of issues that may be subject to a proxy vote. In general, Saratoga Investment Advisors will vote our proxies in accordance with these guidelines unless: (1) it has determined otherwise due to the specific and unusual facts and circumstances with respect to a particular vote, (2) the subject matter of the vote is not covered by these guidelines, (3) a material conflict of interest is present, or (4) it finds it necessary to vote contrary to its general guidelines to maximize stockholder value or our best interests.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reviewing proxy issues, Saratoga Investment Advisors generally will use the following guidelines:</w:t>
      </w:r>
    </w:p>
    <w:p>
      <w:pPr>
        <w:spacing w:after="0" w:line="22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i w:val="1"/>
          <w:iCs w:val="1"/>
          <w:color w:val="auto"/>
        </w:rPr>
        <w:t xml:space="preserve">Elections of Directors: </w:t>
      </w:r>
      <w:r>
        <w:rPr>
          <w:rFonts w:ascii="Arial" w:cs="Arial" w:eastAsia="Arial" w:hAnsi="Arial"/>
          <w:sz w:val="16"/>
          <w:szCs w:val="16"/>
          <w:color w:val="auto"/>
        </w:rPr>
        <w:t>In general, Saratoga Investment Advisors will vote in favor of the management-proposed slate of directors. If there is a proxy</w:t>
      </w:r>
      <w:r>
        <w:rPr>
          <w:rFonts w:ascii="Arial" w:cs="Arial" w:eastAsia="Arial" w:hAnsi="Arial"/>
          <w:sz w:val="16"/>
          <w:szCs w:val="16"/>
          <w:i w:val="1"/>
          <w:iCs w:val="1"/>
          <w:color w:val="auto"/>
        </w:rPr>
        <w:t xml:space="preserve"> </w:t>
      </w:r>
      <w:r>
        <w:rPr>
          <w:rFonts w:ascii="Arial" w:cs="Arial" w:eastAsia="Arial" w:hAnsi="Arial"/>
          <w:sz w:val="16"/>
          <w:szCs w:val="16"/>
          <w:color w:val="auto"/>
        </w:rPr>
        <w:t>fight for seats on a portfolio company’s board of directors, or Saratoga Investment Advisors determines that there are other compelling reasons for withholding our vote, it will determine the appropriate vote on the matter. It may withhold votes for directors that fail to act on key issues, such as failure to:</w:t>
      </w:r>
    </w:p>
    <w:p>
      <w:pPr>
        <w:ind w:right="200" w:firstLine="8"/>
        <w:spacing w:after="0" w:line="255"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implement proposals to declassify a board, (2) implement a majority vote requirement, (3) submit a rights plan to a stockholder vote or (4) act on tender offers where a majority of stockholders have tendered their shares. Finally, Saratoga Investment Advisors may withhold votes for directors of non-U.S. issuers where there is insufficient information about the nominees disclosed in the proxy statement.</w:t>
      </w:r>
    </w:p>
    <w:p>
      <w:pPr>
        <w:spacing w:after="0" w:line="19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 xml:space="preserve">Appointment of Auditors: </w:t>
      </w:r>
      <w:r>
        <w:rPr>
          <w:rFonts w:ascii="Arial" w:cs="Arial" w:eastAsia="Arial" w:hAnsi="Arial"/>
          <w:sz w:val="18"/>
          <w:szCs w:val="18"/>
          <w:color w:val="auto"/>
        </w:rPr>
        <w:t>We believe that a portfolio company remains in the best position to choose its independent auditors and Saratoga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Advisors will generally support management’s recommendation in this regard.</w:t>
      </w:r>
    </w:p>
    <w:p>
      <w:pPr>
        <w:spacing w:after="0" w:line="170"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i w:val="1"/>
          <w:iCs w:val="1"/>
          <w:color w:val="auto"/>
        </w:rPr>
        <w:t xml:space="preserve">Changes in Capital Structure: </w:t>
      </w:r>
      <w:r>
        <w:rPr>
          <w:rFonts w:ascii="Arial" w:cs="Arial" w:eastAsia="Arial" w:hAnsi="Arial"/>
          <w:sz w:val="17"/>
          <w:szCs w:val="17"/>
          <w:color w:val="auto"/>
        </w:rPr>
        <w:t>Changes in a portfolio company’s organizational documents may be required by state or federal regulation. In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Saratoga Investment Advisors will cast our votes in accordance with the management on such proposals. However, Saratoga Investment Advisors will consider carefully any proposal regarding a change in corporate structure that is not required by state or federal regulation.</w:t>
      </w:r>
    </w:p>
    <w:p>
      <w:pPr>
        <w:spacing w:after="0" w:line="16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Corporate Restructurings, Mergers and Acquisitions: </w:t>
      </w:r>
      <w:r>
        <w:rPr>
          <w:rFonts w:ascii="Arial" w:cs="Arial" w:eastAsia="Arial" w:hAnsi="Arial"/>
          <w:sz w:val="18"/>
          <w:szCs w:val="18"/>
          <w:color w:val="auto"/>
        </w:rPr>
        <w:t>We believe proxy votes dealing with corporate reorganizations are an extension of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Accordingly, Saratoga Investment Advisors will analyze such proposals on a case-by-case basis and vote in accordance with its perception of our interests.</w:t>
      </w:r>
    </w:p>
    <w:p>
      <w:pPr>
        <w:spacing w:after="0" w:line="181"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i w:val="1"/>
          <w:iCs w:val="1"/>
          <w:color w:val="auto"/>
        </w:rPr>
        <w:t xml:space="preserve">Proposals Affecting Stockholder Rights: </w:t>
      </w:r>
      <w:r>
        <w:rPr>
          <w:rFonts w:ascii="Arial" w:cs="Arial" w:eastAsia="Arial" w:hAnsi="Arial"/>
          <w:sz w:val="17"/>
          <w:szCs w:val="17"/>
          <w:color w:val="auto"/>
        </w:rPr>
        <w:t>We will generally vote in favor of proposals that give stockholders a greater voice in the affairs of a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oppose any measure that seeks to limit such rights. However, when analyzing such proposals, Saratoga Investment Advisors will balance the financial impact of the proposal against any impairment of stockholder rights as well as of our investment in the portfolio company.</w:t>
      </w:r>
    </w:p>
    <w:p>
      <w:pPr>
        <w:spacing w:after="0" w:line="166" w:lineRule="exact"/>
        <w:rPr>
          <w:sz w:val="20"/>
          <w:szCs w:val="20"/>
          <w:color w:val="auto"/>
        </w:rPr>
      </w:pPr>
    </w:p>
    <w:p>
      <w:pPr>
        <w:jc w:val="both"/>
        <w:ind w:right="160" w:firstLine="456"/>
        <w:spacing w:after="0" w:line="277" w:lineRule="auto"/>
        <w:rPr>
          <w:sz w:val="20"/>
          <w:szCs w:val="20"/>
          <w:color w:val="auto"/>
        </w:rPr>
      </w:pPr>
      <w:r>
        <w:rPr>
          <w:rFonts w:ascii="Arial" w:cs="Arial" w:eastAsia="Arial" w:hAnsi="Arial"/>
          <w:sz w:val="18"/>
          <w:szCs w:val="18"/>
          <w:i w:val="1"/>
          <w:iCs w:val="1"/>
          <w:color w:val="auto"/>
        </w:rPr>
        <w:t xml:space="preserve">Corporate Governance: </w:t>
      </w:r>
      <w:r>
        <w:rPr>
          <w:rFonts w:ascii="Arial" w:cs="Arial" w:eastAsia="Arial" w:hAnsi="Arial"/>
          <w:sz w:val="18"/>
          <w:szCs w:val="18"/>
          <w:color w:val="auto"/>
        </w:rPr>
        <w:t>We recognize the importance of good corporate governance. Accordingly, Saratoga Investment Advisors will generally favor</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proposals that promote transparency and accountability within a portfolio company.</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i w:val="1"/>
          <w:iCs w:val="1"/>
          <w:color w:val="auto"/>
        </w:rPr>
        <w:t xml:space="preserve">Anti-Takeover Measures: </w:t>
      </w:r>
      <w:r>
        <w:rPr>
          <w:rFonts w:ascii="Arial" w:cs="Arial" w:eastAsia="Arial" w:hAnsi="Arial"/>
          <w:sz w:val="18"/>
          <w:szCs w:val="18"/>
          <w:color w:val="auto"/>
        </w:rPr>
        <w:t>Saratoga Investment Advisors will evaluate, on a case-by-case basis, any proposals regarding anti-takeover measures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likely effect on stockholder value dilution.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Share Splits: </w:t>
      </w:r>
      <w:r>
        <w:rPr>
          <w:rFonts w:ascii="Arial" w:cs="Arial" w:eastAsia="Arial" w:hAnsi="Arial"/>
          <w:sz w:val="18"/>
          <w:szCs w:val="18"/>
          <w:color w:val="auto"/>
        </w:rPr>
        <w:t>Saratoga Investment Advisors will generally vote with management on share split matters.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 xml:space="preserve">Limited Liability of Directors: </w:t>
      </w:r>
      <w:r>
        <w:rPr>
          <w:rFonts w:ascii="Arial" w:cs="Arial" w:eastAsia="Arial" w:hAnsi="Arial"/>
          <w:sz w:val="18"/>
          <w:szCs w:val="18"/>
          <w:color w:val="auto"/>
        </w:rPr>
        <w:t>Saratoga Investment Advisors will generally vote with management on matters that could adversely affect the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of directors.</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Social and Corporate Responsibility: </w:t>
      </w:r>
      <w:r>
        <w:rPr>
          <w:rFonts w:ascii="Arial" w:cs="Arial" w:eastAsia="Arial" w:hAnsi="Arial"/>
          <w:sz w:val="18"/>
          <w:szCs w:val="18"/>
          <w:color w:val="auto"/>
        </w:rPr>
        <w:t>Saratoga Investment Advisors will review proposals related to social, political and environmental issues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whether they may adversely affect stockholder value. It may abstain from voting on such proposals where they do not have a readily determinable financial impact on stockholder value.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Privacy principles</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are committed to protecting the privacy of our stockholders. The following explains the privacy policies of Saratoga Investment Corp., Saratoga Investment Advisors and their affiliated companies.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will safeguard, according to strict standards of security and confidentiality, all information we receive about our stockholders. The only information we collect from stockholders is the holder’s name, address, number of shares and social security number. This information is used only so that we can send annual reports and other information about us to the stockholder, and send the stockholder proxy statements or other information required by law.</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share this information with any non-affiliated third party except as described below:</w:t>
      </w:r>
    </w:p>
    <w:p>
      <w:pPr>
        <w:spacing w:after="0" w:line="131" w:lineRule="exact"/>
        <w:rPr>
          <w:sz w:val="20"/>
          <w:szCs w:val="20"/>
          <w:color w:val="auto"/>
        </w:rPr>
      </w:pPr>
    </w:p>
    <w:p>
      <w:pPr>
        <w:ind w:left="660" w:right="160" w:hanging="20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Authorized Employees of Saratoga Investment Advisors. </w:t>
      </w:r>
      <w:r>
        <w:rPr>
          <w:rFonts w:ascii="Arial" w:cs="Arial" w:eastAsia="Arial" w:hAnsi="Arial"/>
          <w:sz w:val="18"/>
          <w:szCs w:val="18"/>
          <w:color w:val="auto"/>
        </w:rPr>
        <w:t>It is our policy that only authorized employees of Saratoga Investment Advisors who need</w:t>
      </w:r>
      <w:r>
        <w:rPr>
          <w:rFonts w:ascii="Arial" w:cs="Arial" w:eastAsia="Arial" w:hAnsi="Arial"/>
          <w:sz w:val="18"/>
          <w:szCs w:val="18"/>
          <w:i w:val="1"/>
          <w:iCs w:val="1"/>
          <w:color w:val="auto"/>
        </w:rPr>
        <w:t xml:space="preserve"> </w:t>
      </w:r>
      <w:r>
        <w:rPr>
          <w:rFonts w:ascii="Arial" w:cs="Arial" w:eastAsia="Arial" w:hAnsi="Arial"/>
          <w:sz w:val="18"/>
          <w:szCs w:val="18"/>
          <w:color w:val="auto"/>
        </w:rPr>
        <w:t>to know a stockholder’s personal information will have access to it.</w:t>
      </w:r>
    </w:p>
    <w:p>
      <w:pPr>
        <w:spacing w:after="0" w:line="75" w:lineRule="exact"/>
        <w:rPr>
          <w:rFonts w:ascii="Arial" w:cs="Arial" w:eastAsia="Arial" w:hAnsi="Arial"/>
          <w:sz w:val="18"/>
          <w:szCs w:val="18"/>
          <w:color w:val="auto"/>
        </w:rPr>
      </w:pPr>
    </w:p>
    <w:p>
      <w:pPr>
        <w:ind w:left="660" w:right="20" w:hanging="206"/>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Service Providers. </w:t>
      </w:r>
      <w:r>
        <w:rPr>
          <w:rFonts w:ascii="Arial" w:cs="Arial" w:eastAsia="Arial" w:hAnsi="Arial"/>
          <w:sz w:val="18"/>
          <w:szCs w:val="18"/>
          <w:color w:val="auto"/>
        </w:rPr>
        <w:t>We may disclose your personal information to companies that provide services on our behalf, such as recordkeeping, processing 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trades, and mailing stockholder information. These companies are required to protect our stockholders’ information and use it solely for the purpose for which they received it.</w:t>
      </w:r>
    </w:p>
    <w:p>
      <w:pPr>
        <w:spacing w:after="0" w:line="86"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Courts and Government Officials. </w:t>
      </w:r>
      <w:r>
        <w:rPr>
          <w:rFonts w:ascii="Arial" w:cs="Arial" w:eastAsia="Arial" w:hAnsi="Arial"/>
          <w:sz w:val="18"/>
          <w:szCs w:val="18"/>
          <w:color w:val="auto"/>
        </w:rPr>
        <w:t>If required by law, we may disclose a stockholder’s personal information in accordance with a court order or at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of government regulators. Only that information required by law, subpoena, or court order will be disclosed.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Compliance with applicable laws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periodically examined by the SEC for compliance with the 1940 Act.</w:t>
      </w:r>
    </w:p>
    <w:p>
      <w:pPr>
        <w:spacing w:after="0" w:line="225"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66"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We and Saratoga Investment Advisors are each required to adopt and implement written policies and procedures reasonably designed to prevent violation of the federal securities laws, review these policies and procedures annually for their adequacy and the effectiveness of their implementation, and designate a chief compliance officer to be responsible for administering the policies and procedures.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Co-investment</w:t>
      </w:r>
    </w:p>
    <w:p>
      <w:pPr>
        <w:spacing w:after="0" w:line="117"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We may be prohibited under the 1940 Act from knowingly participating in certain transactions with our affiliates without the prior approval of our board of directors who are not interested persons and, in some cases, prior approval by the SEC. Thus, based on current SEC interpretations, co-investment transactions involving a BDC like us and an entity that is advised by Saratoga Investment Advisors or an affiliated adviser generally could not be effected without SEC relief. The staff of the SEC has, however, granted no-action relief permitting for purchases of a single class of privately-placed securities provided that the adviser negotiates no term other than price and certain other conditions are met. As a result, currently we only expect to co-invest on a concurrent basis with affiliates of Saratoga Investment Advisors when each of us will own the same securities of the issuer and when no term is negotiated other than price. Any such investment would be made, subject to compliance with existing regulatory guidance, applicable regulations and our allocation procedures.</w:t>
      </w:r>
    </w:p>
    <w:p>
      <w:pPr>
        <w:spacing w:after="0" w:line="19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may in the future submit an application for exemptive relief to the SEC to permit greater flexibility to negotiate the terms of co-investments because we believe that it will be advantageous for us to co-invest with affiliates of Saratoga Investment Advisors where such investment is consistent with the investment objective, investment positions, investment policies, investment strategies, investment restrictions, regulatory requirements and other pertinent factors applicable to us. However, there is no assurance that any application for exemptive relief, if made, would be granted by the SEC.</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Investment Company Regulations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28, 2012, our wholly-owned subsidiary, SBIC LP, received an SBIC license from the SBA.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SBIC license allows our SBIC LP subsidiary to obtain leverage by issuing SBA-guaranteed debentures, subject to the satisfaction of certain customary procedures.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at the time of issuance at a market-driven spread over U.S. Treasury Notes with 10-year maturities.</w:t>
      </w:r>
    </w:p>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$19.5 million and have average annual fully taxed net income not exceeding $6.5 million for the two most recent fiscal years. In addition, an SBIC must devote 25.0% of its investment activity to “smaller” concerns as defined by the SBA. A smaller concern is one that has a tangible net worth not exceeding $6.0 million and has average annual fully taxed net income not exceeding $2.0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166"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In December 2015, the 2016 omnibus spending bill approved by Congress and signed into law by the President increased the amount of SBA-guaranteed debentures that affiliated SBIC funds can have outstanding from $225.0 million to $350.0 million, subject to SBA approval. SBA regulations currently limit the amount of SBA-guaranteed debentures that an SBIC may issue to $150.0 million when it has at least $75.0 million in regulatory capital. Affiliated SBICs are permitted to issue up to a combined maximum amount of $350.0 million in SBA-guaranteed debentures when they have at least $175.0 million in combined regulatory capital.</w:t>
      </w:r>
    </w:p>
    <w:p>
      <w:pPr>
        <w:spacing w:after="0" w:line="18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On April 2, 2015, the SBA issued a “green light” letter inviting us to continue the application process to obtain a license to form and operate its second SBIC subsidiary. On September 27, 2016, the SBA informed us that as part of their continued review of our application for a second license, and in order to ensure that they were reviewing the most current information available, we would need to update all previously submitted materials and invited us to reapply. As a result of this request, with which we are in the process of complying, the existing “green light” letter that the SBA issued to us has expired. If approved in the future, a second SBIC license would provide us an incremental source of long-term capital by permitting us to issue up to $150.0 million of additional SBA-guaranteed debentures in addition to the $150.0 million already approved under the first license.</w:t>
      </w:r>
    </w:p>
    <w:p>
      <w:pPr>
        <w:spacing w:after="0" w:line="17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As of February 28, 2017, our SBIC LP subsidiary had $75.0 million in regulatory capital and $112.7 million of SBA-guaranteed debentures outstanding. The SBA restricts the ability of SBICs to repurchase their capital stock. SBA regulations also include restrictions on a “change of control” or transfer of an SBIC and require that SBICs invest idle funds in accordance with SBA regulations. In addition, our SBIC LP subsidiary may also be limited in its ability to make distributions to us if it does not have sufficient capital, in accordance with SBA regulations.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SBIC LP subsidiary is subject to regulation and oversight by the SBA, including requirements with respect to maintaining certain minimum financial ratios and other covenants. The SBA, as a creditor, will have a superior claim to our SBIC LP subsidiary’s assets over our stockholders in the event we liquidate our SBIC LP subsidiary or the SBA exercises its remedies under the SBA-guaranteed debentures issued by our SBIC LP subsidiary upon an event of default.</w:t>
      </w:r>
    </w:p>
    <w:p>
      <w:pPr>
        <w:spacing w:after="0" w:line="18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We received exemptive relief from the SEC to permit us to exclude the debt of our SBIC LP guaranteed by the SBA from the definition of senior securities in the 200.0% asset coverage test under the 1940 Act. This allows us increased flexibility under the 200.0% asset coverage test by permitting us to borrow up to $150.0 million more than we would otherwise be able to absent the receipt of this exemptive relief.</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80" w:firstLine="438"/>
        <w:spacing w:after="0" w:line="269" w:lineRule="auto"/>
        <w:rPr>
          <w:sz w:val="20"/>
          <w:szCs w:val="20"/>
          <w:color w:val="auto"/>
        </w:rPr>
      </w:pPr>
      <w:r>
        <w:rPr>
          <w:rFonts w:ascii="Arial" w:cs="Arial" w:eastAsia="Arial" w:hAnsi="Arial"/>
          <w:sz w:val="17"/>
          <w:szCs w:val="17"/>
          <w:color w:val="auto"/>
        </w:rPr>
        <w:t>We file with or submit to the SEC annual, quarterly and current periodic reports, proxy statements and other information meeting the informational requirements of the Securities Exchange of 1934, as amended (the “Exchange Act”). You may inspect and copy these reports, proxy statements and other information at the Public Reference Room of the SEC at 100 F Street, N.E., Washington, D.C. 20549. You may obtain information on the operation of the Public Reference Room by calling the SEC at 1-800-SEC-0330. Copies of these reports, proxy and information statements and other information may be obtained, after paying a duplicating fee, by electronic request at the following e-mail address: publicinfo@sec.gov, or by writing the SEC’s Public Reference Section, Washington, D.C. 20549-0102. In addition, the SEC maintains an Internet website that contains reports, proxy and information statements and other information filed electronically by us with the SEC at http://www.sec.gov. Our Internet address is http://www.saratogainvestmentcorp.com. We make available free of charge on our Internet website our Annual Report on Form 10-K, quarterly reports on Form 10-Q, current reports on Form 8-K, and amendments to those reports as soon as reasonably practicable after we electronically file such material with, or furnish it to, the SEC. Information contained on our website is not incorporated by reference into this Annual Report, and you should not consider that information to be part of this Annual Report.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Investing in our securities involves a number of significant risks. In addition to other information contained in this Annual Report on Form 10-K, you should consider carefully the following information before making an investment in our securities. The risks set forth below are the principal risks with respect to the Company generally and with respect to business development companies, they may not be the only risks we face. This section nonetheless describes the principal risk factors associated with investment in the Company specifically, as well as those factors generally associated with investment in a company with investment objectives, investment policies, capital structure or trading markets similar to the Company’s. If any of the risks occur, our business, financial condition and results of operations could be materially adversely affected. In such case, our net asset value and the trading price of our securities could decline and you may lose all or part of your investment.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volatility and the condition of the debt and equity capital markets could negatively impact our financial condition and stock price.</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Beginning in 2007, global credit and other financial markets began to suffer substantial stress, volatility, illiquidity and disruption. These forces reached extraordinary levels in 2008, resulting in the bankruptcy of, the acquisition of, or government intervention in the affairs of several major domestic and international financial institutions. In particular, the financial services sector was negatively impacted by significant write-offs as the value of the assets held by financial firms declined, impairing their capital positions and abilities to lend and invest. We believe that such value declines were exacerbated by widespread forced liquidations as leveraged holders of financial assets, faced with declining prices, were compelled to sell to meet margin requirements and maintain compliance with applicable capital standards. Such forced liquidations also impaired or eliminated many investors and investment vehicles, leading to a decline in the supply of capital for investment and depressed pricing levels for many assets. These events significantly diminished overall confidence in the debt and equity markets, engendered unprecedented declines in the values of certain assets, and caused extreme economic uncertainty. If market conditions similar to these were to recur, our assets could experience a similar decline in value, among other negative impacts to the company.</w:t>
      </w:r>
    </w:p>
    <w:p>
      <w:pPr>
        <w:spacing w:after="0" w:line="16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Since 2009, the global credit and other financial market conditions have improved as stability has increased throughout the international financial system and many public market indices have experienced positive total returns. However, the global macroeconomic environment and recovery from the downturn has been challenging and inconsistent. Instability in the global credit markets, the impact of periodic uncertainty regarding the U.S. federal budget, the instability in the geopolitical environment in many parts of the world, sovereign debt conditions in Europe and other disruptions may continue to put pressure on economic conditions in the U.S. and abroad.</w:t>
      </w:r>
    </w:p>
    <w:p>
      <w:pPr>
        <w:spacing w:after="0" w:line="1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a result of the 2016 U.S. election, the Republican Party currently controls both the executive and legislative branches of government, which increases the likelihood that legislation may be adopted that could significantly affect the regulation of U.S. financial markets. Areas subject to potential change, amendment or repeal include the Dodd-Frank Act and the authority of the Federal Reserve and the Financial Stability Oversight Council. The United States may also potentially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 We cannot predict the effects of these or similar events in the future on the U.S. economy and securities markets or on our investments. We monitor developments and seek to manage our investments in a manner consistent with achieving our investment objective, but there can be no assurance that we will be successful in doing so.</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obligated to pay Saratoga Investment Advisors incentive fees even if we incur a net loss, or there is a decline in the value of our portfolio.</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Saratoga Investment Advisors is entitled to incentive fees for each fiscal quarter in an amount equal to a percentage of the excess of our investment income for that quarter (before deducting incentive compensation, but net of operating expenses and certain other items) above a threshold return for that quarter. Our pre-incentive fee net investment income, for incentive compensation purposes, excludes realized and unrealized capital gains or losses that we may incur in the fiscal quarter, even if such capital gains or losses result in a net gain or loss on our consolidated statements of operations for that quarter. Thus, we may be required to pay Saratoga Investment Advisors incentive fees for a fiscal quarter even if there is a decline in the value of our portfolio or we incur a net loss for that quarter.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75" w:lineRule="auto"/>
        <w:rPr>
          <w:sz w:val="20"/>
          <w:szCs w:val="20"/>
          <w:color w:val="auto"/>
        </w:rPr>
      </w:pPr>
      <w:r>
        <w:rPr>
          <w:rFonts w:ascii="Arial" w:cs="Arial" w:eastAsia="Arial" w:hAnsi="Arial"/>
          <w:sz w:val="15"/>
          <w:szCs w:val="15"/>
          <w:b w:val="1"/>
          <w:bCs w:val="1"/>
          <w:i w:val="1"/>
          <w:iCs w:val="1"/>
          <w:color w:val="auto"/>
        </w:rPr>
        <w:t>Under the terms of the Management Agreement, we may have to pay incentive fees to Saratoga Investment Advisors in connection with the sale of an investment that is sold at a price higher than the fair value of such investment on May 31, 2010, even if we incur a loss on the sale of such investment.</w:t>
      </w:r>
    </w:p>
    <w:p>
      <w:pPr>
        <w:spacing w:after="0" w:line="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Incentive fees on capital gains paid to Saratoga Investment Advisors under the Management Agreement equals 20.0% of our “incentive fee capital gains,” which equals our realized capital gains on a cumulative basis from May 31, 2010 through the end of the fiscal year, if any, computed net of all realized capital losses and unrealized capital depreciation on a cumulative basis, less the aggregate amount of any previously paid capital gain incentive fee. Under the Management Agreement,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Saratoga Investment Advisors will be entitled to 20.0% of the incentive fee capital gains that arise after May 31, 2010. In addition, the cost basis for computing realized gains and losses on investments held by us as of May 31, 2010 will equal the fair value of such investments as of such date. See our Form 10-Q for the quarter ended May 31, 2010 that was filed with the SEC on July 15, 2010 for the fair value and other information related to our investments as of such date. As a result, we may be required to pay incentive fees to Saratoga Investment Advisors on the sale of an investment even if we incur a realized loss on such investment, so long as the investment is sold for an amount greater than its fair value as of May 31, 2010.</w:t>
      </w:r>
    </w:p>
    <w:p>
      <w:pPr>
        <w:spacing w:after="0" w:line="27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way in which the base management and incentive fees under the Management Agreement is determined may encourage Saratoga Investment Advisors to take actions that may not be in our best interests.</w:t>
      </w:r>
    </w:p>
    <w:p>
      <w:pPr>
        <w:spacing w:after="0" w:line="62"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incentive fee payable by us to our investment adviser may create an incentive for it to make investments on our behalf that are risky or more speculative than would be the case in the absence of such compensation arrangement, which could result in higher investment losses, particularly during cyclical economic downturns. The way in which the incentive fee payable to our investment adviser is determined, which is calculated separately in two components as a percentage of the income (subject to a hurdle rate) and as a percentage of the realized gain on invested capital, may encourage our investment adviser to use leverage to increase the return on our investments or otherwise manipulate our income so as to recognize income in quarters where the hurdle rate is exceeded. Moreover, we pay Saratoga Investment Advisors a base management fee based on our total assets, including any investments made with borrowings, which may create an incentive for it to cause us to incur more leverage than is prudent, or not to repay our outstanding indebtedness when it may be advantageous for us to do so, in order to maximize its compensation. Under certain circumstances, the use of leverage may increase the likelihood of default, which would disfavor the holders of our securities.</w:t>
      </w:r>
    </w:p>
    <w:p>
      <w:pPr>
        <w:spacing w:after="0" w:line="18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incentive fee payable by us to our investment adviser also may create an incentive for our investment adviser to invest on our behalf in instruments that have a deferred interest feature. Under these investments, we would accrue the interest over the life of the investment but would not receive the cash income from the investment until the end of the investment’s term, if at all. Our net investment income used to calculate the income portion of our incentive fee, however, includes accrued interest. Thus, a portion of the incentive fee would be based on income that we have not yet received in cash and may never receive in cash if the portfolio company is unable to satisfy such interest payment obligation to us. Consequently, while we may make incentive fee payments on income accruals that we may not collect in the future and with respect to which we do not have a “claw back” right against our investment adviser per se, the amount of accrued income written off in any period will reduce the income in the period in which such write-off was taken and may thereby reduce such period’s incentive fee payment.</w:t>
      </w:r>
    </w:p>
    <w:p>
      <w:pPr>
        <w:spacing w:after="0" w:line="19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Saratoga Investment Advisors receives a quarterly income incentive fee based, in part, on our pre-incentive fee net investment income, if any, for the immediately preceding calendar quarter. This income incentive fee is subject to a fixed quarterly hurdle rate before providing an income incentive fee return to Saratoga Investment Advisors. This fixed hurdle rate was determined when then current interest rates were relatively low on a historical basis. Thus, if interest rates rise, it would become easier for our investment income to exceed the hurdle rate and, as a result, more likely that Saratoga Investment Advisors will receive an income incentive fee than if interest rates on our investments remained constant or decreased. However, if we repurchase our outstanding debt securities, including our 6.75% Notes due 2023 (the “2023 Notes”) and such repurchase results in our recording a net gain or loss on the extinguishment of debt for financial reporting and tax purposes, such net gain or loss will not be included in our pre-incentive fee net investment income for purposes of determining the income incentive fee payable to our investment adviser under the Management Agreement.</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Moreover, our investment adviser receives the incentive fee based, in part, upon net capital gains realized on our investments. Unlike the portion of the incentive fee based on income, there is no performance threshold applicable to the portion of the incentive fee based on net capital gains. As a result, our investment adviser may have a tendency to invest more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Our board of directors will seek to ensure that Saratoga Investment Advisors is acting in our best interests and that any conflict of interest faced by Saratoga Investment Advisors in its capacity as our investment adviser does not negatively impact us.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base management fee we pay to Saratoga Investment Advisors may induce it to influence our leverage, which may be contrary to our interest.</w:t>
      </w:r>
    </w:p>
    <w:p>
      <w:pPr>
        <w:spacing w:after="0" w:line="14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pay Saratoga Investment Advisors a quarterly base management fee based on the value of our total assets (including any assets acquired with leverage). Accordingly, Saratoga Investment Advisors has an economic incentive to increase our leverage. Our board of directors monitors the conflicts presented by this compensation structure by approving the amount of leverage that we incur. If our leverage is increased, we will be exposed to increased risk of loss, bear the increase cost of issuing and servicing such senior indebtedness, and will be subject to any additional covenant restrictions imposed on us in an indenture or other instrument or by the applicable lender.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employ leverage, which magnifies the potential for gain or loss on amounts invested and may increase the risk of investing in us.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Borrowings, also known as leverage, magnify the potential for gain or loss on amounts invested and, therefore, increase the risks associated with investing in us. We borrow from and issue senior debt securities to banks and other lenders that is secured by a lien on our assets. Holders of these senior securities have fixed dollar claims on our assets that are superior to the claims of the holders of our securities. Leverage is generally considered a speculative investment technique. Any increase in our income in excess of interest payable on our outstanding indebtedness would cause our net income to increase more than it would have had we not incurred leverage, while any decrease in our income would cause net income to decline more sharply than it would have had we not incurred leverage. Such a decline could negatively affect our ability to make common stock distributions or scheduled debt payments, including with respect to the 2023 Notes. There can be no assurance that our leveraging strategy will be successful.</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Our outstanding indebtedness imposes, and additional debt we may incur in the future will likely impose, financial and operating covenants that restrict our business activities, including limitations that could hinder our ability to finance additional loans and investments or to make the distributions required to maintain our status as a RIC. A failure to add new debt facilities or issue additional debt securities or other evidences of indebtedness in lieu of or in addition to existing indebtedness could have a material adverse effect on our business, financial condition or results of operations.</w:t>
      </w:r>
    </w:p>
    <w:p>
      <w:pPr>
        <w:spacing w:after="0" w:line="17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As of February 28, 2017, there was no outstanding balance under the Credit Facility. As of February 28, 2017, we had issued $112.7 million SBA-guaranteed debentures and $74.5 million in aggregate principal amount of the 2023 Notes. On January 13, 2017, we redeemed the $61.8 million of outstanding 2020 Notes using the proceeds from the issuance of the 2023 Notes, leaving $9.8 million in net proceeds from the 2023 Notes offering. We may incur additional indebtedness in the future, including, but not limited to, borrowings under the Credit Facility or the issuance of additional debt securities in one or more public or private offerings, although there can be no assurance that we will be successful in doing so. Our ability to service our debt depends largely on our financial performance and is subject to prevailing economic conditions and competitive pressures. The amount of leverage that we employ at any particular time will depend on our management’s and our board of directors’ assessment of market and other factors at the time of any proposed borrowing.</w:t>
      </w:r>
    </w:p>
    <w:p>
      <w:pPr>
        <w:spacing w:after="0" w:line="30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Saratoga Investment Advisors’ liability is limited under the Management Agreement and we will indemnify Saratoga Investments Advisors against certain liabilities, which may lead it to act in a riskier manner on our behalf than it would when acting for its own account.</w:t>
      </w:r>
    </w:p>
    <w:p>
      <w:pPr>
        <w:spacing w:after="0" w:line="38"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Saratoga Investment Advisors has not assumed any responsibility to us other than to render the services described in the Management Agreement. Pursuant to the Management Agreement, Saratoga Investment Advisors and its officers and employees are not liable to us for their acts under the Management Agreement absent willful misfeasance, bad faith, gross negligence or reckless disregard in the performance of their duties. We have agreed to indemnify, defend and protect Saratoga Investment Advisors and its officers and employees with respect to all damages, liabilities, costs and expenses resulting from acts of Saratoga Investment Advisors not arising out of willful misfeasance, bad faith, gross negligence or reckless disregard in the performance of their duties under the Management Agreement. These protections may lead Saratoga Investment Advisors to act in a riskier manner when acting on our behalf than it would when acting for its own account.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75" w:lineRule="auto"/>
        <w:rPr>
          <w:sz w:val="20"/>
          <w:szCs w:val="20"/>
          <w:color w:val="auto"/>
        </w:rPr>
      </w:pPr>
      <w:r>
        <w:rPr>
          <w:rFonts w:ascii="Arial" w:cs="Arial" w:eastAsia="Arial" w:hAnsi="Arial"/>
          <w:sz w:val="15"/>
          <w:szCs w:val="15"/>
          <w:b w:val="1"/>
          <w:bCs w:val="1"/>
          <w:i w:val="1"/>
          <w:iCs w:val="1"/>
          <w:color w:val="auto"/>
        </w:rPr>
        <w:t>Substantially all of our assets are subject to security interests under our Credit Facility or claims of the SBA with respect to SBA-guaranteed debentures we may issue and if we default on our obligations thereunder, we may suffer adverse consequences, including the foreclosure on our assets.</w:t>
      </w:r>
    </w:p>
    <w:p>
      <w:pPr>
        <w:spacing w:after="0" w:line="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Substantially all of our assets are pledged as collateral under the Credit Facility or are subject to a superior claim over the holders of our common stock or the 2023 Notes by the SBA pursuant to the SBA-guaranteed debentures. If we default on our obligations under the Credit Facility or the SBA-guaranteed debentures, Madison Capital Funding and/or the SBA may have the right to foreclose upon and sell, or otherwise transfer, the collateral subject to their security interests or superior claim. In such event, we may be forced to sell our investments to raise funds to repay our outstanding borrowings in order to avoid foreclosure and these forced sales may be at times and at prices we would not consider advantageous. Moreover, such deleveraging of our company could significantly impair our ability to effectively operate our business in the manner in which we have historically operated.</w:t>
      </w:r>
    </w:p>
    <w:p>
      <w:pPr>
        <w:spacing w:after="0" w:line="16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if Madison Capital Funding exercises its right to sell the assets pledged under the Credit Facility, such sales may be completed at distressed sale prices, thereby diminishing or potentially eliminating the amount of cash available to us after repayment of the amounts outstanding under the Credit Facility.</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risks associated with changes in interest rates including potential effects on our cost of capital and net investment income.</w:t>
      </w:r>
    </w:p>
    <w:p>
      <w:pPr>
        <w:spacing w:after="0" w:line="14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General interest rate fluctuations and changes in credit spreads on floating rate loans may have a substantial negative impact on our investments and investment opportunities and, accordingly, may have a material adverse effect on our rate of return on invested capital. In addition, an increase in interest rates would make it more expensive to use debt to finance our investments. Decreases in credit spreads on debt that pays a floating rate of return would have an impact on the income generation of our floating rate assets. Trading prices for debt that pays a fixed rate of return tend to fall as interest rates rise. Trading prices tend to fluctuate more for fixed rate securities that have longer maturities. Although we have no policy governing the maturities of our investments, under current market conditions we expect that we will invest in a portfolio of debt generally having maturities of up to ten years. This means that we will be subject to greater risk (other things being equal) than an entity investing solely in shorter-term securities.</w:t>
      </w:r>
    </w:p>
    <w:p>
      <w:pPr>
        <w:spacing w:after="0" w:line="17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Because we may borrow to fund our investments, a portion of our net investment income may be dependent upon the difference between the interest rate at which we borrow funds and the interest rate at which we invest these funds. A portion of our investments will have fixed interest rates, while a portion of our borrowings will likely have floating interest rates. As a result, a significant change in market interest rates could have a material adverse effect on our net investment income. In periods of rising interest rates, our cost of funds could increase, which would reduce our net investment income. We may hedge against such interest rate fluctuations by using standard hedging instruments such as futures, options and forward contracts, subject to applicable legal requirements, including without limitation, all necessary registrations (or exemptions from registration) with the Commodity Futures Trading Commission. These activities may limit our ability to participate in the benefits of lower interest rates with respect to the hedged borrowings. Adverse developments resulting from changes in interest rates or hedging transactions could have a material adverse effect on our business, financial condition and results of operations.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adversely impact our investment returns.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executive officers and directors, and the members of our investment adviser, serve or may serve as officers, directors or principals of entities that operate in the same or a related line of business as we do or of investment funds managed by our affiliates. Accordingly, they may have obligations to investors in those entities, the fulfillment of which might not be in the best interests of us or our stockholders. For example, Christian L. Oberbeck, our chief executive officer and managing member of our investment adviser, is the managing partner of Saratoga Partners, a middle market private equity investment firm. In addition, the principals of our investment adviser may manage other funds which may from time to time have overlapping investment objectives with those of us and accordingly invest in, whether principally or secondarily, asset classes similar to those targeted by us. If this should occur, the principals of our investment adviser will face conflicts of interest in the allocation of investment opportunities to us and such other funds. Although our investment professionals will endeavor to allocate investment opportunities in a fair and equitable manner, we and our common stockholders could be adversely affected in the event investment opportunities are allocated among us and other investment vehicles managed or sponsored by, or affiliated with, our executive officers, directors and investment adviser, and the members of our investment adviser.</w:t>
      </w:r>
    </w:p>
    <w:p>
      <w:pPr>
        <w:spacing w:after="0" w:line="28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Changes in laws or regulations governing our operations, or changes in the interpretation thereof, and any failure by us to comply with laws or regulations governing our operations may adversely affect our business.</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subject to regulation at the local, state and federal levels. These laws and regulations, as well as their interpretation, may be changed from time to time. Any change in these laws or regulations, or their interpretation, or any failure by us to comply with these laws or regulations may adversely affect our business.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dependent on information systems and systems failures could significantly disrupt our business, which may, in turn, negatively affect the market price of our common stock and our ability to pay dividends.</w:t>
      </w:r>
    </w:p>
    <w:p>
      <w:pPr>
        <w:spacing w:after="0" w:line="62"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Our business is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60"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7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Any such attack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our Adviser and its affiliates have implemented processes, procedures and internal controls to help mitigate cybersecurity risks and cyber intrusions, but these measures, as well as our increased awareness of the nature and extent of a risk of a cyber-incident, may be ineffective and do not guarantee that a cyber-incident will not occur or that our financial results, operations or confidential information will not be negatively impacted by such an incident.</w:t>
      </w:r>
    </w:p>
    <w:p>
      <w:pPr>
        <w:spacing w:after="0" w:line="17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raise additional capital.</w:t>
      </w:r>
    </w:p>
    <w:p>
      <w:pPr>
        <w:spacing w:after="0" w:line="117"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Our business requires a substantial amount of additional capital. We may acquire additional capital from the issuance of senior securities or other indebtedness or the issuance of additional shares of our common stock.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Under the provisions of the 1940 Act, we are permitted, as a BDC, to incur indebtedness or issue senior securities only in amounts such that our asset coverage, as defined in the 1940 Act, equals at least 200.0% after such incurrence or issuance. Our ability to issue different types of securities is also limited. Compliance with these requirements may unfavorably limit our investment opportunities and reduce our ability in comparison to other companies to profit from favorable spreads between the rates at which we can borrow and the rates at which we can lend. As a business development company, therefore, we may need to issue equity more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frequently than our privately owned competitors, which may lead to greater stockholder dilution.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If the value of our assets declines, we may be unable to satisfy the asset coverage test. If that happens, we may be required to liquidate a portion of our investments and repay a portion of our indebtedness at a time when such sales may be disadvantageous in order to make dividend distributions or repurchase certain of our securities.</w:t>
      </w:r>
    </w:p>
    <w:p>
      <w:pPr>
        <w:spacing w:after="0" w:line="17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are not generally able to issue and sell our common stock at a price below net asset value per share. We may, however, sell our common stock, or warrants, options or rights to acquire our common stock, at a price below the current net asset value of the common stock if our board of directors determines that such sale is in our best interests and the best interests of our stockholders, and our stockholders approve such sale. In any such case, the price at which our securities are to be issued and sold may not be less than a price which, in the determination of our board of directors, closely approximates the market value of such securities (less any commission or discount). If our common stock trades at a discount to net asset value, this restriction could adversely affect our ability to raise capital. We do not currently have stockholder approval of issuances below net asset value.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As a BDC, we are generally not permitted to incur indebtedness unless immediately after such borrowing we have an asset coverage for total borrowings of at least 200% (i.e., the amount of debt may not exceed 50% of the value of our assets). We have agreed in the covenant in the indenture governing the 2023 Notes not to violate this section of the 1940 Act, whether or not we continue to be subject to such provision, but giving effect, in either case, to any exemptive relief granted to us by the SEC. Recent legislation, if passed, would modify this section of the 1940 Act and increase the amount of debt that business development companies may incur. As a result, we may be able to incur additional indebtedness in the future.</w:t>
      </w:r>
    </w:p>
    <w:p>
      <w:pPr>
        <w:spacing w:after="0" w:line="2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agreement governing our Credit Facility contains various covenants that, among other things, limits our discretion in operating our business and provides for certain minimum financial covenants.</w:t>
      </w:r>
    </w:p>
    <w:p>
      <w:pPr>
        <w:spacing w:after="0" w:line="6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agreement governing the Credit Facility contains customary default provisions such as the termination or departure of certain “key persons” of Saratoga Investment Advisors, a material adverse change in our business and the failure to maintain certain minimum loan quality and performance standards. An event of default under the facility would result, among other things, in termination of the availability of further funds under the facility and an accelerated maturity date for all amounts outstanding under the facility, which would likely disrupt our business and, potentially, the portfolio companies whose loans we financed through the facility. This could reduce our revenues and, by delaying any cash payment allowed to us under the facility until the lender has been paid in full, reduce our liquidity and cash flow and impair our ability to grow our business and maintain our status as a RIC.</w:t>
      </w:r>
    </w:p>
    <w:p>
      <w:pPr>
        <w:spacing w:after="0" w:line="16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Each loan origination under the facility is subject to the satisfaction of certain conditions. We cannot assure you that we will be able to borrow funds under the facility at any particular time or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subject to corporate-level income tax if we fail to qualify as a RIC.</w:t>
      </w:r>
    </w:p>
    <w:p>
      <w:pPr>
        <w:spacing w:after="0" w:line="117"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We intend to maintain our qualification as a RIC under the Code. As a RIC, we do not pay federal income taxes on our income (including realized gains) that is distributed to our stockholders, provided that we satisfy certain source of income, distribution and asset diversification requirements.</w:t>
      </w:r>
    </w:p>
    <w:p>
      <w:pPr>
        <w:spacing w:after="0" w:line="124"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The source of income requirement is satisfied if we derive at least 90.0% of our annual gross income from interest, dividends, payments with respect to certain securities loans, gains from the sale or other disposition of securities or options thereon or foreign currencies, or other income derived with respect to our business of investing in such securities or currencies, and net income from interests in “qualified publicly traded partnerships,” as defined in the Code.</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annual distribution requirement is satisfied if we distribute to our stockholders on an annual basis an amount equal to at least 90.0% of our ordinary net taxable income and realized net short-term capital gains in excess of realized net long-term capital losses, if any, reduced by deductible expenses. We are subject to certain asset coverage ratio requirements under the 1940 Act and covenants under our borrowing agreements that could, under certain circumstances, restrict us from making distributions necessary to qualify as a RIC. In such case, if we are unable to obtain cash from other sources, we may fail to qualify as a RIC and, thus, may be subject to corporate-level income tax.</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diversification requirements will be satisfied if we diversify our holdings so that at the end of each quarter of the taxable year: (i) at least 50.0% of the value of our assets consists of cash, cash equivalents, U.S. government securities, securities of other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regulated investment companies, and other securities if such other securities of any one issuer do not represent more than 5.0% of the value of our assets or more than 10% of the outstanding voting securities of the issuer; and (ii) no more than 25.0% of the value of our assets is invested in the securities, other than U.S. government securities or securities of other regulated investment companies, of one issuer or of two or more issuers that are controlled, as determined under applicable tax rules, by us and that are engaged in the same or similar or related trades or businesses or in certain publicly traded partnerships.</w:t>
      </w:r>
    </w:p>
    <w:p>
      <w:pPr>
        <w:spacing w:after="0" w:line="154"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Failure to meet these tests may result in our having to (i) dispose of certain investments quickly or (ii) raise additional capital to prevent the loss of our RIC qualification. Because most of our investments will be in private companies, any such dispositions could be made at disadvantageous prices and may result in substantial losses. If we raise additional capital to satisfy the asset diversification requirements, it could take us time to invest such capital. During this period, we will invest the additional capital in temporary investments, such as cash and cash equivalents, which we expect will earn yields substantially lower than the interest income that we anticipate receiving in respect of investments in leveraged loans and mezzanine debt.</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we fail to qualify as a RIC for any reason, all of our taxable income will be subject to U.S. federal income tax at regular corporate rates. The resulting corporate taxes could substantially reduce our net assets, the amount of income available for distribution to our common stockholders or payment of our outstanding indebtedness including the 2023 Notes. Such a failure would have a material adverse effect on our results of operations and financial condition.</w:t>
      </w:r>
    </w:p>
    <w:p>
      <w:pPr>
        <w:spacing w:after="0" w:line="25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Because we intend to distribute between 90% and 100% of our income to our stockholders in connection with our election to be treated as a RIC, we will continue to need additional capital to finance our growth. If additional funds are unavailable or not available on favorable terms, our ability to grow will be impaired.</w:t>
      </w:r>
    </w:p>
    <w:p>
      <w:pPr>
        <w:spacing w:after="0" w:line="7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order to qualify for the tax benefits available to RICs and to minimize corporate-level taxes, we intend to distribute to our stockholders between 90% and 100% of our annual taxable income, except that we may retain certain net capital gains for investment, and treat such amounts as deemed distributions to our stockholders. If we elect to treat any amounts as deemed distributions, we must pay income taxes at the corporate rate on such deemed distributions on behalf of our stockholders. As a result of these requirements, we will likely need to raise capital from other sources to grow our business. As a BDC, we generally are required to meet a coverage ratio of total assets, less liabilities and indebtedness not represented by senior securities, to total senior securities, which includes all of our borrowings and any outstanding preferred stock, of at least 200%. These requirements limit the amount that we may borrow. Because we will continue to need capital to grow our investment portfolio, these limitations may prevent us from incurring debt and require us to raise additional equity at a time when it may be disadvantageous to do so.</w:t>
      </w:r>
    </w:p>
    <w:p>
      <w:pPr>
        <w:spacing w:after="0" w:line="17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While we expect to be able to borrow and to issue additional debt and equity securities, we cannot assure you that debt and equity financing will be available to us on favorable terms, or at all. Also, as a BDC, we generally are not permitted to issue equity securities priced below net asset value without stockholder approval. If additional funds are not available to us, we could be forced to curtail or cease new investment activities, and our net asset value and share price could decline.</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difficulty paying our required distributions if we recognize income before or without receiving cash in respect of such income.</w:t>
      </w:r>
    </w:p>
    <w:p>
      <w:pPr>
        <w:spacing w:after="0" w:line="12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For federal income tax purposes, we may be required to recognize taxable income in circumstances in which we do not receive a corresponding payment in cash. For example, we may on occasion hold debt obligations that are treated under applicable tax rules as having original issue discount (such as debt instruments with PIK or, in certain cases, increasing interest rates or issued with warrants) and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In addition, we may be required to accrue for federal income tax purposes amounts attributable to our investment in Saratoga CLO, a collateralized loan obligation fund, that may differ from the distributions paid in respect of our investment in the subordinated notes of such collateralized loan obligation fund because of the factors set forth above or because distributions on the subordinated notes are contractually required to be diverted for reinvestment or to pay down outstanding indebtedness.</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 As a result, we may have difficulty meeting the annual distribution requirement necessary to obtain and maintain RIC tax treatment under the Code.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income tax.</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Because we have elected to be treated as a BDC, we are prohibited under the 1940 Act from participating in certain transactions with certain of our affiliates without the prior approval of our independent directors and, in some cases, the SEC. Any person that owns, directly or indirectly, 5.0% or more of our outstanding voting securities is our affiliate for purposes of the 1940 Act and we are generally prohibited from buying or selling any securities (other than our securities) from or to such affiliate, absent the prior approval of our independent directors. The 1940 Act also prohibits certain “joint” transactions with certain of our affiliates, which could include investments in the same portfolio company, without prior approval of our independent directors and, in some cases, the SEC. If a person acquires more than 25.0% of our voting securities, we are prohibited from buying or selling any security (other than any security of which we are the issuer) from or to such person or certain of that person’s affiliates, or entering into prohibited joint transactions with such person, absent the prior approval of the SEC. Similar restrictions limit our ability to transact business with our officers, directors or investment adviser or their affiliates. As a result of these restrictions, we may be prohibited from buying or selling any security (other than any security of which we are the issuer) from or to any portfolio company of a private equity fund managed by our investment adviser without the prior approval of the SEC, which may limit the scope of investment opportunities that would otherwise be available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 number of entities compete with us to make the types of investments that we make in private middle market companies. We compete with other BDCs, public and private funds (including SBICs), commercial and investment banks, commercial financing companies, insurance companies, high-yield investors, hedge funds, and, to the extent they provide an alternative form of financing, private equity funds. Many of our competitors are substantially larger and have considerably greater financial, technical and marketing resources than us. Some competitors may have a lower cost of funds and access to funding sources that are not available to us. In addition, some of our competitors may have higher risk tolerances or different risk assessments that could allow them to consider a wider variety of investments and establish more relationships than us. Furthermore, many of our competitors are not subject to the regulatory restrictions that the 1940 Act imposes on us as a BDC. As a result of this competition, we may not be able to take advantage of attractive investment opportunities from time to time, and we cannot assure you that we will be able to identify and make investments that meet our investment objective.</w:t>
      </w:r>
    </w:p>
    <w:p>
      <w:pPr>
        <w:spacing w:after="0" w:line="16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do not seek to compete primarily based on the interest rates we offer and we believe that some of our competitors may make loans with interest rates that are comparable to or lower than the rates we offer.</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may lose investment opportunities if we do not match our competitors’ pricing, terms and structure. If we match our competitors’ pricing, terms and structure, we may experience decreased net interest income and increased risk of credit loss. As a result of operating in such a competitive environment, we may make investments that are on better terms to our portfolio companies than we originally anticipated, which may impact our return on these investments.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recessions or downturns could impair the ability of our portfolio companies to repay loans and harm our operating results.</w:t>
      </w:r>
    </w:p>
    <w:p>
      <w:pPr>
        <w:spacing w:after="0" w:line="1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Many of our portfolio companies may be susceptible to economic slowdowns or recessions and may be unable to repay our debt investments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adding to our investment portfolio, cause us to receive a reduced level of interest income from our portfolio companies and/or reduce the fair market value of our investments. Any of the foregoing events could adversely affect our distributable income and have a material adverse effect on our operating results.</w:t>
      </w:r>
    </w:p>
    <w:p>
      <w:pPr>
        <w:spacing w:after="0" w:line="3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6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Although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seek to maintain a diversified portfolio in accordance with our business strategies,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RIC asset diversification requirements, we do not have fixed guidelines for diversification, and our investments could be concentrated in relatively few portfolio companies.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operations depend on our ability to manage future investments effectively.</w:t>
      </w:r>
    </w:p>
    <w:p>
      <w:pPr>
        <w:spacing w:after="0" w:line="11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Our ability to achieve our investment objective depends on our ability to acquire suitable investments and monitor and administer those investments, which depends, in turn, on Saratoga Investment Advisors’ ability to identify, invest in and monitor companies that meet our investment criteria.</w:t>
      </w:r>
    </w:p>
    <w:p>
      <w:pPr>
        <w:spacing w:after="0" w:line="1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Accomplishing this result on a cost-effective basis is largely a function of Saratoga Investment Advisors’ structuring of the investment process and its ability to provide competent, attentive and efficient service to us. Our executive officers and the officers and employees of Saratoga Investment Advisors have substantial responsibilities in connection with their roles at Saratoga Partners as well as responsibilities under the Management Agreement. They may also be called upon to provide managerial assistance to our portfolio companies. These demands on their time, which will increase as the number of investments grow, may distract them or slow the rate of investment. In order to grow, Saratoga Investment Advisors may need to hire, train, supervise and manage new employees. However, we cannot assure you that any such employees will contribute to the work of Saratoga Investment Advisors. Any failure to manage our future growth effectively could have a material adverse effect on our business and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and annual results.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investments we make, the default rate on such investments, the level of our expenses, variations in and the timing of the recognition of realized and unrealized gains or losses, changes in our portfolio composition, the degree to which we encounter competition in our markets and general economic conditions. As a result of these factors, results for any period should not be relied upon as being indicative of performance in future periods. In addition, any of these factors could negatively impact our ability to achieve our investment objectives, which may cause the net asset value of our common stock to decline.</w:t>
      </w:r>
    </w:p>
    <w:p>
      <w:pPr>
        <w:spacing w:after="0" w:line="26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Substantially all of our portfolio investments are recorded at fair value as approved in good faith by our board of directors; such valuations are inherently uncertain and may be materially higher or lower than the values that we ultimately realize upon the disposal of such investments.</w:t>
      </w:r>
    </w:p>
    <w:p>
      <w:pPr>
        <w:spacing w:after="0" w:line="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Substantially all of our portfolio is, and we expect will continue to be, comprised of investments that are not publicly traded. The value of investments that are not publicly traded may not be readily determinable. We value these investments quarterly at fair value as approved in good faith by our board of directors. Where appropriate, Saratoga Investment Advisors may utilize the services of an independent valuation firm to aid it in determining fair value. The types of factors that may be considered in valuing our investments include the nature and realizable value of any collateral, the portfolio company’s ability to make payments and its earnings, the markets in which the portfolio company does business, market yield trend analysis, comparison to publicly traded companies, discounted cash flow and other relevant factors. Because such valuations, and particularly valuations of private investments and private companies, are inherently uncertain, may fluctuate over short periods of time and may be based on estimates, our determinations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30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If we make unsecured debt investments, we may lack adequate protection in the event our portfolio companies become distressed or insolvent and will likely experience a lower recovery than more senior debtholders in the event our portfolio companies default on their indebtedness.</w:t>
      </w:r>
    </w:p>
    <w:p>
      <w:pPr>
        <w:spacing w:after="0" w:line="1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make unsecured debt investments in portfolio companies. Unsecured debt investments are unsecured and junior to other indebtedness of the portfolio company. As a consequence, the holder of an unsecured debt investment may lack adequate protection in the event the portfolio company becomes distressed or insolvent and will likely experience a lower recovery than more senior debtholders in the event the portfolio company defaults on its indebtedness. In addition, unsecured debt investments of middle-market companies are often highly illiquid and in adverse market conditions may experience steep declines in valuation even if they are fully performing.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invest in the securities and other obligations of distressed or bankrupt companies, such investments may be subject to significant risks, including lack of income, extraordinary expenses, uncertainty with respect to satisfaction of debt, lower-than expected investment values or income potentials and resale restrictions.</w:t>
      </w:r>
    </w:p>
    <w:p>
      <w:pPr>
        <w:spacing w:after="0" w:line="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are authorized to invest in the securities and other obligations of distressed or bankrupt companies. At times, distressed debt obligations may not produce income and may require us to bear certain extraordinary expenses (including legal, accounting, valuation and transaction expenses) in order to protect and recover our investment. Therefore, to the extent we invest in distressed debt, our ability to achieve current income may be diminished which may affect our ability to make distributions on our common stock or make interest and principal payments of the 2023 Notes.</w:t>
      </w:r>
    </w:p>
    <w:p>
      <w:pPr>
        <w:spacing w:after="0" w:line="17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also will be subject to significant uncertainty as to when and in what manner and for what value the distressed debt we invest in will eventually be satisfied (e.g., through a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held by us, there can be no assurance that the securities or other assets received by us in connection with such exchange offer or plan of reorganization will not have a lower value or income potential than may have been anticipated when the investment was made.</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Moreover, any securities received by us upon completion of an exchange offer or plan of reorganization may be restricted as to resale. As a result of our participation in negotiations with respect to any exchange offer or plan of reorganization with respect to an issuer of distressed debt, we may be restricted from disposing of such securities if we are in possession of material non-public information relating to the issuer.</w:t>
      </w:r>
    </w:p>
    <w:p>
      <w:pPr>
        <w:spacing w:after="0" w:line="27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Certain loans that we make to portfolio companies will be secured on a second priority basis by the same collateral securing senior secured debt of such companies. The first priority liens on the collateral will secure the portfolio company’s obligations under any outstanding senior debt and may secure certain other future debt that may be permitted to be incurred by the company under the agreements governing the loans.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There can be no assurance that the proceeds, if any, from the sale or sales of all of the collateral would be sufficient to satisfy the loan obligations secured by the second priority liens after payment in full of all obligations secured by the first priority liens on the collateral. If such proceeds are not sufficient to repay amounts outstanding under the loan obligations secured by the second priority liens, then we, to the extent not repaid from the proceeds of the sale of the collateral, will only have an unsecured claim against the company’s remaining assets, if any.</w:t>
      </w:r>
    </w:p>
    <w:p>
      <w:pPr>
        <w:spacing w:after="0" w:line="16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rights we may have with respect to the collateral securing the loans we make to our portfolio companies with senior debt outstanding may also be limited pursuant to the terms of one or more intercreditor agreements that we enter into with the holders of senior debt. Under such an intercreditor agreement, at any time that obligations that have the benefit of the first priority liens are outstanding, any of the following actions that may be taken with respect to the collateral will be at the direction of the holders of the obligations secured by the first priority liens: the ability to cause the commencement of enforcement proceedings against the collateral; the ability to control the conduct of such proceedings; the approval of amendments to collateral documents; releases of liens on the collateral; and waivers of past defaults under collateral documents. We may not have the ability to control or direct such actions, even if our rights are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primarily make investments in private companies. A portion of these securities may be subject to legal and other restrictions on resale, transfer, pledge or other disposition or will otherwise be less liquid than publicly traded securities. The illiquidity of our investments may make it difficult for us to sell such investments if the need arises. In addition, if we are required to liquidate all or a portion of our portfolio quickly, we may realize significantly less than the value at which we have previously recorded our investments. In addition, we may face other restrictions on our ability to liquidate an investment in a business entity to the extent that we or our investment adviser has or could be deemed to have material non-public information regarding such business entity.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debt securities in which we invest are subject to credit risk and prepayment risk.</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An issuer of a debt security may be unable to make interest payments and repay principal. We could lose money if the issuer of a debt obligation is, or is perceived to be, unable or unwilling to make timely principal and/or interest payments, or to otherwise honor its obligations. The downgrade of a security by rating agencies may further decrease its value.</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debt instruments may contain call or redemption provisions which would allow the issuer thereof to prepay principal prior to the debt instrument’s stated maturity. This is known as prepayment risk. Prepayment risk is greater during a falling interest rate environment as issuers can reduce their cost of capital by refinancing higher interest debt instruments with lower interest debt instruments. An issuer may also elect to refinance their debt instruments with lower interest debt instruments if the credit standing of the issuer improves. To the extent debt securities in our portfolio are called or redeemed, we may receive less than we paid for such security and we may be forced to reinvest in lower yielding securities or debt securities of issuers of lower credit quality.</w:t>
      </w:r>
    </w:p>
    <w:p>
      <w:pPr>
        <w:spacing w:after="0" w:line="30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investment in Saratoga CLO constitutes a leveraged investment in a portfolio of predominantly senior secured first lien term loans and is subject to additional risks and volatility.</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February 28, 2017, our investment in the subordinated notes of Saratoga CLO, a collateralized loan obligation fund, had a fair value of $11.0 million and constituted 3.7% of our portfolio. This investment constitutes a first loss position in a portfolio that, as of February 28, 2017, was composed of</w:t>
      </w:r>
    </w:p>
    <w:p>
      <w:pPr>
        <w:spacing w:after="0" w:line="268" w:lineRule="auto"/>
        <w:rPr>
          <w:sz w:val="20"/>
          <w:szCs w:val="20"/>
          <w:color w:val="auto"/>
        </w:rPr>
      </w:pPr>
      <w:r>
        <w:rPr>
          <w:rFonts w:ascii="Arial" w:cs="Arial" w:eastAsia="Arial" w:hAnsi="Arial"/>
          <w:sz w:val="17"/>
          <w:szCs w:val="17"/>
          <w:color w:val="auto"/>
        </w:rPr>
        <w:t>$297.1 million in aggregate principal amount of primarily senior secured first lien term loans and $13.0 million in uninvested cash. A first loss position means that we will suffer the first economic losses if the value of Saratoga CLO decreases. First loss positions typically carry a higher risk and earn a higher yield. Interest payments generated from this portfolio will be used to pay the administrative expenses of Saratoga CLO and interest on the debt issued by Saratoga CLO before paying a return on the subordinated notes. Principal payments will be similarly applied to pay administrative expenses of Saratoga CLO and for reinvestment or repayment of Saratoga CLO debt before paying a return on, or repayment of, the subordinated notes. In addition, 80.0% of our fixed management fee and 100.0% our incentive management fee for acting as the collateral manager of Saratoga CLO is subordinated to the payment of interest and principal on Saratoga CLO debt. Any losses on the portfolio will accordingly reduce the cash flow available to pay these management fees and provide a return on, or repayment of, our investment. Depending on the amount and timing of such losses, we may experience smaller than expected returns and, potentially, the loss of our entire investment.</w:t>
      </w:r>
    </w:p>
    <w:p>
      <w:pPr>
        <w:spacing w:after="0" w:line="18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the manager of the portfolio of Saratoga CLO, we will have some ability to direct the composition of the portfolio, but our discretion is limited by the terms of the debt issued by Saratoga CLO which may limit our ability to make investments that we feel are in the best interests of the subordinated notes, and the availability of suitable investments. The performance of Saratoga CLO’s portfolio is also subject to many of the same risks sets forth in this Annual Report with respect to portfolio investments in leveraged loans.</w:t>
      </w:r>
    </w:p>
    <w:p>
      <w:pPr>
        <w:spacing w:after="0" w:line="29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Saratoga CLO, the creditors of Saratoga CLO, including the holders of $297.1 million aggregate principal amount of debt, as of February 28, 2017 issued by Saratoga CLO, would have claims against the consolidated bankruptcy estate, which would include our assets.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that we have observed and will observe certain formalities and operating procedures that are generally recognized requirements for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maintaining our separate existence and that our assets and liabilities can be readily identified as distinct from those of Saratoga CLO. However, we cannot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assure you that a bankruptcy court would agree in the event that we or Saratoga CLO became a debtor in connection with a bankruptcy proceeding. If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bankruptcy court concludes that substantive consolidation of us with Saratoga CLO is warranted, the creditors of Saratoga CLO, including the holders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$297.1 million aggregate principal amount of debt, as of February 28, 2017 issued by Saratoga CLO, would have claims against the consolidated bankruptcy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estate. Substantive consolidation means that our assets are placed in a single bankruptcy estate with those of Saratoga CLO, rather than kept separate, and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creditors of Saratoga CLO have a claim against that single estate (including our assets), as opposed to retaining their claims against only Saratoga CLO.</w:t>
      </w:r>
    </w:p>
    <w:p>
      <w:pPr>
        <w:spacing w:after="0" w:line="34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investments in Saratoga CLO are typically broadly syndicated loans that have a different risk profile than would direct investments made by us, including less information available and fewer rights regarding repayment compared to companies we invest in directly as well as complicated accounting and tax implications.</w:t>
      </w:r>
    </w:p>
    <w:p>
      <w:pPr>
        <w:spacing w:after="0" w:line="73"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Due to our investments in the Saratoga CLO being primarily broadly syndicated loans, there may be less information available to us on those companies as compared to most investments that we make directly. For example, we will typically have fewer rights relating to how such companies manage their cash flow to repay debt, the inclusion of protective covenants, default penalties, lien protection, change of control provisions and board observation rights in deal terms, and our general ability to oversee the company’s operations. Our investment in Saratoga CLO is also subject to the risk of leverage associated with the debt issued by Saratoga CLO and the repayment priority of senior debt holders in Saratoga CLO.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accounting and tax implications of such investments are complicated. In particular, reported earnings from the equity tranche investment of Saratoga CLO are recorded under U.S. generally accepted accounting principles (“U.S. GAAP”) based upon an effective yield calculation. Current taxable earnings on these investments, however, will generally not be determinable until after the end of the fiscal year of Saratoga CLO that ends within the Company’s fiscal year, even though the investment is generating cash flow. In general, the tax treatment of investment in Saratoga CLO may result in higher distributable earnings in the early years and a capital loss at maturity, while for reporting purposes the totality of cash flows are reflected in a constant yield to maturity.</w:t>
      </w:r>
    </w:p>
    <w:p>
      <w:pPr>
        <w:spacing w:after="0" w:line="30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The senior loan portfolio of Saratoga CLO is concentrated in a limited number of industries or borrowers, which may subject Saratoga CLO, and in turn us, to a risk of significant loss if there is a downturn in a particular industry in which Saratoga CLO is concentrated.</w:t>
      </w:r>
    </w:p>
    <w:p>
      <w:pPr>
        <w:spacing w:after="0" w:line="3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Saratoga CLO has senior loan portfolios that are concentrated in a limited number of industries or borrowers. A downturn in any particular industry or borrower in which Saratoga CLO is heavily invested may subject Saratoga CLO, and in turn us, to a risk of significant loss and could significantly impact the aggregate returns we realize. If an industry in which Saratoga CLO is heavily invested suffers from adverse business or economic conditions, a material portion of our investment in Saratoga CLO could be affected adversely, which, in turn, could adversely affect our financial position and results of operations. For example, as of February 28, 2017, Saratoga CLO’s investments in the business services industry represented approximately 13.9% of the fair value of Saratoga CLO’s portfolio. Companies in the business services industry are subject to general economic downturns and business cycles, and will often suffer reduced revenues and rate pressures during periods of economic uncertainty. In addition, investments in the healthcare &amp; pharmaceuticals industry represented approximately 11.3% of the fair value of Saratoga CLO’s portfolio. Changes in healthcare or other laws and regulations applicable to the businesses of some of the companies in which Saratoga CLO invests may occur that could increase their compliance and other costs of doing business, require significant systems enhancements, or render their products or services less profitable or obsolete, any of which could have a material adverse effect on their results of operations. There has also been an increased political and regulatory focus on healthcare laws in recent years, and new legislation could have a material effect on the business and operations of companies in which Saratoga CLO invests.</w:t>
      </w:r>
    </w:p>
    <w:p>
      <w:pPr>
        <w:spacing w:after="0" w:line="27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application of the risk retention rules to CLOs may have broader effects on the CLO and loan markets in general, potentially resulting in fewer or less desirable investment opportunities for Saratoga CLO.</w:t>
      </w:r>
    </w:p>
    <w:p>
      <w:pPr>
        <w:spacing w:after="0" w:line="6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Section 941 of the Dodd-Frank Act added a provision to the Securities Exchange Act of 1934, as amended, requiring the seller, sponsor or securitizer of a securitization vehicle to retain no less than five percent of the credit risk in assets it sells into a securitization and prohibits such securitizer from directly or indirectly hedging or otherwise transferring the retained credit risk. The responsible federal agencies adopted final rules implementing these restrictions on October 22, 2014. These rules will become effective with respect to CLOs two years after publication in the Federal Register. Under the final rules, the asset manager of a CLO would be considered the sponsor of a securitization vehicle and would be required to retain five percent of the credit risk in the CLO, which may be retained horizontally in the equity tranche of the CLO or vertically as a five percent interest in each tranche of the securities issued by the CLO. Although the final rules contain an exemption from such requirements for the asset manager of a CLO if, among other things, the originator or lead arranger of all of the loans acquired by the CLO retain such risk at the asset level and, at origination of such asset, takes a loan tranche of at least 20% of the aggregate principal balance, it is possible that the originators and lead arrangers of loans in this market will not agree to assume this risk or provide such retention at origination of the asset in a manner that would provide meaningful relief from the risk retention requirements for CLO managers.</w:t>
      </w:r>
    </w:p>
    <w:p>
      <w:pPr>
        <w:spacing w:after="0" w:line="16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believe that the U.S. risk retention requirements imposed for CLO managers under Section 941 of the Dodd-Frank Act has created some uncertainty in the market in regard to future CLO issuance. Given that certain CLO managers may require capital provider partners to satisfy this requirement beginning on December 24, 2016, we believe that this may create additional opportunities (and additional risks) for us in the future.</w:t>
      </w:r>
    </w:p>
    <w:p>
      <w:pPr>
        <w:spacing w:after="0" w:line="27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Failure by Saratoga CLO to satisfy certain financial covenants may entitle senior debtholders to additional payments, which may harm our operating results by reducing payments we would otherwise be entitled to receive from Saratoga CLO.</w:t>
      </w:r>
    </w:p>
    <w:p>
      <w:pPr>
        <w:spacing w:after="0" w:line="62"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failure by Saratoga CLO to satisfy certain financial covenants, specifically those with respect to adequate collateralization and/or interest coverage tests, could lead to a reduction in its payments to us. In the event that Saratoga CLO failed these certain tests, senior debt holders may be entitled to additional payments that would, in turn, reduce the payments we would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otherwise be entitled to receive. Separately, we may incur expenses to the extent necessary to seek recovery upon default or to negotiate new terms, which may include the waiver of certain financial covenants, with Saratoga CLO or any other investment we may make. If any of these occur, it could materially and adversely affect our operating results and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 about privately held companies is limited.</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invest primarily in privately-held companies. Generally, little public information exists about these companies, and we are required to rely on the ability of our investment adviser’s investment professionals to obtain adequate information to evaluate the potential returns from investing in these companies. These companies and their financial information are not subject to the Sarbanes-Oxley Act of 2002 and other rules that govern public companies. If we are unable to uncover all material information about these companies, we may not make a fully informed investment decision, and we may lose money on our investments.</w:t>
      </w:r>
    </w:p>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When we are a debt or minority equity investor in a portfolio company, we may not be in a position to control the entity, and its management may make decisions that could decrease the value of our investment.</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make both debt and minority equity investments; therefore, we are subject to the risk that a portfolio company may make business decisions with which we disagree, and the stockholders and management of such company may take risks or otherwise act in ways that do not serve our interests. As a result, a portfolio company may make decisions that could decrease the value of our portfolio holdings.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portfolio companies may incur debt or issue equity securities that rank equally with, or senior to, our investments in such companies.</w:t>
      </w:r>
    </w:p>
    <w:p>
      <w:pPr>
        <w:spacing w:after="0" w:line="12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portfolio companies usually will have, or may be permitted to incur, other debt, or issue other equity securities that rank equally with, or senior to, our investments. By their terms, such instruments may provide that the holders are entitled to receive payment of dividends, interest or principal on or before the dates on which we are entitled to receive payments in respect of our investments. These debt instruments will usually prohibit the portfolio companies from paying interest on or repaying our investments in the event and during the continuance of a default under such debt. Also, in the event of insolvency, liquidation, dissolution, reorganization or bankruptcy of a portfolio company, holders of securities ranking senior to our investment in that portfolio company would typically be entitled to receive payment in full before we receive any distribution in respect of our investment. After repaying such holders, the portfolio company may not have any remaining assets to use for repaying its obligation to us. In the case of debtor ranking equally with our investments, we would have to share on an equal basis any distributions with other holders in the event of an insolvency, liquidation, dissolution, reorganization or bankruptcy of the relevant portfolio company.</w:t>
      </w:r>
    </w:p>
    <w:p>
      <w:pPr>
        <w:spacing w:after="0" w:line="29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6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If one of our portfolio companies were to go bankrupt, even though we may have structured our interest as senior debt, depending on the facts and circumstances, including the extent to which we actually provided managerial assistance to that portfolio company, a bankruptcy court might re-characterize our debt holding and subordinate all or a portion of our claim to that of other creditors. In addition, lenders can be subject to lender liability claims for actions taken by them where they become too involved in the borrower’s business or exercise control over the borrower. It is possible that we could become subject to a lender’s liability claim, including as a result of actions taken if we actually render significant managerial assistance.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equity securities involve a substantial degree of risk.</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purchase common stock and other equity securities. Although equity securities have historically generated higher average total returns than fixed-income securities over the long-term, equity securities also have experienced significantly more volatility in those returns and in recent years have significantly underperformed relative to fixed-income securities. The equity securities we acquire may fail to appreciate and may decline in value or become worthless and our ability to recover our investment will depend on our portfolio company’s success. Investments in equity securities involve a number of significant risks, including:</w:t>
      </w:r>
    </w:p>
    <w:p>
      <w:pPr>
        <w:spacing w:after="0" w:line="94" w:lineRule="exact"/>
        <w:rPr>
          <w:sz w:val="20"/>
          <w:szCs w:val="20"/>
          <w:color w:val="auto"/>
        </w:rPr>
      </w:pPr>
    </w:p>
    <w:p>
      <w:pPr>
        <w:ind w:left="660" w:right="20" w:hanging="206"/>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equity investment we make in a portfolio company could be subject to further dilution as a result of the issuance of additional equity interests and to serious risks as a junior security that will be subordinate to all indebtedness or senior securities in the event that the issuer is unable to meet its obligations or becomes subject to a bankruptcy process;</w:t>
      </w:r>
    </w:p>
    <w:p>
      <w:pPr>
        <w:spacing w:after="0" w:line="86"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that the portfolio company requires additional capital and is unable to obtain it, we may not recover our investment in equity securities;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line="297"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some cases, equity securities in which we invest will not pay current dividends, and our ability to realize a return on our investment, as well as to recover our investment, will be dependent on the success of our portfolio companies. Even if the portfolio companies are successful, our ability to realize the value of our investment may be dependent on the occurrence of a liquidity event, such as a public offering or the sale of the portfolio company. It is likely to take a significant amount of time before a liquidity event occurs or we can sell our equity investments. In addition, the equity securities we receive or invest in may be subject to restrictions on resale during periods in which it could be advantageous to sell.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special risks associated with investing in preferred securities, including:</w:t>
      </w:r>
    </w:p>
    <w:p>
      <w:pPr>
        <w:spacing w:after="0" w:line="131" w:lineRule="exact"/>
        <w:rPr>
          <w:sz w:val="20"/>
          <w:szCs w:val="20"/>
          <w:color w:val="auto"/>
        </w:rPr>
      </w:pPr>
    </w:p>
    <w:p>
      <w:pPr>
        <w:ind w:left="660" w:right="260" w:hanging="206"/>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tax purposes even though we have not received any cash payments in respect of such income;</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preferred securities are subordinated with respect to corporate income and liquidation payments, and are therefore subject to greater risk than debt;</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preferred securities may be substantially less liquid than many other securities, such as common securities or U.S. government securities; and</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preferred security holders generally have no voting rights with respect to the issuing company, subject to limited exceptions.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investments in foreign debt, including that of emerging market issuers, may involve significant risks in addition to the risks inherent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0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Although there are limitations on our ability to invest in foreign debt, we may, from time to time, invest in debt of foreign companies, including the debt of emerging market issuers. Investing in foreign companies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Investments in the debt of emerging market issuers may subject us to additional risks such as inflation, wage and price controls, and the imposition of trade barriers. Furthermore, economic conditions in emerging market countries are, to some extent, influenced by economic and securities market conditions in other emerging market countries. Although economic conditions are different in each country, investors’ reaction to developments in one country can have effects on the debt of issuers in other countries.</w:t>
      </w:r>
    </w:p>
    <w:p>
      <w:pPr>
        <w:spacing w:after="0" w:line="18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we will fully hedge against these risks or that such strategies will be effective. As a result, a change in currency exchange rates may adversely affect our profitability.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may utilize instruments such as forward contracts, currency options and interest rate swaps, caps, collars and floors to seek to hedge against fluctuations in the relative values of our portfolio positions from changes in currency exchange rates and market interest rates. Use of these hedging instruments may expose us to counter-party credit risk.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portfolio positions should increase. Moreover, it may not be possible to hedge against an exchange rate or interest rate fluctuation that is generally anticipated at an acceptable price.</w:t>
      </w:r>
    </w:p>
    <w:p>
      <w:pPr>
        <w:spacing w:after="0" w:line="178"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The success of our hedging transactions will depend on our ability to correctly predict movements in currencies and interest rates. Therefore, 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possible to hedge fully or perfectly against currency fluctuations affecting the value of securities denominated in non-U.S. currencies because the value of those securities is likely to fluctuate as a result of factors not entirely related to currency fluctuations. To the extent we engage in hedging transactions, we also face the risk that counterparties to the derivative instruments we hold may default, which may expose us to unexpected losses from positions where we believed that our risk had been appropriately hedged.</w:t>
      </w:r>
    </w:p>
    <w:p>
      <w:pPr>
        <w:spacing w:after="0" w:line="295"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6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board of directors has the authority to modify or waive our current investment objective, operating policies and strategies without prior notice and without stockholder approval. We cannot predict the effect any changes to our current operating policies and strategies would have on our business, financial condition, and value of our common stock. However, the effects might be adverse, which could negatively impact our ability to pay dividends and cause you to lose all or part of your investment.</w:t>
      </w:r>
    </w:p>
    <w:p>
      <w:pPr>
        <w:spacing w:after="0" w:line="29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limited experience in managing an SBIC and any failure to comply with SBA regulations, resulting from our lack of experience or otherwise, could have an adverse effect on our operations.</w:t>
      </w:r>
    </w:p>
    <w:p>
      <w:pPr>
        <w:spacing w:after="0" w:line="6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received a license from the SBA to operate as an SBIC under Section 301(c) of the Small Business Investment Act of 1958 and is regulated by the SBA.</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SBA places certain limitations on the financing terms of investments by SBICs in portfolio companies and prohibits SBICs from providing funds for certain purposes or to businesses in a few prohibited industries. Compliance with SBIC requirements may cause our SBIC subsidiary to forego attractive investment opportunities that are not permitted under SBA regulations.</w:t>
      </w:r>
    </w:p>
    <w:p>
      <w:pPr>
        <w:spacing w:after="0" w:line="18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Further, SBA regulations require that an SBIC be periodically examined and audited by the SBA to determine its compliance with the relevant SBA regulations. The SBA prohibits, without prior SBA approval, a “change of control” of an SBIC or transfers that would result in any person (or a group of persons acting in concert) owning 10% or more of a class of capital stock of an SBIC. If our SBIC subsidiary fails to comply with applicable SBA regulations, the SBA could, depending on the severity of the violation, limit or prohibit its use of debentures, declare outstanding debentures immediately due and payable, and/or limit it from making new investments. In addition, the SBA can revoke or suspend a license for willful or repeated violation of, or willful or repeated failure to observe, any provision of the Small Business Investment Act of 1958 or any rule or regulation promulgated thereunder. These actions by the SBA would, in turn, negatively affect us because our SBIC subsidiary is our wholly-owned subsidiary. We do not have any prior experience managing an SBIC. Our lack of experience in complying with SBA regulations may hinder our ability to take advantage of our SBIC subsidiary’s access to SBA-guaranteed debentures.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failure to comply with SBA regulations could have an adverse effect on our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may be risky, and you could lose all or part of your investment.</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Substantially all of our debt investments hold a non-investment grade rating by one or more rating agencies (which non-investment grade debt is commonly referred to as “high yield” and “junk” debt) or, where not rated by any rating agency, would be below investment grade or “junk”, if rated. A below investment grade or “junk” rating means that, in the rating agency’s view, there is an increased risk that the obligor on such debt will be unable to pay interest and repay principal on its debt in full. We also invest in debt that defers or pays PIK interest. To the extent interest payments associated with such debt are deferred, such debt will be subject to greater fluctuations in value based on changes in interest rates, such debt could produce taxable income without a corresponding cash payment to us, and since we generally do not receive any cash prior to maturity of the debt, the investment will be of greater risk.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private middle market companies in which we invest are exposed to a number of significant risks, including:</w:t>
      </w:r>
    </w:p>
    <w:p>
      <w:pPr>
        <w:spacing w:after="0" w:line="131" w:lineRule="exact"/>
        <w:rPr>
          <w:sz w:val="20"/>
          <w:szCs w:val="20"/>
          <w:color w:val="auto"/>
        </w:rPr>
      </w:pPr>
    </w:p>
    <w:p>
      <w:pPr>
        <w:ind w:left="660" w:right="60" w:hanging="206"/>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limited financial resources and an inability to meet their obligations, which may be accompanied by a deterioration in the value of any collateral and a reduction in the likelihood of us realizing any guarantees we may have obtained in connection with our investment;</w:t>
      </w:r>
    </w:p>
    <w:p>
      <w:pPr>
        <w:spacing w:after="0" w:line="75" w:lineRule="exact"/>
        <w:rPr>
          <w:rFonts w:ascii="Arial" w:cs="Arial" w:eastAsia="Arial" w:hAnsi="Arial"/>
          <w:sz w:val="18"/>
          <w:szCs w:val="18"/>
          <w:color w:val="auto"/>
        </w:rPr>
      </w:pPr>
    </w:p>
    <w:p>
      <w:pPr>
        <w:ind w:left="660" w:right="220" w:hanging="206"/>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shorter operating histories, narrower product lines and smaller market shares than larger businesses, which tend to render them more vulnerable to competitors’ actions and market conditions, as well as general economic downturns;</w:t>
      </w:r>
    </w:p>
    <w:p>
      <w:pPr>
        <w:spacing w:after="0" w:line="75" w:lineRule="exact"/>
        <w:rPr>
          <w:rFonts w:ascii="Arial" w:cs="Arial" w:eastAsia="Arial" w:hAnsi="Arial"/>
          <w:sz w:val="18"/>
          <w:szCs w:val="18"/>
          <w:color w:val="auto"/>
        </w:rPr>
      </w:pPr>
    </w:p>
    <w:p>
      <w:pPr>
        <w:ind w:left="660" w:right="340" w:hanging="206"/>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dependence on the management talents and efforts of a small group of persons; the death, disability, resignation or termination of one or more of which could have a material adverse impact on the company and, in turn, on us;</w:t>
      </w:r>
    </w:p>
    <w:p>
      <w:pPr>
        <w:spacing w:after="0" w:line="75"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predictable operating results and, possibly, substantial additional capital requirements to support their operations, finance expansion or maintain their competitive position;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difficulty accessing the capital markets to meet future capital needs.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our executive officers, directors and our investment adviser may, in the ordinary course of business, be named as defendants in litigation arising from our investments in the portfolio companies.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independent auditors have not assessed our internal control over financial reporting. If our internal control over financial reporting is not effective, it could have a material adverse effect on our stock price and our ability to raise capital.</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Because we are a “non-accelerated filer” within the meaning of Rule 12b-2 under the Securities Exchange Act of 1934, our independent auditors are not required to assess our internal control over financial reporting or to provide a report thereon. Although our management determined that our internal control over financial reporting was effective at February 28, 2017 (the last date that such determination was required to be made by us), there can be no assurance that our independent auditors would agree with our management’s conclusion. Furthermore, if our market capitalization, excluding affiliated stockholders, at August 31 of any fiscal year is greater than $75.0 million, then we will be required to obtain independent auditor certification on the adequacy of our internal control over financial reporting for that fiscal year. If our internal control over financial reporting is determined in the future to not be effective, whether by our management or by our independent auditors, there could be an adverse reaction in the financial markets due to a loss of confidence in the reliability of our consolidated financial statements, which could materially adversely affect our stock price and our ability to raise capital necessary to operate our business. In addition, we may be required to incur costs in improving our internal control system and hiring additional personnel.</w:t>
      </w:r>
    </w:p>
    <w:p>
      <w:pPr>
        <w:spacing w:after="0" w:line="2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portfolio may continue to be concentrated in a limited number of industries, which may subject us to a risk of significant loss if there is a downturn in a particular industry in which a number of our investments are concentrated.</w:t>
      </w:r>
    </w:p>
    <w:p>
      <w:pPr>
        <w:spacing w:after="0" w:line="6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portfolio may continue to be concentrated in a limited number of industries. A downturn in any particular industry in which we are invested could significantly impact the aggregate returns we realize.</w:t>
      </w:r>
    </w:p>
    <w:p>
      <w:pPr>
        <w:spacing w:after="0" w:line="170"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As of February 28, 2017, our investments in the business services industry represented approximately 55.1% of the fair value of our portfolio and our investments in the healthcare industry represented approximately 13.2% of the fair value of our portfolio. In addition, we may from time to time invest a relatively significant percentage of our portfolio in industries we do not necessarily target. If an industry in which we have significant investments suffers from adverse business or economic conditions, as these industries have to varying degrees, a material portion of our investment portfolio could be affected adversely, which, in turn, could adversely affect our financial position and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common stock may involve an above average degree of risk.</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continue to choose to pay dividends in our own stock, in which case you may be required to pay tax in excess of the cash you receive.</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have in the past, and may continue to, distribute taxable dividends that are payable to our stockholders in part through the issuance of shares of our common stock. For example, on October 30, 2013, our board of directors declared a dividend of $2.65 per share to shareholders payable in cash or shares of our common stock. Under certain applicable provisions of the Code and the Treasury regulations, distributions payable in cash or in shares of stock at the election of stockholders are treated as taxable dividends. The IRS has issued private rulings indicating that this rule will apply even where the total amount of cash that may be distributed is limited to no more than 20.0% of the total distribution. Under these rulings, if too many stockholders elect to receive their distributions in cash, each such stockholder would receive a pro rata share of the total cash to be distributed and would receive the remainder of their distribution in shares of stock. If we decide to make any distributions consistent with these rulings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United States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18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 September 24, 2014, we announced the recommencement of quarterly dividends to our stockholders. We have adopted a DRIP that provides for reinvestment of our dividend distributions on behalf of our stockholders unless a stockholder elects to receive cash. As a result, if our board of directors authorizes, and we declare, a cash dividend, then our stockholders who have not “opted out” of the DRIP by the dividend record date will have their cash dividends automatically reinvested into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market price and liquidity of the market for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660" w:right="40" w:hanging="206"/>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regulatory policies, accounting pronouncements or tax rules, particularly with respect to RICs, BDCs or SBICs;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RIC qualification;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departure of any of Saratoga Investment Advisors’ key personnel;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and operation could be negatively affected if we become subject to any securities litigation or shareholder activism, which could cause us to incur significant expense, hinder execution of investment strategy and impact our stock price.</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in the BDC space recently. While we are currently not subject to any securities litigation or shareholder activism, due to the potential volatility of our stock price and for a variety of other reasons, we may in the future become the target of securities litigation or shareholder activism. Securities litigation and shareholder activism, including potential proxy contests, could result in substantial costs and divert management’s and our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you may not receive distributions or that our distributions may not grow over time.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BDC for 1940 Act purposes and a RIC for U.S. federal income tax purposes, we intend to make distributions out of assets legally available for distribution to our stockholders once such distributions are authorized by our board of directors and declared by us. We cannot assure you that we will achieve investment results that will allow us to make a specified level of cash distributions or periodically increase our dividend rate. In addition, due to the asset coverage test that is applicable to us as a BDC, and provisions contained in the agreements governing our borrowings, we may be limited in our ability to make distributions. Further, if we invest a greater amount of assets in equity securities that do not pay current dividends, it could reduce the amount available for distribution.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Provisions of our governing documents and the Maryland General Corporation Law could deter future takeover attempts and have an adverse impact on the price of our common stock.</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governed by our charter and bylaws, which we refer to as our “governing documents.”</w:t>
      </w:r>
    </w:p>
    <w:p>
      <w:pPr>
        <w:spacing w:after="0" w:line="225"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Our governing documents and the Maryland General Corporation Law contain provisions that may have the effect of delaying, deferring or preventing a future transaction or change in control of us that might involve a premium price for our stockholders or otherwise be in their best interest.</w:t>
      </w:r>
    </w:p>
    <w:p>
      <w:pPr>
        <w:spacing w:after="0" w:line="14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Our charter provides for the classification of our board of directors into three classes of directors, serving staggered three-year terms, which may render a change of control of us or removal of our incumbent management more difficult. Furthermore, any and all vacancies on our board of directors will be filled generally only by the affirmative vote of a majority of the remaining directors in office, even if the remaining directors do not constitute a quorum, and any director elected to fill a vacancy will serve for the remainder of the full term until a successor is elected and qualifies.</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board of directors is authorized to create and issue new series of shares, to classify or reclassify any unissued shares of stock into one or more classes or series, including preferred stock and, without stockholder approval, to amend our charter to increase or decrease the number of shares of stock that we have authority to issue, which could have the effect of diluting a stockholder’s ownership interest. Prior to the issuance of shares of stock of each class or series, including any reclassified series, our board of directors is required by our governing documents to set the terms, preferences, conversion or other rights, voting powers, restrictions, limitations as to dividends or other distributions, qualifications and terms or conditions of redemption for each class or series of shares of stock.</w:t>
      </w:r>
    </w:p>
    <w:p>
      <w:pPr>
        <w:spacing w:after="0" w:line="193"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Our governing documents also provide that our board of directors has the exclusive power to adopt, alter or repeal any provision of our bylaws, and to make new bylaws. The Maryland General Corporation Law also contains certain provisions that may limit the ability of a third party to acquire control of us, such as:</w:t>
      </w:r>
    </w:p>
    <w:p>
      <w:pPr>
        <w:spacing w:after="0" w:line="87" w:lineRule="exact"/>
        <w:rPr>
          <w:sz w:val="20"/>
          <w:szCs w:val="20"/>
          <w:color w:val="auto"/>
        </w:rPr>
      </w:pPr>
    </w:p>
    <w:p>
      <w:pPr>
        <w:ind w:left="660" w:right="20" w:hanging="206"/>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Maryland Business Combination Act, which, subject to certain limitations, prohibits certain business combinations between us and an “interested stockholder” (defined generally as any person who beneficially owns 10% or more of the voting power of the common stock or an affiliate thereof) for five years after the most recent date on which the stockholder becomes an interested stockholder and, thereafter, imposes special minimum price provisions and special stockholder voting requirements on these combinations; and</w:t>
      </w:r>
    </w:p>
    <w:p>
      <w:pPr>
        <w:spacing w:after="0" w:line="92" w:lineRule="exact"/>
        <w:rPr>
          <w:rFonts w:ascii="Arial" w:cs="Arial" w:eastAsia="Arial" w:hAnsi="Arial"/>
          <w:sz w:val="18"/>
          <w:szCs w:val="18"/>
          <w:color w:val="auto"/>
        </w:rPr>
      </w:pPr>
    </w:p>
    <w:p>
      <w:pPr>
        <w:ind w:left="660" w:right="20" w:hanging="206"/>
        <w:spacing w:after="0" w:line="276"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Maryland Control Share Acquisition Act, which provides that “control shares” of a Maryland corporation (defined as shares of common stock which, when aggregated with other shares of common stock controlled by the stockholder, entitles the stockholder to exercise one of three increasing ranges of voting power in electing directors) acquired in a “control share acquisition” (defined as the direct or indirect acquisition of ownership or control of “control shares”) have no voting rights except to the extent approved by stockholders by the affirmative vote of at least two-thirds of all the votes entitled to be cast on the matter, excluding all interested shares of common stock.</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the provisions of the Maryland Business Combination Act will not apply, however, if our board of directors adopts a resolution that any business combination between us and any other person will be exempt from the provisions of the Maryland Business Combination Act. Although our board of directors has adopted such a resolution, there can be no assurance that this resolution will not be altered or repealed in whole or in part at any time. If the resolution is altered or repealed, the provisions of the Maryland Business Combination Act may discourage others from trying to acquire control of us.</w:t>
      </w:r>
    </w:p>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permitted by Maryland law, our bylaws contain a provision exempting from the Maryland Control Share Acquisition Act any and all acquisitions by any person of our common stock. Although our bylaws include such a provision, such a provision may also be amended or eliminated by our board of directors at any time in the future, subject to obtaining confirmation from the SEC that it does not object to us being subject to the Maryland Control Share Acquisition Act.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may trade at a discount to our net asset value per share.</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Common stock of BDCs, as closed-end investment companies, frequently trade at a discount to net asset value. Our common stock has traded at a discount to our net asset value since shortly after our initial public offering. The risk that our common stock may continue to trade at a discount to our net asset value is separate and distinct from the risk that our net asset value per share may decline.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Stockholders may incur dilution if we sell shares of our common stock in one or more offerings at prices below the then current net asset value per share of our common stock.</w:t>
      </w:r>
    </w:p>
    <w:p>
      <w:pPr>
        <w:spacing w:after="0" w:line="62"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1940 Act prohibits us from selling shares of our common stock at a price below the current net asset value per share of such stock, with certain exceptions. One such exception is prior stockholder approval of issuances below net asset value provided that our board of directors makes certain determinations. We do not currently have stockholder approval of issuances below net asset value.</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If we were to sell shares of our common stock below net asset value per share, such sales would result in an immediate dilution to the net asset value per share. This dilution would occur as a result of the sale of shares at a price below the then current net asset value per share of our common stock and a proportionately greater decrease in a stockholder’s interest in our earnings and assets and voting interest in us than the increase in our assets resulting from such issuance.</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Because the number of shares of common stock that could be so issued and the timing of any issuance is not currently known, the actual dilutive effect cannot be predicted.</w:t>
      </w:r>
    </w:p>
    <w:p>
      <w:pPr>
        <w:spacing w:after="0" w:line="2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issuance of subscription rights, warrants or convertible debt that are exchangeable for our common stock, will cause your economic interest and voting power in us to be diluted as a result of our offering of any such securities.</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Stockholders who do not fully exercise rights, warrants or convertible debt issued to them in any offering of subscription rights, warrants or convertible debt to purchase our common stock should expect that they will, at the completion of the offering, own a smaller proportional economic interest and have diminished voting power in us than would otherwise be the case if they fully exercised their rights, warrants or convertible debt. We cannot state precisely the amount of any such dilution in share ownership or voting power because we do not know what proportion of the common stock would be purchased as a result of any such offering.</w:t>
      </w:r>
    </w:p>
    <w:p>
      <w:pPr>
        <w:spacing w:after="0" w:line="18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addition, if the subscription price, warrant price or convertible debt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convertible debt price or net asset value per share will be on the expiration date of such offering or what proportion of our common stock will be purchased as a result of any such offering. The risk of dilution is greater if there are multiple rights offerings. However, our board of directors will make a good faith determination that any offering of subscription rights, warrants or convertible debt would result in a net benefit to existing stockholders.</w:t>
      </w:r>
    </w:p>
    <w:p>
      <w:pPr>
        <w:spacing w:after="0" w:line="165"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Finally, our common stockholders will bear will all costs and expenses incurred by us in connection with any proposed offering of subscription rights, warrants or convertible debt that are exchangeable for our common stock, whether or not such offering is actually completed by 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2023 Notes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2023 Notes are unsecured and therefore are effectively subordinated to any secured indebtedness we have incurred or may incur in the future.</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2023 Notes are not secured by any of our assets or any of the assets of our subsidiaries, including our wholly owned subsidiaries. As a result, the 2023 Notes are effectively subordinated to all of our existing and future secured indebtedness (including indebtedness that is initially unsecured to which we subsequently grant security), to the extent of the value of the assets securing such indebtedness. Because the 2023 Notes are not secured by any of our assets, they will be effectively subordinated to any secured indebtedness we have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may assert rights against the assets pledged to secure that indebtedness in order to receive full payment of their indebtedness before the assets may be used to pay other creditors, including the holders of the 2023 Notes.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2023 Notes are structurally subordinated to the indebtedness and other liabilities of our subsidiaries.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2023 Notes are obligations exclusively of Saratoga Investment Corp., and not of any of our subsidiaries. None of our subsidiaries is a guarantor of the 2023 Notes and the 2023 Notes are not required to be guaranteed by any subsidiary we may acquire or create in the future, including indebtedness under the Credit Facility. Any assets of our subsidiaries are not directly available to satisfy the claims of our creditors, including holders of the 2023 Notes. Except to the extent we are a creditor with recognized claims against our subsidiaries, all claims of creditors of our subsidiaries will have priority over our equity interests in such entities (and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therefore the claims of our creditors, including holders of the 2023 Notes)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2023 Notes are structurally subordinated to all indebtedness and other liabilities of any of our subsidiaries and portfolio companies with respect to which we hold equity investments. In addition, our subsidiaries and these entities may incur substantial indebtedness in the future, all of which would be structurally senior to the 2023 Notes. As of February 28, 2017, there was no outstanding balance under the Credit Facility, and we had the ability to borrow up to $45.0 million under the Credit Facility, subject to certain conditions. As of February 28, 2017, we had $112.7 million in SBA-guaranteed debentures outstanding. The indebtedness under the Credit Facility and to SBA-guaranteed debentures is structurally senior to the 2023 Notes.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under which the 2023 Notes are issued contains limited protection for holders of the 2023 Notes.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under which the 2023 Notes are issued offers limited protection to holders of the 2023 Notes. The terms of the indenture and the 2023 Notes do not restrict our or any of our subsidiaries’ ability to engage in, or otherwise be a party to, a variety of corporate transactions, circumstances or events that could have a material adverse impact on your investment in the 2023 Notes. In particular, the terms of the indenture and the 2023 Notes do not place any restrictions on our or our subsidiaries’ ability to:</w:t>
      </w:r>
    </w:p>
    <w:p>
      <w:pPr>
        <w:spacing w:after="0" w:line="92" w:lineRule="exact"/>
        <w:rPr>
          <w:sz w:val="20"/>
          <w:szCs w:val="20"/>
          <w:color w:val="auto"/>
        </w:rPr>
      </w:pPr>
    </w:p>
    <w:p>
      <w:pPr>
        <w:ind w:left="660" w:hanging="206"/>
        <w:spacing w:after="0" w:line="288"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the 2023 Notes, (2) any indebtedness or other obligations that would be secured and therefore rank effectively senior in right of payment to the 2023 Notes to the extent of the values of the assets securing such debt, (3) indebtedness of ours that is guaranteed by one or more of our subsidiaries and which therefore is structurally senior to the 2023 Notes and (4) securities, indebtedness or obligations issued or incurred by our subsidiaries or the portfolio companies with respect to which we hold an equity investment that would be senior to our equity interests in those entities and therefore rank structurally senior to the 2023 Notes with respect to the assets of these entities, in each case other than an incurrence of indebtedness or other obligation that would cause a violation of Section 18(a)(1)(A) as modified by Section 61(a)(1) of the 1940 Act or any successor provisions (whether or not we are subject thereto), but giving effect, in each case,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200.0% after such borrowings;</w:t>
      </w:r>
    </w:p>
    <w:p>
      <w:pPr>
        <w:spacing w:after="0" w:line="74" w:lineRule="exact"/>
        <w:rPr>
          <w:rFonts w:ascii="Arial" w:cs="Arial" w:eastAsia="Arial" w:hAnsi="Arial"/>
          <w:sz w:val="16"/>
          <w:szCs w:val="16"/>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the indenture does not require us to offer to purchase the 2023 Notes in connection with a change of control or any other event.</w:t>
      </w:r>
    </w:p>
    <w:p>
      <w:pPr>
        <w:spacing w:after="0" w:line="23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Furthermore, the terms of the indenture and the 2023 Notes do not protect holders of the 2023 Notes in the event that we experience changes (including significant adverse changes) in our financial condition, results of operations or credit ratings, if any, as they do not require that we adhere to any financial tests or ratios or specified levels of net worth, revenues, income, cash flow, or liquidity.</w:t>
      </w:r>
    </w:p>
    <w:p>
      <w:pPr>
        <w:spacing w:after="0" w:line="18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2023 Notes may have important consequences for you as a holder of the 2023 Notes, including making it more difficult for us to satisfy our obligations with respect to the 2023 Notes or negatively affecting the trading value of the 2023 Notes.</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 and the 2023 Notes, including additional covenants and events of default. For example, the indenture under which the 2023 Notes are issued does not contain cross-default provisions that are contained in the Credit Facility. The issuance or incurrence of any such debt with incremental protections could affect the market for and trading levels and prices of the 2023 Notes.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 active trading market for the 2023 Notes may not develop or be sustained, which could limit the market price of the 2023 Notes or the ability to sell them.</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Although the 2023 Notes are listed on the NYSE under the symbol ‘‘SAB”, we cannot provide any assurances that an active trading market will develop or be maintained for the 2023 Notes or that the 2023 Notes will be able to be sold. At various times, the 2023 Notes may trade at a discount from their initial offering price depending on prevailing interest rates, the market for similar securities, our credit ratings, if any, general economic conditions, our financial condition, performance and prospects and other factors. Accordingly, we cannot provide any assurance that a liquid trading market will develop for the 2023 Notes, or that the 2023 Notes will be able to be sold at a particular time or at a favorable price. To the extent an active trading market does not develop, the liquidity and trading price for the 2023 Notes may be harmed.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choose to redeem the 2023 Notes when prevailing interest rates are relatively low.</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or after May 31, 2016, we may choose to redeem the 2023 Notes from time to time, especially when prevailing interest rates are lower than the rate borne by the 2023 Notes. If prevailing rates are lower at the time of redemption, you would not be able to reinvest the redemption proceeds in a comparable security at an effective interest rate as high as the interest rate on the 2023 Notes being redeemed. Our redemption right also may adversely impact your ability to sell the 2023 Notes as the optional redemption date or period approaches.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the 2023 Notes.</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Any default under the agreements governing our indebtedness, including a default under the Credit Facility or other indebtedness to which we may be a party that is not waived by the required lenders, and the remedies sought by the holders of such indebtedness could make us unable to pay principal, premium, if any, and interest on the 2023 Notes and substantially decrease the market value of the 2023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including the 2023 Notes. In the event of such default, the holders of such indebtedness could elect to declare all the funds borrowed thereunder to be due and payable, together with accrued and unpaid interest, the lender under the Credit Facility or other debt we may incur in the future could elect to terminate its commitment, cease making further loans and institute foreclosure proceedings against our assets, and we could be forced into bankruptcy or liquidation. In addition, any such default may constitute a default under the 2023 Notes, which could further limit our ability to repay our debt, including the 2023 Notes. If our operating performance declines, we may in the future need to seek to obtain waivers from the lender under the Credit Facility or other debt that we may incur in the future to avoid being in default. If we breach our covenants under the Credit Facility or other debt and seek a waiver, we may not be able to obtain a waiver from the required lenders. If this occurs, we would be in default under the Credit Facility or other debt, the lender could exercise its rights as described above, and we could be forced into bankruptcy or liquidation. If we are unable to repay debt, lenders having secured obligations could proceed against the collateral securing the debt. Because the Credit Facility has, and any future credit facilities will likely have, customary cross-default provisions, if the indebtedness under the 2023 Notes, the Credit Facility or under any future credit facility is accelerated, we may be unable to repay or finance the amounts due.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do not own any real estate or other physical properties important to our operations, however, an affiliate of our investment adviser leases office space for our executive offices at 535 Madison Avenue, New York, New York 10022.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Neither we nor our wholly-owned subsidiaries, Saratoga Investment Funding LLC and Saratoga Investment Corp. SBIC LP, are currently subject to any material legal proceedings.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Our common stock is traded on the New York Stock Exchange under the symbol “SAR.” Prior to July 30, 2010, our common stock traded on the New York Stock Exchange under the symbol “GNV.” The following table sets forth, for the two most recent fiscal years and the current fiscal year, the net asset value (“NAV”) at each period end and the range of high and low sales prices of our common stock as reported on the New York Stock Exchange. The net asset value per share and high and low sales prices listed below reflect the 1:10 reverse stock split that occurred on August 12, 2010.</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7140" w:type="dxa"/>
            <w:vAlign w:val="bottom"/>
            <w:gridSpan w:val="3"/>
          </w:tcPr>
          <w:p>
            <w:pPr>
              <w:spacing w:after="0"/>
              <w:rPr>
                <w:sz w:val="20"/>
                <w:szCs w:val="20"/>
                <w:color w:val="auto"/>
              </w:rPr>
            </w:pPr>
            <w:r>
              <w:rPr>
                <w:rFonts w:ascii="Arial" w:cs="Arial" w:eastAsia="Arial" w:hAnsi="Arial"/>
                <w:sz w:val="14"/>
                <w:szCs w:val="14"/>
                <w:b w:val="1"/>
                <w:bCs w:val="1"/>
                <w:color w:val="auto"/>
              </w:rPr>
              <w:t>Fiscal Year ended February 29, 2016</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NAV(1)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High</w:t>
            </w:r>
          </w:p>
        </w:tc>
        <w:tc>
          <w:tcPr>
            <w:tcW w:w="200" w:type="dxa"/>
            <w:vAlign w:val="bottom"/>
          </w:tcPr>
          <w:p>
            <w:pPr>
              <w:spacing w:after="0"/>
              <w:rPr>
                <w:sz w:val="16"/>
                <w:szCs w:val="16"/>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210"/>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$22.75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$17.95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$15.28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$22.42</w:t>
            </w:r>
          </w:p>
        </w:tc>
        <w:tc>
          <w:tcPr>
            <w:tcW w:w="28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0"/>
              </w:rPr>
              <w:t>$17.68</w:t>
            </w:r>
          </w:p>
        </w:tc>
        <w:tc>
          <w:tcPr>
            <w:tcW w:w="760" w:type="dxa"/>
            <w:vAlign w:val="bottom"/>
            <w:gridSpan w:val="3"/>
          </w:tcPr>
          <w:p>
            <w:pPr>
              <w:ind w:left="200"/>
              <w:spacing w:after="0"/>
              <w:rPr>
                <w:sz w:val="20"/>
                <w:szCs w:val="20"/>
                <w:color w:val="auto"/>
              </w:rPr>
            </w:pPr>
            <w:r>
              <w:rPr>
                <w:rFonts w:ascii="Arial" w:cs="Arial" w:eastAsia="Arial" w:hAnsi="Arial"/>
                <w:sz w:val="18"/>
                <w:szCs w:val="18"/>
                <w:color w:val="auto"/>
                <w:w w:val="98"/>
              </w:rPr>
              <w:t>$15.56</w:t>
            </w: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$22.59</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$16.65</w:t>
            </w:r>
          </w:p>
        </w:tc>
        <w:tc>
          <w:tcPr>
            <w:tcW w:w="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8"/>
              </w:rPr>
              <w:t>$14.92</w:t>
            </w:r>
          </w:p>
        </w:tc>
      </w:tr>
      <w:tr>
        <w:trPr>
          <w:trHeight w:val="230"/>
        </w:trPr>
        <w:tc>
          <w:tcPr>
            <w:tcW w:w="7140" w:type="dxa"/>
            <w:vAlign w:val="bottom"/>
            <w:gridSpan w:val="3"/>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$22.06</w:t>
            </w:r>
          </w:p>
        </w:tc>
        <w:tc>
          <w:tcPr>
            <w:tcW w:w="28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0"/>
              </w:rPr>
              <w:t>$15.93</w:t>
            </w:r>
          </w:p>
        </w:tc>
        <w:tc>
          <w:tcPr>
            <w:tcW w:w="760" w:type="dxa"/>
            <w:vAlign w:val="bottom"/>
            <w:gridSpan w:val="3"/>
          </w:tcPr>
          <w:p>
            <w:pPr>
              <w:ind w:left="200"/>
              <w:spacing w:after="0"/>
              <w:rPr>
                <w:sz w:val="20"/>
                <w:szCs w:val="20"/>
                <w:color w:val="auto"/>
              </w:rPr>
            </w:pPr>
            <w:r>
              <w:rPr>
                <w:rFonts w:ascii="Arial" w:cs="Arial" w:eastAsia="Arial" w:hAnsi="Arial"/>
                <w:sz w:val="18"/>
                <w:szCs w:val="18"/>
                <w:color w:val="auto"/>
                <w:w w:val="98"/>
              </w:rPr>
              <w:t>$13.50</w:t>
            </w:r>
          </w:p>
        </w:tc>
      </w:tr>
      <w:tr>
        <w:trPr>
          <w:trHeight w:val="364"/>
        </w:trPr>
        <w:tc>
          <w:tcPr>
            <w:tcW w:w="7140" w:type="dxa"/>
            <w:vAlign w:val="bottom"/>
            <w:gridSpan w:val="3"/>
          </w:tcPr>
          <w:p>
            <w:pPr>
              <w:spacing w:after="0"/>
              <w:rPr>
                <w:sz w:val="20"/>
                <w:szCs w:val="20"/>
                <w:color w:val="auto"/>
              </w:rPr>
            </w:pPr>
            <w:r>
              <w:rPr>
                <w:rFonts w:ascii="Arial" w:cs="Arial" w:eastAsia="Arial" w:hAnsi="Arial"/>
                <w:sz w:val="14"/>
                <w:szCs w:val="14"/>
                <w:b w:val="1"/>
                <w:bCs w:val="1"/>
                <w:color w:val="auto"/>
              </w:rPr>
              <w:t>Fiscal Year ended February 28, 2017</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NAV(1)</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High</w:t>
            </w:r>
          </w:p>
        </w:tc>
        <w:tc>
          <w:tcPr>
            <w:tcW w:w="200" w:type="dxa"/>
            <w:vAlign w:val="bottom"/>
          </w:tcPr>
          <w:p>
            <w:pPr>
              <w:spacing w:after="0"/>
              <w:rPr>
                <w:sz w:val="24"/>
                <w:szCs w:val="2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210"/>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$22.11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$16.84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$14.03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$22.39</w:t>
            </w:r>
          </w:p>
        </w:tc>
        <w:tc>
          <w:tcPr>
            <w:tcW w:w="28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0"/>
              </w:rPr>
              <w:t>$18.15</w:t>
            </w:r>
          </w:p>
        </w:tc>
        <w:tc>
          <w:tcPr>
            <w:tcW w:w="760" w:type="dxa"/>
            <w:vAlign w:val="bottom"/>
            <w:gridSpan w:val="3"/>
          </w:tcPr>
          <w:p>
            <w:pPr>
              <w:ind w:left="200"/>
              <w:spacing w:after="0"/>
              <w:rPr>
                <w:sz w:val="20"/>
                <w:szCs w:val="20"/>
                <w:color w:val="auto"/>
              </w:rPr>
            </w:pPr>
            <w:r>
              <w:rPr>
                <w:rFonts w:ascii="Arial" w:cs="Arial" w:eastAsia="Arial" w:hAnsi="Arial"/>
                <w:sz w:val="18"/>
                <w:szCs w:val="18"/>
                <w:color w:val="auto"/>
                <w:w w:val="98"/>
              </w:rPr>
              <w:t>$16.37</w:t>
            </w: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$22.21</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$20.24</w:t>
            </w:r>
          </w:p>
        </w:tc>
        <w:tc>
          <w:tcPr>
            <w:tcW w:w="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8"/>
              </w:rPr>
              <w:t>$17.20</w:t>
            </w:r>
          </w:p>
        </w:tc>
      </w:tr>
      <w:tr>
        <w:trPr>
          <w:trHeight w:val="230"/>
        </w:trPr>
        <w:tc>
          <w:tcPr>
            <w:tcW w:w="7140" w:type="dxa"/>
            <w:vAlign w:val="bottom"/>
            <w:gridSpan w:val="3"/>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$21.97</w:t>
            </w:r>
          </w:p>
        </w:tc>
        <w:tc>
          <w:tcPr>
            <w:tcW w:w="28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0"/>
              </w:rPr>
              <w:t>$23.30</w:t>
            </w:r>
          </w:p>
        </w:tc>
        <w:tc>
          <w:tcPr>
            <w:tcW w:w="760" w:type="dxa"/>
            <w:vAlign w:val="bottom"/>
            <w:gridSpan w:val="3"/>
          </w:tcPr>
          <w:p>
            <w:pPr>
              <w:ind w:left="200"/>
              <w:spacing w:after="0"/>
              <w:rPr>
                <w:sz w:val="20"/>
                <w:szCs w:val="20"/>
                <w:color w:val="auto"/>
              </w:rPr>
            </w:pPr>
            <w:r>
              <w:rPr>
                <w:rFonts w:ascii="Arial" w:cs="Arial" w:eastAsia="Arial" w:hAnsi="Arial"/>
                <w:sz w:val="18"/>
                <w:szCs w:val="18"/>
                <w:color w:val="auto"/>
                <w:w w:val="98"/>
              </w:rPr>
              <w:t>$18.12</w:t>
            </w:r>
          </w:p>
        </w:tc>
      </w:tr>
      <w:tr>
        <w:trPr>
          <w:trHeight w:val="364"/>
        </w:trPr>
        <w:tc>
          <w:tcPr>
            <w:tcW w:w="7140" w:type="dxa"/>
            <w:vAlign w:val="bottom"/>
            <w:gridSpan w:val="3"/>
          </w:tcPr>
          <w:p>
            <w:pPr>
              <w:spacing w:after="0"/>
              <w:rPr>
                <w:sz w:val="20"/>
                <w:szCs w:val="20"/>
                <w:color w:val="auto"/>
              </w:rPr>
            </w:pPr>
            <w:r>
              <w:rPr>
                <w:rFonts w:ascii="Arial" w:cs="Arial" w:eastAsia="Arial" w:hAnsi="Arial"/>
                <w:sz w:val="14"/>
                <w:szCs w:val="14"/>
                <w:b w:val="1"/>
                <w:bCs w:val="1"/>
                <w:color w:val="auto"/>
              </w:rPr>
              <w:t>Fiscal Year ending February 28, 2018</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NAV(1)</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High</w:t>
            </w:r>
          </w:p>
        </w:tc>
        <w:tc>
          <w:tcPr>
            <w:tcW w:w="200" w:type="dxa"/>
            <w:vAlign w:val="bottom"/>
          </w:tcPr>
          <w:p>
            <w:pPr>
              <w:spacing w:after="0"/>
              <w:rPr>
                <w:sz w:val="24"/>
                <w:szCs w:val="2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210"/>
        </w:trPr>
        <w:tc>
          <w:tcPr>
            <w:tcW w:w="2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7"/>
              </w:rPr>
              <w:t>First Quarter through May 15,</w:t>
            </w:r>
          </w:p>
        </w:tc>
        <w:tc>
          <w:tcPr>
            <w:tcW w:w="4820" w:type="dxa"/>
            <w:vAlign w:val="bottom"/>
            <w:tcBorders>
              <w:top w:val="single" w:sz="8" w:color="CCEEFF"/>
            </w:tcBorders>
            <w:shd w:val="clear" w:color="auto" w:fill="CCEEFF"/>
          </w:tcPr>
          <w:p>
            <w:pPr>
              <w:jc w:val="right"/>
              <w:ind w:right="4485"/>
              <w:spacing w:after="0"/>
              <w:rPr>
                <w:sz w:val="20"/>
                <w:szCs w:val="20"/>
                <w:color w:val="auto"/>
              </w:rPr>
            </w:pPr>
            <w:r>
              <w:rPr>
                <w:rFonts w:ascii="Arial" w:cs="Arial" w:eastAsia="Arial" w:hAnsi="Arial"/>
                <w:sz w:val="15"/>
                <w:szCs w:val="15"/>
                <w:color w:val="auto"/>
                <w:w w:val="71"/>
              </w:rPr>
              <w:t>2017</w:t>
            </w:r>
          </w:p>
        </w:tc>
        <w:tc>
          <w:tcPr>
            <w:tcW w:w="50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4"/>
              </w:rPr>
              <w:t>*</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$23.60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$20.54</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determinable at the time of filing.</w:t>
      </w:r>
    </w:p>
    <w:p>
      <w:pPr>
        <w:spacing w:after="0" w:line="23" w:lineRule="exact"/>
        <w:rPr>
          <w:sz w:val="20"/>
          <w:szCs w:val="20"/>
          <w:color w:val="auto"/>
        </w:rPr>
      </w:pPr>
    </w:p>
    <w:p>
      <w:pPr>
        <w:ind w:left="460" w:right="40" w:hanging="452"/>
        <w:spacing w:after="0" w:line="261"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net asset value per share on the date of the high and low closing sales prices. The net asset values shown are based on outstanding shares at the end of each period.</w:t>
      </w:r>
    </w:p>
    <w:p>
      <w:pPr>
        <w:spacing w:after="0" w:line="18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September 24, 2014, we announced the approval of an open market share repurchase plan that allows it to repurchase up to 200,000 shares of our common stock at prices below its NAV as reported in our then most recently published consolidated financial statements. On October 7, 2015, our board of directors extended the open market share repurchase plan for another year and increased the number of shares we are permitted to repurchase at prices below our NAV, as reported in our then most recently published consolidated financial statements, to 400,000 shares of our common stock. On October 5, 2016, our board of directors extended the open market share repurchase plan for another year to October 15, 2017 and increased the number of shares we are permitted to repurchase at prices below our NAV, as reported in our then most recently published consolidated financial statements, to 600,000 shares of its common stock. As shown in the table below, as of February 28, 2017, we had purchased 218,491 shares of common stock pursuant to this repurchase plan.</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3"/>
              </w:rPr>
              <w:t>Total Number of Shares</w:t>
            </w:r>
          </w:p>
        </w:tc>
        <w:tc>
          <w:tcPr>
            <w:tcW w:w="1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(or Units) Purchased as</w:t>
            </w:r>
          </w:p>
        </w:tc>
        <w:tc>
          <w:tcPr>
            <w:tcW w:w="1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Shares (or Units) that May Yet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Be</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180" w:type="dxa"/>
            <w:vAlign w:val="bottom"/>
            <w:vMerge w:val="restart"/>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24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per Share</w:t>
            </w: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Purchased Under the Plans</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(or Unit)</w:t>
            </w:r>
          </w:p>
        </w:tc>
        <w:tc>
          <w:tcPr>
            <w:tcW w:w="198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1"/>
              </w:rPr>
              <w:t>Programs</w:t>
            </w:r>
          </w:p>
        </w:tc>
        <w:tc>
          <w:tcPr>
            <w:tcW w:w="194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1, 2015 through November 30, 2015</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center"/>
              <w:ind w:left="276"/>
              <w:spacing w:after="0" w:line="203" w:lineRule="exact"/>
              <w:rPr>
                <w:sz w:val="20"/>
                <w:szCs w:val="20"/>
                <w:color w:val="auto"/>
              </w:rPr>
            </w:pPr>
            <w:r>
              <w:rPr>
                <w:rFonts w:ascii="Arial" w:cs="Arial" w:eastAsia="Arial" w:hAnsi="Arial"/>
                <w:sz w:val="18"/>
                <w:szCs w:val="18"/>
                <w:color w:val="auto"/>
                <w:w w:val="88"/>
              </w:rPr>
              <w:t>15.59</w:t>
            </w:r>
          </w:p>
        </w:tc>
        <w:tc>
          <w:tcPr>
            <w:tcW w:w="4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w:t>
            </w:r>
          </w:p>
        </w:tc>
        <w:tc>
          <w:tcPr>
            <w:tcW w:w="50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397,500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December 1, 2015 through December 31,</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ind w:left="180"/>
              <w:spacing w:after="0"/>
              <w:rPr>
                <w:sz w:val="20"/>
                <w:szCs w:val="20"/>
                <w:color w:val="auto"/>
              </w:rPr>
            </w:pPr>
            <w:r>
              <w:rPr>
                <w:rFonts w:ascii="Arial" w:cs="Arial" w:eastAsia="Arial" w:hAnsi="Arial"/>
                <w:sz w:val="18"/>
                <w:szCs w:val="18"/>
                <w:color w:val="auto"/>
              </w:rPr>
              <w:t>2015</w:t>
            </w: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jc w:val="right"/>
              <w:ind w:right="500"/>
              <w:spacing w:after="0"/>
              <w:rPr>
                <w:sz w:val="20"/>
                <w:szCs w:val="20"/>
                <w:color w:val="auto"/>
              </w:rPr>
            </w:pPr>
            <w:r>
              <w:rPr>
                <w:rFonts w:ascii="Arial" w:cs="Arial" w:eastAsia="Arial" w:hAnsi="Arial"/>
                <w:sz w:val="18"/>
                <w:szCs w:val="18"/>
                <w:color w:val="auto"/>
              </w:rPr>
              <w:t>2,500</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397,500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2016 through January 31, 2016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13.86</w:t>
            </w:r>
          </w:p>
        </w:tc>
        <w:tc>
          <w:tcPr>
            <w:tcW w:w="1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6,700</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393,300</w:t>
            </w: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February 1, 2016 through February 29,</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ind w:left="180"/>
              <w:spacing w:after="0"/>
              <w:rPr>
                <w:sz w:val="20"/>
                <w:szCs w:val="20"/>
                <w:color w:val="auto"/>
              </w:rPr>
            </w:pPr>
            <w:r>
              <w:rPr>
                <w:rFonts w:ascii="Arial" w:cs="Arial" w:eastAsia="Arial" w:hAnsi="Arial"/>
                <w:sz w:val="18"/>
                <w:szCs w:val="18"/>
                <w:color w:val="auto"/>
              </w:rPr>
              <w:t>2016</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18,717</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13.86</w:t>
            </w:r>
          </w:p>
        </w:tc>
        <w:tc>
          <w:tcPr>
            <w:tcW w:w="1980" w:type="dxa"/>
            <w:vAlign w:val="bottom"/>
            <w:gridSpan w:val="2"/>
          </w:tcPr>
          <w:p>
            <w:pPr>
              <w:jc w:val="right"/>
              <w:ind w:right="500"/>
              <w:spacing w:after="0"/>
              <w:rPr>
                <w:sz w:val="20"/>
                <w:szCs w:val="20"/>
                <w:color w:val="auto"/>
              </w:rPr>
            </w:pPr>
            <w:r>
              <w:rPr>
                <w:rFonts w:ascii="Arial" w:cs="Arial" w:eastAsia="Arial" w:hAnsi="Arial"/>
                <w:sz w:val="18"/>
                <w:szCs w:val="18"/>
                <w:color w:val="auto"/>
              </w:rPr>
              <w:t>25,417</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374,583</w:t>
            </w: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w w:val="79"/>
              </w:rPr>
              <w:t>47</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Total Number of Shares</w:t>
            </w:r>
          </w:p>
        </w:tc>
        <w:tc>
          <w:tcPr>
            <w:tcW w:w="1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Total Number of</w:t>
            </w:r>
          </w:p>
        </w:tc>
        <w:tc>
          <w:tcPr>
            <w:tcW w:w="140" w:type="dxa"/>
            <w:vAlign w:val="bottom"/>
          </w:tcPr>
          <w:p>
            <w:pPr>
              <w:spacing w:after="0"/>
              <w:rPr>
                <w:sz w:val="12"/>
                <w:szCs w:val="12"/>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(or Units) Purchased as</w:t>
            </w:r>
          </w:p>
        </w:tc>
        <w:tc>
          <w:tcPr>
            <w:tcW w:w="19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Shares (or Units)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Be</w:t>
            </w:r>
          </w:p>
        </w:tc>
        <w:tc>
          <w:tcPr>
            <w:tcW w:w="0" w:type="dxa"/>
            <w:vAlign w:val="bottom"/>
          </w:tcPr>
          <w:p>
            <w:pPr>
              <w:spacing w:after="0"/>
              <w:rPr>
                <w:sz w:val="1"/>
                <w:szCs w:val="1"/>
                <w:color w:val="auto"/>
              </w:rPr>
            </w:pPr>
          </w:p>
        </w:tc>
      </w:tr>
      <w:tr>
        <w:trPr>
          <w:trHeight w:val="149"/>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5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per Share</w:t>
            </w:r>
          </w:p>
        </w:tc>
        <w:tc>
          <w:tcPr>
            <w:tcW w:w="1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Announced Plans or</w:t>
            </w:r>
          </w:p>
        </w:tc>
        <w:tc>
          <w:tcPr>
            <w:tcW w:w="1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Purchased Under the Plans</w:t>
            </w:r>
          </w:p>
        </w:tc>
        <w:tc>
          <w:tcPr>
            <w:tcW w:w="0" w:type="dxa"/>
            <w:vAlign w:val="bottom"/>
          </w:tcPr>
          <w:p>
            <w:pPr>
              <w:spacing w:after="0"/>
              <w:rPr>
                <w:sz w:val="1"/>
                <w:szCs w:val="1"/>
                <w:color w:val="auto"/>
              </w:rPr>
            </w:pPr>
          </w:p>
        </w:tc>
      </w:tr>
      <w:tr>
        <w:trPr>
          <w:trHeight w:val="171"/>
        </w:trPr>
        <w:tc>
          <w:tcPr>
            <w:tcW w:w="3560" w:type="dxa"/>
            <w:vAlign w:val="bottom"/>
            <w:gridSpan w:val="3"/>
            <w:vMerge w:val="continue"/>
          </w:tcPr>
          <w:p>
            <w:pPr>
              <w:spacing w:after="0"/>
              <w:rPr>
                <w:sz w:val="14"/>
                <w:szCs w:val="14"/>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Purchased</w:t>
            </w:r>
          </w:p>
        </w:tc>
        <w:tc>
          <w:tcPr>
            <w:tcW w:w="14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(or Unit)</w:t>
            </w:r>
          </w:p>
        </w:tc>
        <w:tc>
          <w:tcPr>
            <w:tcW w:w="19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Programs</w:t>
            </w:r>
          </w:p>
        </w:tc>
        <w:tc>
          <w:tcPr>
            <w:tcW w:w="1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5"/>
              </w:rPr>
              <w:t>March</w:t>
            </w:r>
          </w:p>
        </w:tc>
        <w:tc>
          <w:tcPr>
            <w:tcW w:w="3140" w:type="dxa"/>
            <w:vAlign w:val="bottom"/>
            <w:tcBorders>
              <w:top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4"/>
              </w:rPr>
              <w:t>1, 2016 through March 31, 2016</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16,282</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5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41,699</w:t>
            </w:r>
          </w:p>
        </w:tc>
        <w:tc>
          <w:tcPr>
            <w:tcW w:w="5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April 1, 2016 through April 30, 2016</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7,858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16.22</w:t>
            </w: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49,557</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350,443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2016 through May 31, 2016</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21,357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16.29</w:t>
            </w: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70,914</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June 1, 2016 through June 30, 2016</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8,310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16.50</w:t>
            </w: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79,224</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320,776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2016 through July 31, 2016</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19,212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17.31</w:t>
            </w: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98,436</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August 1, 2016 through August 31, 2016</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40,058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17.44</w:t>
            </w:r>
          </w:p>
        </w:tc>
        <w:tc>
          <w:tcPr>
            <w:tcW w:w="1460" w:type="dxa"/>
            <w:vAlign w:val="bottom"/>
          </w:tcPr>
          <w:p>
            <w:pPr>
              <w:jc w:val="right"/>
              <w:spacing w:after="0"/>
              <w:rPr>
                <w:sz w:val="20"/>
                <w:szCs w:val="20"/>
                <w:color w:val="auto"/>
              </w:rPr>
            </w:pPr>
            <w:r>
              <w:rPr>
                <w:rFonts w:ascii="Arial" w:cs="Arial" w:eastAsia="Arial" w:hAnsi="Arial"/>
                <w:sz w:val="18"/>
                <w:szCs w:val="18"/>
                <w:color w:val="auto"/>
              </w:rPr>
              <w:t>138,494</w:t>
            </w:r>
          </w:p>
        </w:tc>
        <w:tc>
          <w:tcPr>
            <w:tcW w:w="52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261,506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September 1, 2016 through September 30,</w:t>
            </w: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jc w:val="right"/>
              <w:ind w:right="2930"/>
              <w:spacing w:after="0"/>
              <w:rPr>
                <w:sz w:val="20"/>
                <w:szCs w:val="20"/>
                <w:color w:val="auto"/>
              </w:rPr>
            </w:pPr>
            <w:r>
              <w:rPr>
                <w:rFonts w:ascii="Arial" w:cs="Arial" w:eastAsia="Arial" w:hAnsi="Arial"/>
                <w:sz w:val="18"/>
                <w:szCs w:val="18"/>
                <w:color w:val="auto"/>
              </w:rPr>
              <w:t>2016</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40,221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18.04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178,715</w:t>
            </w:r>
          </w:p>
        </w:tc>
        <w:tc>
          <w:tcPr>
            <w:tcW w:w="52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October 1, 2016 through October 31, 2016</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27,076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18.10</w:t>
            </w:r>
          </w:p>
        </w:tc>
        <w:tc>
          <w:tcPr>
            <w:tcW w:w="1460" w:type="dxa"/>
            <w:vAlign w:val="bottom"/>
          </w:tcPr>
          <w:p>
            <w:pPr>
              <w:jc w:val="right"/>
              <w:spacing w:after="0"/>
              <w:rPr>
                <w:sz w:val="20"/>
                <w:szCs w:val="20"/>
                <w:color w:val="auto"/>
              </w:rPr>
            </w:pPr>
            <w:r>
              <w:rPr>
                <w:rFonts w:ascii="Arial" w:cs="Arial" w:eastAsia="Arial" w:hAnsi="Arial"/>
                <w:sz w:val="18"/>
                <w:szCs w:val="18"/>
                <w:color w:val="auto"/>
              </w:rPr>
              <w:t>205,791</w:t>
            </w:r>
          </w:p>
        </w:tc>
        <w:tc>
          <w:tcPr>
            <w:tcW w:w="52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394,209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November 1, 2016 through November 30,</w:t>
            </w: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jc w:val="right"/>
              <w:ind w:right="2930"/>
              <w:spacing w:after="0"/>
              <w:rPr>
                <w:sz w:val="20"/>
                <w:szCs w:val="20"/>
                <w:color w:val="auto"/>
              </w:rPr>
            </w:pPr>
            <w:r>
              <w:rPr>
                <w:rFonts w:ascii="Arial" w:cs="Arial" w:eastAsia="Arial" w:hAnsi="Arial"/>
                <w:sz w:val="18"/>
                <w:szCs w:val="18"/>
                <w:color w:val="auto"/>
              </w:rPr>
              <w:t>2016</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18.24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214,391</w:t>
            </w:r>
          </w:p>
        </w:tc>
        <w:tc>
          <w:tcPr>
            <w:tcW w:w="52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385,609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December 1, 2016 through December 31,</w:t>
            </w: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jc w:val="right"/>
              <w:ind w:right="2930"/>
              <w:spacing w:after="0"/>
              <w:rPr>
                <w:sz w:val="20"/>
                <w:szCs w:val="20"/>
                <w:color w:val="auto"/>
              </w:rPr>
            </w:pPr>
            <w:r>
              <w:rPr>
                <w:rFonts w:ascii="Arial" w:cs="Arial" w:eastAsia="Arial" w:hAnsi="Arial"/>
                <w:sz w:val="18"/>
                <w:szCs w:val="18"/>
                <w:color w:val="auto"/>
              </w:rPr>
              <w:t>2016</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4,100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18.57</w:t>
            </w:r>
          </w:p>
        </w:tc>
        <w:tc>
          <w:tcPr>
            <w:tcW w:w="1460" w:type="dxa"/>
            <w:vAlign w:val="bottom"/>
          </w:tcPr>
          <w:p>
            <w:pPr>
              <w:jc w:val="right"/>
              <w:spacing w:after="0"/>
              <w:rPr>
                <w:sz w:val="20"/>
                <w:szCs w:val="20"/>
                <w:color w:val="auto"/>
              </w:rPr>
            </w:pPr>
            <w:r>
              <w:rPr>
                <w:rFonts w:ascii="Arial" w:cs="Arial" w:eastAsia="Arial" w:hAnsi="Arial"/>
                <w:sz w:val="18"/>
                <w:szCs w:val="18"/>
                <w:color w:val="auto"/>
              </w:rPr>
              <w:t>218,491</w:t>
            </w:r>
          </w:p>
        </w:tc>
        <w:tc>
          <w:tcPr>
            <w:tcW w:w="520" w:type="dxa"/>
            <w:vAlign w:val="bottom"/>
          </w:tcPr>
          <w:p>
            <w:pPr>
              <w:spacing w:after="0"/>
              <w:rPr>
                <w:sz w:val="20"/>
                <w:szCs w:val="20"/>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381,509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2017 through January 31, 2017</w:t>
            </w:r>
          </w:p>
        </w:tc>
        <w:tc>
          <w:tcPr>
            <w:tcW w:w="15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218,491</w:t>
            </w:r>
          </w:p>
        </w:tc>
        <w:tc>
          <w:tcPr>
            <w:tcW w:w="5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381,509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February 1, 2017 through February 28,</w:t>
            </w: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60" w:type="dxa"/>
            <w:vAlign w:val="bottom"/>
            <w:gridSpan w:val="3"/>
          </w:tcPr>
          <w:p>
            <w:pPr>
              <w:jc w:val="right"/>
              <w:ind w:right="2930"/>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218,491</w:t>
            </w:r>
          </w:p>
        </w:tc>
        <w:tc>
          <w:tcPr>
            <w:tcW w:w="520" w:type="dxa"/>
            <w:vAlign w:val="bottom"/>
          </w:tcPr>
          <w:p>
            <w:pPr>
              <w:spacing w:after="0"/>
              <w:rPr>
                <w:sz w:val="20"/>
                <w:szCs w:val="20"/>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381,509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218,491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16.87</w:t>
            </w: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The last reported price for our common stock on May 15, 2017 was $22.48 per share. As of May 15, 2017, there were 21 holders of record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dividends or distributions declared during fiscal 2009, 2010, 2011, 2012, 2013, 2014, 2015, 2016 and 2017:</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04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Record Date</w:t>
            </w:r>
          </w:p>
        </w:tc>
        <w:tc>
          <w:tcPr>
            <w:tcW w:w="380" w:type="dxa"/>
            <w:vAlign w:val="bottom"/>
          </w:tcPr>
          <w:p>
            <w:pPr>
              <w:spacing w:after="0"/>
              <w:rPr>
                <w:sz w:val="14"/>
                <w:szCs w:val="14"/>
                <w:color w:val="auto"/>
              </w:rPr>
            </w:pPr>
          </w:p>
        </w:tc>
        <w:tc>
          <w:tcPr>
            <w:tcW w:w="14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Payment Date</w:t>
            </w:r>
          </w:p>
        </w:tc>
        <w:tc>
          <w:tcPr>
            <w:tcW w:w="38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880" w:type="dxa"/>
            <w:vAlign w:val="bottom"/>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16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22, 2008</w:t>
            </w:r>
          </w:p>
        </w:tc>
        <w:tc>
          <w:tcPr>
            <w:tcW w:w="116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May 30, 2008</w:t>
            </w:r>
          </w:p>
        </w:tc>
        <w:tc>
          <w:tcPr>
            <w:tcW w:w="38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June 13, 2008</w:t>
            </w:r>
          </w:p>
        </w:tc>
        <w:tc>
          <w:tcPr>
            <w:tcW w:w="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August 19, 2008</w:t>
            </w:r>
          </w:p>
        </w:tc>
        <w:tc>
          <w:tcPr>
            <w:tcW w:w="2600" w:type="dxa"/>
            <w:vAlign w:val="bottom"/>
            <w:gridSpan w:val="2"/>
          </w:tcPr>
          <w:p>
            <w:pPr>
              <w:ind w:left="1160"/>
              <w:spacing w:after="0"/>
              <w:rPr>
                <w:sz w:val="20"/>
                <w:szCs w:val="20"/>
                <w:color w:val="auto"/>
              </w:rPr>
            </w:pPr>
            <w:r>
              <w:rPr>
                <w:rFonts w:ascii="Arial" w:cs="Arial" w:eastAsia="Arial" w:hAnsi="Arial"/>
                <w:sz w:val="18"/>
                <w:szCs w:val="18"/>
                <w:color w:val="auto"/>
              </w:rPr>
              <w:t>August 29, 2008</w:t>
            </w:r>
          </w:p>
        </w:tc>
        <w:tc>
          <w:tcPr>
            <w:tcW w:w="1820" w:type="dxa"/>
            <w:vAlign w:val="bottom"/>
            <w:gridSpan w:val="2"/>
          </w:tcPr>
          <w:p>
            <w:pPr>
              <w:ind w:left="380"/>
              <w:spacing w:after="0"/>
              <w:rPr>
                <w:sz w:val="20"/>
                <w:szCs w:val="20"/>
                <w:color w:val="auto"/>
              </w:rPr>
            </w:pPr>
            <w:r>
              <w:rPr>
                <w:rFonts w:ascii="Arial" w:cs="Arial" w:eastAsia="Arial" w:hAnsi="Arial"/>
                <w:sz w:val="18"/>
                <w:szCs w:val="18"/>
                <w:color w:val="auto"/>
                <w:w w:val="87"/>
              </w:rPr>
              <w:t>September 15, 2008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8, 2008</w:t>
            </w:r>
          </w:p>
        </w:tc>
        <w:tc>
          <w:tcPr>
            <w:tcW w:w="26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89"/>
              </w:rPr>
              <w:t>December 18, 2008</w:t>
            </w:r>
          </w:p>
        </w:tc>
        <w:tc>
          <w:tcPr>
            <w:tcW w:w="1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December 29, 2008</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Total Dividends Declared for Fiscal 2009</w:t>
            </w:r>
          </w:p>
        </w:tc>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10.30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13, 2009</w:t>
            </w:r>
          </w:p>
        </w:tc>
        <w:tc>
          <w:tcPr>
            <w:tcW w:w="26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89"/>
              </w:rPr>
              <w:t>November 25, 2009</w:t>
            </w:r>
          </w:p>
        </w:tc>
        <w:tc>
          <w:tcPr>
            <w:tcW w:w="1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December 31, 2009</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18.25(1)</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Total Dividends Declared for Fiscal 2010</w:t>
            </w:r>
          </w:p>
        </w:tc>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18.25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12, 2010</w:t>
            </w:r>
          </w:p>
        </w:tc>
        <w:tc>
          <w:tcPr>
            <w:tcW w:w="26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89"/>
              </w:rPr>
              <w:t>November 19, 2010</w:t>
            </w:r>
          </w:p>
        </w:tc>
        <w:tc>
          <w:tcPr>
            <w:tcW w:w="1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December 29, 2010</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Total Dividends Declared for Fiscal 2011</w:t>
            </w:r>
          </w:p>
        </w:tc>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15, 2011</w:t>
            </w:r>
          </w:p>
        </w:tc>
        <w:tc>
          <w:tcPr>
            <w:tcW w:w="26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89"/>
              </w:rPr>
              <w:t>November 25, 2011</w:t>
            </w:r>
          </w:p>
        </w:tc>
        <w:tc>
          <w:tcPr>
            <w:tcW w:w="1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December 30, 2011</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Total Dividends Declared for Fiscal 2012</w:t>
            </w:r>
          </w:p>
        </w:tc>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9, 2012</w:t>
            </w:r>
          </w:p>
        </w:tc>
        <w:tc>
          <w:tcPr>
            <w:tcW w:w="26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89"/>
              </w:rPr>
              <w:t>November 20, 2012</w:t>
            </w:r>
          </w:p>
        </w:tc>
        <w:tc>
          <w:tcPr>
            <w:tcW w:w="1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December 31, 2012</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372"/>
        </w:trPr>
        <w:tc>
          <w:tcPr>
            <w:tcW w:w="8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60" w:type="dxa"/>
            <w:vAlign w:val="bottom"/>
          </w:tcPr>
          <w:p>
            <w:pPr>
              <w:ind w:left="780"/>
              <w:spacing w:after="0"/>
              <w:rPr>
                <w:sz w:val="20"/>
                <w:szCs w:val="20"/>
                <w:color w:val="auto"/>
              </w:rPr>
            </w:pPr>
            <w:r>
              <w:rPr>
                <w:rFonts w:ascii="Arial" w:cs="Arial" w:eastAsia="Arial" w:hAnsi="Arial"/>
                <w:sz w:val="18"/>
                <w:szCs w:val="18"/>
                <w:color w:val="auto"/>
              </w:rPr>
              <w:t>48</w:t>
            </w: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49" w:name="page50"/>
    <w:bookmarkEnd w:id="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12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7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 for Fiscal 2013</w:t>
            </w:r>
          </w:p>
        </w:tc>
        <w:tc>
          <w:tcPr>
            <w:tcW w:w="2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0" w:type="dxa"/>
            <w:vAlign w:val="bottom"/>
            <w:gridSpan w:val="3"/>
            <w:vMerge w:val="restart"/>
          </w:tcPr>
          <w:p>
            <w:pPr>
              <w:spacing w:after="0"/>
              <w:rPr>
                <w:sz w:val="20"/>
                <w:szCs w:val="20"/>
                <w:color w:val="auto"/>
              </w:rPr>
            </w:pPr>
            <w:r>
              <w:rPr>
                <w:rFonts w:ascii="Arial" w:cs="Arial" w:eastAsia="Arial" w:hAnsi="Arial"/>
                <w:sz w:val="18"/>
                <w:szCs w:val="18"/>
                <w:color w:val="auto"/>
              </w:rPr>
              <w:t>October 30, 2013</w:t>
            </w:r>
          </w:p>
        </w:tc>
        <w:tc>
          <w:tcPr>
            <w:tcW w:w="2720" w:type="dxa"/>
            <w:vAlign w:val="bottom"/>
            <w:vMerge w:val="restart"/>
          </w:tcPr>
          <w:p>
            <w:pPr>
              <w:ind w:left="1080"/>
              <w:spacing w:after="0"/>
              <w:rPr>
                <w:sz w:val="20"/>
                <w:szCs w:val="20"/>
                <w:color w:val="auto"/>
              </w:rPr>
            </w:pPr>
            <w:r>
              <w:rPr>
                <w:rFonts w:ascii="Arial" w:cs="Arial" w:eastAsia="Arial" w:hAnsi="Arial"/>
                <w:sz w:val="18"/>
                <w:szCs w:val="18"/>
                <w:color w:val="auto"/>
              </w:rPr>
              <w:t>November 13, 2013</w:t>
            </w:r>
          </w:p>
        </w:tc>
        <w:tc>
          <w:tcPr>
            <w:tcW w:w="1980" w:type="dxa"/>
            <w:vAlign w:val="bottom"/>
            <w:vMerge w:val="restart"/>
          </w:tcPr>
          <w:p>
            <w:pPr>
              <w:ind w:left="200"/>
              <w:spacing w:after="0"/>
              <w:rPr>
                <w:sz w:val="20"/>
                <w:szCs w:val="20"/>
                <w:color w:val="auto"/>
              </w:rPr>
            </w:pPr>
            <w:r>
              <w:rPr>
                <w:rFonts w:ascii="Arial" w:cs="Arial" w:eastAsia="Arial" w:hAnsi="Arial"/>
                <w:sz w:val="18"/>
                <w:szCs w:val="18"/>
                <w:color w:val="auto"/>
              </w:rPr>
              <w:t>December 27, 2013</w:t>
            </w: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tcPr>
          <w:p>
            <w:pPr>
              <w:spacing w:after="0"/>
              <w:rPr>
                <w:sz w:val="18"/>
                <w:szCs w:val="18"/>
                <w:color w:val="auto"/>
              </w:rPr>
            </w:pPr>
          </w:p>
        </w:tc>
        <w:tc>
          <w:tcPr>
            <w:tcW w:w="4200" w:type="dxa"/>
            <w:vAlign w:val="bottom"/>
            <w:gridSpan w:val="3"/>
            <w:vMerge w:val="continue"/>
          </w:tcPr>
          <w:p>
            <w:pPr>
              <w:spacing w:after="0"/>
              <w:rPr>
                <w:sz w:val="18"/>
                <w:szCs w:val="18"/>
                <w:color w:val="auto"/>
              </w:rPr>
            </w:pPr>
          </w:p>
        </w:tc>
        <w:tc>
          <w:tcPr>
            <w:tcW w:w="272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 for Fiscal 2014</w:t>
            </w:r>
          </w:p>
        </w:tc>
        <w:tc>
          <w:tcPr>
            <w:tcW w:w="2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00" w:type="dxa"/>
            <w:vAlign w:val="bottom"/>
            <w:gridSpan w:val="3"/>
            <w:vMerge w:val="restart"/>
          </w:tcPr>
          <w:p>
            <w:pPr>
              <w:spacing w:after="0"/>
              <w:rPr>
                <w:sz w:val="20"/>
                <w:szCs w:val="20"/>
                <w:color w:val="auto"/>
              </w:rPr>
            </w:pPr>
            <w:r>
              <w:rPr>
                <w:rFonts w:ascii="Arial" w:cs="Arial" w:eastAsia="Arial" w:hAnsi="Arial"/>
                <w:sz w:val="18"/>
                <w:szCs w:val="18"/>
                <w:color w:val="auto"/>
              </w:rPr>
              <w:t>September 24, 2014</w:t>
            </w:r>
          </w:p>
        </w:tc>
        <w:tc>
          <w:tcPr>
            <w:tcW w:w="2720" w:type="dxa"/>
            <w:vAlign w:val="bottom"/>
            <w:vMerge w:val="restart"/>
          </w:tcPr>
          <w:p>
            <w:pPr>
              <w:ind w:left="1080"/>
              <w:spacing w:after="0"/>
              <w:rPr>
                <w:sz w:val="20"/>
                <w:szCs w:val="20"/>
                <w:color w:val="auto"/>
              </w:rPr>
            </w:pPr>
            <w:r>
              <w:rPr>
                <w:rFonts w:ascii="Arial" w:cs="Arial" w:eastAsia="Arial" w:hAnsi="Arial"/>
                <w:sz w:val="18"/>
                <w:szCs w:val="18"/>
                <w:color w:val="auto"/>
              </w:rPr>
              <w:t>October 30, 2014</w:t>
            </w:r>
          </w:p>
        </w:tc>
        <w:tc>
          <w:tcPr>
            <w:tcW w:w="1980" w:type="dxa"/>
            <w:vAlign w:val="bottom"/>
            <w:vMerge w:val="restart"/>
          </w:tcPr>
          <w:p>
            <w:pPr>
              <w:ind w:left="200"/>
              <w:spacing w:after="0"/>
              <w:rPr>
                <w:sz w:val="20"/>
                <w:szCs w:val="20"/>
                <w:color w:val="auto"/>
              </w:rPr>
            </w:pPr>
            <w:r>
              <w:rPr>
                <w:rFonts w:ascii="Arial" w:cs="Arial" w:eastAsia="Arial" w:hAnsi="Arial"/>
                <w:sz w:val="18"/>
                <w:szCs w:val="18"/>
                <w:color w:val="auto"/>
              </w:rPr>
              <w:t>November 28, 2014</w:t>
            </w: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200" w:type="dxa"/>
            <w:vAlign w:val="bottom"/>
            <w:gridSpan w:val="3"/>
            <w:vMerge w:val="continue"/>
          </w:tcPr>
          <w:p>
            <w:pPr>
              <w:spacing w:after="0"/>
              <w:rPr>
                <w:sz w:val="18"/>
                <w:szCs w:val="18"/>
                <w:color w:val="auto"/>
              </w:rPr>
            </w:pPr>
          </w:p>
        </w:tc>
        <w:tc>
          <w:tcPr>
            <w:tcW w:w="272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$0.18(1)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24, 2014</w:t>
            </w:r>
          </w:p>
        </w:tc>
        <w:tc>
          <w:tcPr>
            <w:tcW w:w="2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January 29, 2015</w:t>
            </w: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27, 2015</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0.22(1)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Total Dividends Declared for Fiscal 2015</w:t>
            </w:r>
          </w:p>
        </w:tc>
        <w:tc>
          <w:tcPr>
            <w:tcW w:w="27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0.40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9, 2015</w:t>
            </w:r>
          </w:p>
        </w:tc>
        <w:tc>
          <w:tcPr>
            <w:tcW w:w="2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May 4, 2015</w:t>
            </w: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29, 2015</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$0.27(1)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May 14, 2015</w:t>
            </w:r>
          </w:p>
        </w:tc>
        <w:tc>
          <w:tcPr>
            <w:tcW w:w="2720" w:type="dxa"/>
            <w:vAlign w:val="bottom"/>
          </w:tcPr>
          <w:p>
            <w:pPr>
              <w:ind w:left="1080"/>
              <w:spacing w:after="0"/>
              <w:rPr>
                <w:sz w:val="20"/>
                <w:szCs w:val="20"/>
                <w:color w:val="auto"/>
              </w:rPr>
            </w:pPr>
            <w:r>
              <w:rPr>
                <w:rFonts w:ascii="Arial" w:cs="Arial" w:eastAsia="Arial" w:hAnsi="Arial"/>
                <w:sz w:val="18"/>
                <w:szCs w:val="18"/>
                <w:color w:val="auto"/>
              </w:rPr>
              <w:t>May 26, 2015</w:t>
            </w:r>
          </w:p>
        </w:tc>
        <w:tc>
          <w:tcPr>
            <w:tcW w:w="1980" w:type="dxa"/>
            <w:vAlign w:val="bottom"/>
          </w:tcPr>
          <w:p>
            <w:pPr>
              <w:ind w:left="200"/>
              <w:spacing w:after="0"/>
              <w:rPr>
                <w:sz w:val="20"/>
                <w:szCs w:val="20"/>
                <w:color w:val="auto"/>
              </w:rPr>
            </w:pPr>
            <w:r>
              <w:rPr>
                <w:rFonts w:ascii="Arial" w:cs="Arial" w:eastAsia="Arial" w:hAnsi="Arial"/>
                <w:sz w:val="18"/>
                <w:szCs w:val="18"/>
                <w:color w:val="auto"/>
              </w:rPr>
              <w:t>June 5, 2015</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8, 2015</w:t>
            </w:r>
          </w:p>
        </w:tc>
        <w:tc>
          <w:tcPr>
            <w:tcW w:w="2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August 3, 2015</w:t>
            </w: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August 31, 2015</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0.33(1)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October 7, 2015</w:t>
            </w:r>
          </w:p>
        </w:tc>
        <w:tc>
          <w:tcPr>
            <w:tcW w:w="2720" w:type="dxa"/>
            <w:vAlign w:val="bottom"/>
          </w:tcPr>
          <w:p>
            <w:pPr>
              <w:ind w:left="1080"/>
              <w:spacing w:after="0"/>
              <w:rPr>
                <w:sz w:val="20"/>
                <w:szCs w:val="20"/>
                <w:color w:val="auto"/>
              </w:rPr>
            </w:pPr>
            <w:r>
              <w:rPr>
                <w:rFonts w:ascii="Arial" w:cs="Arial" w:eastAsia="Arial" w:hAnsi="Arial"/>
                <w:sz w:val="18"/>
                <w:szCs w:val="18"/>
                <w:color w:val="auto"/>
              </w:rPr>
              <w:t>November 2, 2015</w:t>
            </w:r>
          </w:p>
        </w:tc>
        <w:tc>
          <w:tcPr>
            <w:tcW w:w="1980" w:type="dxa"/>
            <w:vAlign w:val="bottom"/>
          </w:tcPr>
          <w:p>
            <w:pPr>
              <w:ind w:left="200"/>
              <w:spacing w:after="0"/>
              <w:rPr>
                <w:sz w:val="20"/>
                <w:szCs w:val="20"/>
                <w:color w:val="auto"/>
              </w:rPr>
            </w:pPr>
            <w:r>
              <w:rPr>
                <w:rFonts w:ascii="Arial" w:cs="Arial" w:eastAsia="Arial" w:hAnsi="Arial"/>
                <w:sz w:val="18"/>
                <w:szCs w:val="18"/>
                <w:color w:val="auto"/>
              </w:rPr>
              <w:t>November 30, 2015</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12, 2016</w:t>
            </w:r>
          </w:p>
        </w:tc>
        <w:tc>
          <w:tcPr>
            <w:tcW w:w="2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February 1, 2016</w:t>
            </w: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29, 2016</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0.40(1)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Total Dividends Declared for Fiscal 2016</w:t>
            </w:r>
          </w:p>
        </w:tc>
        <w:tc>
          <w:tcPr>
            <w:tcW w:w="27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2016</w:t>
            </w:r>
          </w:p>
        </w:tc>
        <w:tc>
          <w:tcPr>
            <w:tcW w:w="2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April 15, 2016</w:t>
            </w: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27, 2016</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$0.41(1)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July 7, 2016</w:t>
            </w:r>
          </w:p>
        </w:tc>
        <w:tc>
          <w:tcPr>
            <w:tcW w:w="2720" w:type="dxa"/>
            <w:vAlign w:val="bottom"/>
          </w:tcPr>
          <w:p>
            <w:pPr>
              <w:ind w:left="1080"/>
              <w:spacing w:after="0"/>
              <w:rPr>
                <w:sz w:val="20"/>
                <w:szCs w:val="20"/>
                <w:color w:val="auto"/>
              </w:rPr>
            </w:pPr>
            <w:r>
              <w:rPr>
                <w:rFonts w:ascii="Arial" w:cs="Arial" w:eastAsia="Arial" w:hAnsi="Arial"/>
                <w:sz w:val="18"/>
                <w:szCs w:val="18"/>
                <w:color w:val="auto"/>
              </w:rPr>
              <w:t>July 29, 2016</w:t>
            </w:r>
          </w:p>
        </w:tc>
        <w:tc>
          <w:tcPr>
            <w:tcW w:w="1980" w:type="dxa"/>
            <w:vAlign w:val="bottom"/>
          </w:tcPr>
          <w:p>
            <w:pPr>
              <w:ind w:left="200"/>
              <w:spacing w:after="0"/>
              <w:rPr>
                <w:sz w:val="20"/>
                <w:szCs w:val="20"/>
                <w:color w:val="auto"/>
              </w:rPr>
            </w:pPr>
            <w:r>
              <w:rPr>
                <w:rFonts w:ascii="Arial" w:cs="Arial" w:eastAsia="Arial" w:hAnsi="Arial"/>
                <w:sz w:val="18"/>
                <w:szCs w:val="18"/>
                <w:color w:val="auto"/>
              </w:rPr>
              <w:t>August 9, 2016</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0.43(1)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8, 2016</w:t>
            </w:r>
          </w:p>
        </w:tc>
        <w:tc>
          <w:tcPr>
            <w:tcW w:w="2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August 24, 2016</w:t>
            </w: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5, 2016</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0.20(1)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October 5, 2016</w:t>
            </w:r>
          </w:p>
        </w:tc>
        <w:tc>
          <w:tcPr>
            <w:tcW w:w="2720" w:type="dxa"/>
            <w:vAlign w:val="bottom"/>
          </w:tcPr>
          <w:p>
            <w:pPr>
              <w:ind w:left="1080"/>
              <w:spacing w:after="0"/>
              <w:rPr>
                <w:sz w:val="20"/>
                <w:szCs w:val="20"/>
                <w:color w:val="auto"/>
              </w:rPr>
            </w:pPr>
            <w:r>
              <w:rPr>
                <w:rFonts w:ascii="Arial" w:cs="Arial" w:eastAsia="Arial" w:hAnsi="Arial"/>
                <w:sz w:val="18"/>
                <w:szCs w:val="18"/>
                <w:color w:val="auto"/>
              </w:rPr>
              <w:t>October 31, 2016</w:t>
            </w:r>
          </w:p>
        </w:tc>
        <w:tc>
          <w:tcPr>
            <w:tcW w:w="1980" w:type="dxa"/>
            <w:vAlign w:val="bottom"/>
          </w:tcPr>
          <w:p>
            <w:pPr>
              <w:ind w:left="200"/>
              <w:spacing w:after="0"/>
              <w:rPr>
                <w:sz w:val="20"/>
                <w:szCs w:val="20"/>
                <w:color w:val="auto"/>
              </w:rPr>
            </w:pPr>
            <w:r>
              <w:rPr>
                <w:rFonts w:ascii="Arial" w:cs="Arial" w:eastAsia="Arial" w:hAnsi="Arial"/>
                <w:sz w:val="18"/>
                <w:szCs w:val="18"/>
                <w:color w:val="auto"/>
              </w:rPr>
              <w:t>November 9, 2016</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0.44(1)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12, 2017</w:t>
            </w:r>
          </w:p>
        </w:tc>
        <w:tc>
          <w:tcPr>
            <w:tcW w:w="2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January 31, 2017</w:t>
            </w: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9, 2017</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0.45(1)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Total Dividends Declared for Fiscal 2017</w:t>
            </w:r>
          </w:p>
        </w:tc>
        <w:tc>
          <w:tcPr>
            <w:tcW w:w="27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28, 2017</w:t>
            </w:r>
          </w:p>
        </w:tc>
        <w:tc>
          <w:tcPr>
            <w:tcW w:w="2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March 15, 2017</w:t>
            </w: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28, 2017</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0.46(1)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Total Dividends Declared for Fiscal 2018</w:t>
            </w:r>
          </w:p>
        </w:tc>
        <w:tc>
          <w:tcPr>
            <w:tcW w:w="27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0.46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6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dividend was paid by combination of shares of common stock and cash. Please see the discussion immediately following this table for more detail about the composition of this dividend.</w:t>
      </w:r>
    </w:p>
    <w:p>
      <w:pPr>
        <w:spacing w:after="0" w:line="17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distributions, if any, will be determined by our board of directors and paid out of assets legally available for distribution. Any such distributions generally will be taxable to our stockholders, including to those stockholders who receive additional shares of our common stock pursuant to our dividend reinvestment plan. Prior to January 2009, we paid quarterly dividends to our stockholders. However, in January 2009, we suspended the practice of paying quarterly dividends to our stockholders and thereafter, paid five annual dividend distributions (December 2013, 2012, 2011, 2010 and 2009) to our stockholders since such time, which distributions were made with a combination of cash and the issuance of shares of our common stock as discussed more fully below.</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September 24, 2014, we announced the recommencement of quarterly dividends to our stockholders. We have adopted a dividend reinvestment plan (“DRIP”) that provides for reinvestment of our dividend distributions on behalf of our stockholders unless a stockholder elects to receive cash. As a result, if our board of directors authorizes, and we declare, a cash dividend, then our stockholders who have not “opted out” of the DRIP by the dividend record date will have their cash dividends automatically reinvested into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193"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are prohibited from making distributions that cause us to fail to maintain the asset coverage ratios stipulated by the 1940 Act, subject to certain exceptions, or that violate our debt covenants.</w:t>
      </w:r>
    </w:p>
    <w:p>
      <w:pPr>
        <w:spacing w:after="0" w:line="17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order to maintain our qualification as a RIC, we must for each fiscal year distribute an amount equal to at least 90.0% of our ordinary net taxable income and realized net short-term capital gains in excess of realized net long-term capital losses, if any, reduced by deductible expenses. In addition, we will be subject to federal excise taxes to the extent we do not distribute during the calendar year at least (1) 98.0% of our ordinary income for the calendar year,</w:t>
      </w:r>
    </w:p>
    <w:p>
      <w:pPr>
        <w:ind w:right="120" w:firstLine="8"/>
        <w:spacing w:after="0" w:line="271" w:lineRule="auto"/>
        <w:tabs>
          <w:tab w:leader="none" w:pos="2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98.2% of our capital gains in excess of capital losses for the one year period ending on October 31 of the calendar year and (3) any ordinary income and net capital gains for preceding years that were not distributed during such years and on which we paid no federal income tax. For the 2015 calendar year, the Company made distributions sufficient such that we did not incur any federal excise taxes. We may elect to withhold from distribution a portion of our ordinary income for the 2016 calendar year and/or portion of the capital gains in excess of capital losses realized during the one year period ending October 31, 2016, if any, and, if we do so, we would expect to incur federal excise taxes as a result.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46"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Pursuant to a revenue procedure (Revenue Procedure 2010-12), or the Revenue Procedure, issued by the Internal Revenue Service, or IRS, the IRS indicated that it would treat distributions from certain publicly traded RICs (including BDCs) that were paid part in cash and part in stock as dividends that would satisfy the RIC’s annual distribution requirements and qualify for the dividends paid deduction for federal income tax purposes. In order to qualify for such treatment, the Revenue Procedure required that at least 10.0% of the total distribution be payable in cash and that each stockholder have a right to elect to receive its entire distribution in cash. If too many stockholders elected to receive cash, each stockholder electing to receive cash must receive a proportionate share of the cash to be distributed (although no stockholder electing to receive cash may receive less than 10.0% of such stockholder’s distribution in cash). This Revenue Procedure applied to distributions declared on or before December 31, 2012 with respect to taxable years ending on or before December 31, 2011.</w:t>
      </w:r>
    </w:p>
    <w:p>
      <w:pPr>
        <w:spacing w:after="0" w:line="192"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Although this Revenue Procedure is no longer available and did not apply to our distributions for our fiscal year ended February 28, 2017, the revenue procedure was based upon certain applicable provisions of the Code and the Treasury regulations pursuant to which distributions payable in cash or in shares of stock at the election of stockholders are treated as taxable dividends. Consistent with these provisions, the IRS has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w:t>
      </w:r>
    </w:p>
    <w:p>
      <w:pPr>
        <w:spacing w:after="0" w:line="17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On September 24, 2014, we announced the approval of an open market share repurchase plan that allows it to repurchase up to 200,000 shares of our common stock at prices below our NAV as reported in its then most recently published consolidated financial statements, which was subsequently increased to 400,000 shares of our common stock. On October 5, 2016, our board of directors extended the open market share repurchase plan for another year to October 15, 2017 and increased the number of shares we are permitted to repurchase at prices below our NAV, as reported in its then most recently published consolidated financial statements, to 600,000 shares of our common stock. As of February 28, 2017, we purchased 218,491 shares of common stock, at the average price of $16.87 for approximately $3.7 million pursuant to this repurchase plan.</w:t>
      </w:r>
    </w:p>
    <w:p>
      <w:pPr>
        <w:spacing w:after="0" w:line="178"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On February 28, 2017, our board of directors declared a dividend of $0.46 per share, which was paid on March 28, 2017, to common stockholders of record as of March 15, 2017. Shareholders had the option to receive payment of the dividend in cash, or receive shares of common stock, pursuant our DRIP.</w:t>
      </w:r>
    </w:p>
    <w:p>
      <w:pPr>
        <w:spacing w:after="0" w:line="12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$2.0 million in cash and 29,096 newly issued shares of common stock, or 0.5% of our outstanding common stock prior to the dividend payment. The number of shares of common stock comprising the stock portion was calculated based on a price of $21.38 per share, which equaled the volume weighted average trading price per share of the common stock on March 15, 16, 17, 20, 21, 22, 23, 24, 27 and 28, 2017.</w:t>
      </w:r>
    </w:p>
    <w:p>
      <w:pPr>
        <w:spacing w:after="0" w:line="18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On January 12, 2017, our board of directors declared a dividend of $0.45 per share, which was paid on February 9, 2017, to common stockholders of record as of January 31, 2017. Shareholders had the option to receive payment of the dividend in cash, or receive shares of common stock, pursuant our DRIP.</w:t>
      </w:r>
    </w:p>
    <w:p>
      <w:pPr>
        <w:spacing w:after="0" w:line="12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$1.6 million in cash and 50,453 newly issued shares of common stock, or 0.9% of our outstanding common stock prior to the dividend payment. The number of shares of common stock comprising the stock portion was calculated based on a price of $20.25 per share, which equaled the volume weighted average trading price per share of the common stock on January 27, 30, 31 and February 1, 2, 3, 6, 7, 8 and 9, 2017.</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October 5, 2016, our board of directors declared a dividend of $0.44 per share, which was paid on November 9, 2016, to common stockholders of record as of October 31, 2016. Shareholders had the option to receive payment of the dividend in cash, or receive shares of common stock, pursuant our DRIP.</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$1.5 million in cash and 58,548 newly issued shares of common stock, or 1.0% of our outstanding common stock prior to the dividend payment. The number of shares of common stock comprising the stock portion was calculated based on a price of $17.12 per share, which equaled the volume weighted average trading price per share of the common stock on October 27, 28, 31 and November 1, 2, 3, 4, 7, 8 and 9, 2016.</w:t>
      </w:r>
    </w:p>
    <w:p>
      <w:pPr>
        <w:spacing w:after="0" w:line="18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On August 8, 2016, our board of directors declared a special dividend of $0.20 per share, which was paid on September 5, 2016, to common stockholders of record as of August 24, 2016. Shareholders had the option to receive payment of the dividend in cash, or receive shares of common stock, pursuant our DRIP.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$0.7 million in cash and 24,786 newly issued shares of common stock, or 0.4% of our outstanding common stock prior to the dividend payment. The number of shares of common stock comprising the stock portion was calculated based on a price of $17.06 per share, which equaled the volume weighted average trading price per share of the common stock on August 22, 23, 24, 25, 26, 29, 30, 31 and September 1 and 2, 2016.</w:t>
      </w:r>
    </w:p>
    <w:p>
      <w:pPr>
        <w:spacing w:after="0" w:line="18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On July 7, 2016, our board of directors declared a dividend of $0.43 per share, which was paid on August 9, 2016, to common stockholders of record as of July 29, 2016. Shareholders had the option to receive payment of the dividend in cash, or receive shares of common stock, pursuant our DRIP.</w:t>
      </w:r>
    </w:p>
    <w:p>
      <w:pPr>
        <w:spacing w:after="0" w:line="12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$1.5 million in cash and 58,167 newly issued shares of common stock, or 1.0% of our outstanding common stock prior to the dividend payment. The number of shares of common stock comprising the stock portion was calculated based on a price of $16.32 per share, which equaled the volume weighted average trading price per share of the common stock on July 27, 28, 29 and August 1, 2, 3, 4, 5, 8 and 9, 2016.</w:t>
      </w:r>
    </w:p>
    <w:p>
      <w:pPr>
        <w:spacing w:after="0" w:line="18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On March 31, 2016, our board of directors declared a dividend of $0.41 per share payable on April 27, 2016, to common stockholders of record on April 15, 2016. Shareholders had the option to receive payment of the dividend in cash, or receive shares of common stock, pursuant our DRIP.</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$1.5 million in cash and 56,728 newly issued shares of common stock, or 1.0% of our outstanding common stock prior to the dividend payment. The number of shares of common stock comprising the stock portion was calculated based on a price of $15.43 per share, which equaled the volume weighted average trading price per share of the common stock on April 14, 15, 18, 19, 20, 21, 22, 25, 26 and 27, 2016.</w:t>
      </w:r>
    </w:p>
    <w:p>
      <w:pPr>
        <w:spacing w:after="0" w:line="187"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On January 12, 2016, our board of directors declared a dividend of $0.40 per share payable on February 29, 2016, to all stockholders of record on February 1, 2016. Shareholders had the option to receive payment of the dividend in cash, or receive shares of common stock, pursuant to our DRIP.</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$1.4 million in cash and 66,765 newly issued shares of common stock, or 1.2% of our outstanding common stock prior to the dividend payment. The number of shares of common stock comprising the stock portion was calculated based on a price of $13.11 per share, which equaled the volume weighted average trading price per share of the common stock on February 16, 17, 18, 19, 22, 23, 24, 25, 26 and 29, 2016.</w:t>
      </w:r>
    </w:p>
    <w:p>
      <w:pPr>
        <w:spacing w:after="0" w:line="18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On October 7, 2015, our board of directors declared a dividend of $0.36 per share payable on November 30, 2015, to common stockholders of record on November 2, 2015. Shareholders had the option to receive payment of the dividend in cash, or receive shares of common stock, pursuant our DRIP.</w:t>
      </w:r>
    </w:p>
    <w:p>
      <w:pPr>
        <w:spacing w:after="0" w:line="12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$1.1 million in cash and 61,029 newly issued shares of common stock, or 1.1% of our outstanding common stock prior to the dividend payment. The number of shares of common stock comprising the stock portion was calculated based on a price of $14.53 per share, which equaled the volume weighted average trading price per share of the common stock on November 16, 17, 18, 19, 20, 23, 24, 25, 27 and 30, 2015.</w:t>
      </w:r>
    </w:p>
    <w:p>
      <w:pPr>
        <w:spacing w:after="0" w:line="187"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On July 8, 2015, our board of directors declared a dividend of $0.33 per share payable on August 31, 2015, to common stockholders of record on August 3, 2015. Shareholders had the option to receive payment of the dividend in cash, or receive shares of common stock, pursuant our DRIP.</w:t>
      </w:r>
    </w:p>
    <w:p>
      <w:pPr>
        <w:spacing w:after="0" w:line="12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$1.1 million in cash and 47,861 newly issued shares of common stock, or 0.9% of our outstanding common stock prior to the dividend payment. The number of shares of common stock comprising the stock portion was calculated based on a price of $15.28 per share, which equaled the volume weighted average trading price per share of the common stock on August 18, 19, 20, 21, 24, 25, 26, 27, 28 and 31, 2015.</w:t>
      </w:r>
    </w:p>
    <w:p>
      <w:pPr>
        <w:spacing w:after="0" w:line="18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On May 14, 2015, our board of directors declared a special dividend of $1.00 per share payable on June 5, 2015, to common stockholders of record on May 26, 2015. Shareholders had the option to receive payment of the dividend in cash, or receive shares of common stock, pursuant our DRIP.</w:t>
      </w:r>
    </w:p>
    <w:p>
      <w:pPr>
        <w:spacing w:after="0" w:line="12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$3.4 million in cash and 126,230 newly issued shares of common stock, or 2.3% of our outstanding common stock prior to the dividend payment. The number of shares of common stock comprising the stock portion was calculated based on a price of $16.47 per share, which equaled the volume weighted average trading price per share of the common stock on May 22, 26, 27, 28, 29 and June 1, 2, 3, 4, and 5, 2015.</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On April 9, 2015, our board of directors declared a dividend of $0.27 per share payable on May 29, 2015, to common stockholders of record on May 4, 2015. Shareholders had the option to receive payment of the dividend in cash, or receive shares of common stock, pursuant our DRIP.</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$0.9 million in cash and 33,766 newly issued shares of common stock, or 0.6% of our outstanding common stock prior to the dividend payment. The number of shares of common stock comprising the stock portion was calculated based on a price of $16.78 per share, which equaled the volume weighted average trading price per share of the common stock on May 15, 18, 19, 20, 21, 22, 26, 27, 28 and 29, 2015.</w:t>
      </w:r>
    </w:p>
    <w:p>
      <w:pPr>
        <w:spacing w:after="0" w:line="18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On September 24, 2014, our board of directors declared a dividend of $0.22 per share payable on February 27, 2015, to common stockholders of record on February 2, 2015. Shareholders have the option to receive payment of the dividend in cash, or receive shares of common stock, pursuant to our DRIP.</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$0.8 million in cash and 26,858 newly issued shares of common stock, or 0.5% of our outstanding common stock prior to the dividend payment. The number of shares of common stock comprising the stock portion was calculated based on a price of $14.97 per share, which equaled the volume weighted average trading price per share of the common stock on February 13, 17, 18, 19, 20, 23, 24, 25, 26 and 27, 2015.</w:t>
      </w:r>
    </w:p>
    <w:p>
      <w:pPr>
        <w:spacing w:after="0" w:line="18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On September 24, 2014, our board of directors declared a dividend of $0.18 per share payable on November 28, 2014, to common stockholders of record on November 3, 2014. Shareholders had the option to receive payment of the dividend in cash, or receive shares of common stock pursuant to our DRIP.</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$0.6 million in cash and 22,283 newly issued shares of common stock, or 0.4% of our outstanding common stock prior to the dividend payment. The number of shares of common stock comprising the stock portion was calculated based on a price of $14.37 per share, which equaled the volume weighted average trading price per share of the common stock on November 14, 17, 18, 19, 20, 21, 24, 25, 26 and 28, 2014.</w:t>
      </w:r>
    </w:p>
    <w:p>
      <w:pPr>
        <w:spacing w:after="0" w:line="18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On October 30, 2013, our board of directors declared a dividend of $2.65 per share payable on December 27, 2013, to common stockholders of record on November 13, 2013. Shareholders had the option to receive payment of the dividend in cash, shares of common stock, or a combination of cash and shares of common stock, provided that the aggregate cash payable to all shareholders was limited to approximately $2.5 million or $0.53 per share.</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Based on shareholder elections, the dividend consisted of approximately $2.5 million in cash and 649,500 shares of common stock, or 13.7%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$15.439 per share, which equaled the volume weighted average trading price per share of the common stock on December 11, 13, and 16, 2013.</w:t>
      </w:r>
    </w:p>
    <w:p>
      <w:pPr>
        <w:spacing w:after="0" w:line="188"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On November 9, 2012, our board of directors declared a dividend of $4.25 per share payable on December 31, 2012, to common stockholders of record on November 20,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Based on shareholder elections, the dividend consisted of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On November 15, 2011, our board of directors declared a dividend of $3.00 per share payable on December 30, 2011, to common stockholders of record on November 25, 2011. Shareholders had the option to receive payment of the dividend in cash, shares of common stock, or a combination of cash and shares of common stock, provided that the aggregate cash payable to all shareholders was limited to $2.0 million or $0.60 per share.</w:t>
      </w:r>
    </w:p>
    <w:p>
      <w:pPr>
        <w:spacing w:after="0" w:line="166"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Based on shareholder elections, the dividend consisted of $2.0 million in cash and 599,584 shares of common stock, or 18.0% of our outstanding common stock prior to the dividend payment. The amount of cash elected to be received was greater than the cash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limit of 20.0% of the aggregate dividend amount, thus resulting in the payment of a combination of cash and stock to shareholders who elected to receive cash. The number of shares of common stock comprising the stock portion was calculated based on a price of $13.12 per share, which equaled the volume weighted average trading price per share of the common stock on December 20, 21 and 22, 2011.</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November 12, 2010, we declared a dividend of $4.40 per share which was paid on December 29, 2010. Stockholders had the option to receive payment of the dividend in cash, shares of common stock, or a combination of cash and shares of common stock, provided that the aggregate cash payable to all shareholders was limited to $1.2 million or $0.44 per share.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Based on shareholder elections, the dividend consisted of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 on a price of $17.8049 per share, which equaled the volume weighted average trading price per share of the common stock on December 20, 21 and 22, 2010.</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November 13, 2009, we declared a dividend of $18.25 per share payable on December 31, 2009. Stockholders had the option to receive payment of the dividend in cash, shares of common stock, or a combination of cash and shares of common stock, provided that the aggregate cash payable to all stockholders was limited to $2.1 million or $0.25 per share.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Based on stockholder elections, the dividend consisted of $2.1 million in cash and 864,872.5 shares of common stock, or 104.0% of our outstanding common stock prior to the dividend payment. The amount of cash elected to be received was greater than the cash limit of 13.7% of the aggregate dividend amount, thus resulting in the payment of a combination of cash and stock to stockholders who elected to receive cash. The number of shares of common stock comprising the stock portion was calculated based on a price of $1.5099 per share, which equaled the volume weighted average trading price per share of the common stock on December 24 and 28, 2009.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The following graph compares the return on our common stock with that of the Standard &amp; Poor’s 500 Stock Index and the NASDAQ Financial 100 index, for the period from March 23, 2007, the date our common stock began trading, through February 28, 2017. The graph assumes that, on March 23, 2007, a person invested $100 in each of our common stock, the Standard &amp; Poor’s 500 Stock Index and the NASDAQ Financial 100 index. The graph measures total shareholder return, which takes into account both changes in stock price and dividends. It assumes that dividends paid are reinvested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171450</wp:posOffset>
            </wp:positionV>
            <wp:extent cx="5240020" cy="2306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40020"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purchased 193,074 shares of our common stock in the open market during the year ended February 28,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following selected financial and other data as of and for the years ended February 28, 2017, February 29, 2016, February 28, 2015, February 28, 2014 and February 28, 2013 are derived from our consolidated financial statements which have been audited by Ernst &amp; Young LLP, an independent registered public accounting firm, whose report thereon is included within this Annual Report. The data should be read in conjunction with our consolidated financial statements and notes thereto, which are included elsewhere in this Annual Report, and Part II. Item 7. “Management’s Discussion and Analysis of Financial Condition and Results of Operations”.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60"/>
          </w:cols>
          <w:pgMar w:left="240" w:top="459" w:right="3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numbers)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As of and for</w:t>
            </w:r>
          </w:p>
        </w:tc>
        <w:tc>
          <w:tcPr>
            <w:tcW w:w="160" w:type="dxa"/>
            <w:vAlign w:val="bottom"/>
          </w:tcPr>
          <w:p>
            <w:pPr>
              <w:spacing w:after="0"/>
              <w:rPr>
                <w:sz w:val="14"/>
                <w:szCs w:val="14"/>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As of and for</w:t>
            </w:r>
          </w:p>
        </w:tc>
        <w:tc>
          <w:tcPr>
            <w:tcW w:w="240" w:type="dxa"/>
            <w:vAlign w:val="bottom"/>
          </w:tcPr>
          <w:p>
            <w:pPr>
              <w:spacing w:after="0"/>
              <w:rPr>
                <w:sz w:val="14"/>
                <w:szCs w:val="14"/>
                <w:color w:val="auto"/>
              </w:rPr>
            </w:pPr>
          </w:p>
        </w:tc>
        <w:tc>
          <w:tcPr>
            <w:tcW w:w="14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As of and for</w:t>
            </w:r>
          </w:p>
        </w:tc>
        <w:tc>
          <w:tcPr>
            <w:tcW w:w="14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4"/>
              </w:rPr>
              <w:t>As of and for</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As of and for</w:t>
            </w:r>
          </w:p>
        </w:tc>
      </w:tr>
      <w:tr>
        <w:trPr>
          <w:trHeight w:val="149"/>
        </w:trPr>
        <w:tc>
          <w:tcPr>
            <w:tcW w:w="4700" w:type="dxa"/>
            <w:vAlign w:val="bottom"/>
          </w:tcPr>
          <w:p>
            <w:pPr>
              <w:spacing w:after="0"/>
              <w:rPr>
                <w:sz w:val="12"/>
                <w:szCs w:val="12"/>
                <w:color w:val="auto"/>
              </w:rPr>
            </w:pPr>
          </w:p>
        </w:tc>
        <w:tc>
          <w:tcPr>
            <w:tcW w:w="12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the Year Ended</w:t>
            </w:r>
          </w:p>
        </w:tc>
        <w:tc>
          <w:tcPr>
            <w:tcW w:w="16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the Year Ended</w:t>
            </w:r>
          </w:p>
        </w:tc>
        <w:tc>
          <w:tcPr>
            <w:tcW w:w="240" w:type="dxa"/>
            <w:vAlign w:val="bottom"/>
          </w:tcPr>
          <w:p>
            <w:pPr>
              <w:spacing w:after="0"/>
              <w:rPr>
                <w:sz w:val="12"/>
                <w:szCs w:val="12"/>
                <w:color w:val="auto"/>
              </w:rPr>
            </w:pPr>
          </w:p>
        </w:tc>
        <w:tc>
          <w:tcPr>
            <w:tcW w:w="14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the Year Ended</w:t>
            </w:r>
          </w:p>
        </w:tc>
        <w:tc>
          <w:tcPr>
            <w:tcW w:w="14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the Year Ended</w:t>
            </w: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the Year Ended</w:t>
            </w:r>
          </w:p>
        </w:tc>
      </w:tr>
      <w:tr>
        <w:trPr>
          <w:trHeight w:val="149"/>
        </w:trPr>
        <w:tc>
          <w:tcPr>
            <w:tcW w:w="4700" w:type="dxa"/>
            <w:vAlign w:val="bottom"/>
          </w:tcPr>
          <w:p>
            <w:pPr>
              <w:spacing w:after="0"/>
              <w:rPr>
                <w:sz w:val="12"/>
                <w:szCs w:val="12"/>
                <w:color w:val="auto"/>
              </w:rPr>
            </w:pPr>
          </w:p>
        </w:tc>
        <w:tc>
          <w:tcPr>
            <w:tcW w:w="12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6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February 29,</w:t>
            </w:r>
          </w:p>
        </w:tc>
        <w:tc>
          <w:tcPr>
            <w:tcW w:w="240" w:type="dxa"/>
            <w:vAlign w:val="bottom"/>
          </w:tcPr>
          <w:p>
            <w:pPr>
              <w:spacing w:after="0"/>
              <w:rPr>
                <w:sz w:val="12"/>
                <w:szCs w:val="12"/>
                <w:color w:val="auto"/>
              </w:rPr>
            </w:pPr>
          </w:p>
        </w:tc>
        <w:tc>
          <w:tcPr>
            <w:tcW w:w="14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4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February 28,</w:t>
            </w:r>
          </w:p>
        </w:tc>
      </w:tr>
      <w:tr>
        <w:trPr>
          <w:trHeight w:val="171"/>
        </w:trPr>
        <w:tc>
          <w:tcPr>
            <w:tcW w:w="4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2015</w:t>
            </w:r>
          </w:p>
        </w:tc>
        <w:tc>
          <w:tcPr>
            <w:tcW w:w="5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6"/>
              </w:rPr>
              <w:t>2014</w:t>
            </w:r>
          </w:p>
        </w:tc>
        <w:tc>
          <w:tcPr>
            <w:tcW w:w="5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6"/>
              </w:rPr>
              <w:t>2013</w:t>
            </w:r>
          </w:p>
        </w:tc>
        <w:tc>
          <w:tcPr>
            <w:tcW w:w="60" w:type="dxa"/>
            <w:vAlign w:val="bottom"/>
            <w:tcBorders>
              <w:bottom w:val="single" w:sz="8" w:color="CCEEFF"/>
            </w:tcBorders>
          </w:tcPr>
          <w:p>
            <w:pPr>
              <w:spacing w:after="0"/>
              <w:rPr>
                <w:sz w:val="14"/>
                <w:szCs w:val="14"/>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 Data:</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Investment income: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29,348</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26,871</w:t>
            </w: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24,684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20,179</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14,444</w:t>
            </w: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Management fee and other income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3,809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2,691</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2,714</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2,563</w:t>
            </w:r>
          </w:p>
        </w:tc>
      </w:tr>
      <w:tr>
        <w:trPr>
          <w:trHeight w:val="27"/>
        </w:trPr>
        <w:tc>
          <w:tcPr>
            <w:tcW w:w="4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investment income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27,375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22,893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17,007</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debt financing expenses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6,084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2,540</w:t>
            </w: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w w:val="99"/>
              </w:rPr>
              <w:t>Base management and incentive management fees(1)</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7,846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6,761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6,704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4,266</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4,710</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Administrator expenses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Administrative and other</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2,896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2,866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2,328</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2,669</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2,287</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Excise tax expense</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17,701</w:t>
            </w:r>
          </w:p>
        </w:tc>
        <w:tc>
          <w:tcPr>
            <w:tcW w:w="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14,019</w:t>
            </w:r>
          </w:p>
        </w:tc>
        <w:tc>
          <w:tcPr>
            <w:tcW w:w="5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10,537</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Net investment income</w:t>
            </w: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9,674</w:t>
            </w:r>
          </w:p>
        </w:tc>
        <w:tc>
          <w:tcPr>
            <w:tcW w:w="5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8,874</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6,470</w:t>
            </w:r>
          </w:p>
        </w:tc>
        <w:tc>
          <w:tcPr>
            <w:tcW w:w="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Realized and unrealized gain (loss) on investments and</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Net realized gain from investments and derivatives</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12,368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3,276</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1,271</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r>
      <w:tr>
        <w:trPr>
          <w:trHeight w:val="202"/>
        </w:trPr>
        <w:tc>
          <w:tcPr>
            <w:tcW w:w="4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change in unrealized appreciation (depreciation)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on investments and derivatives</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(10,641)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(1,943)</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(1,648)</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7,012</w:t>
            </w: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Total net gain (loss) on investments and derivatives</w:t>
            </w: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5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7,574</w:t>
            </w:r>
          </w:p>
        </w:tc>
        <w:tc>
          <w:tcPr>
            <w:tcW w:w="60" w:type="dxa"/>
            <w:vAlign w:val="bottom"/>
          </w:tcPr>
          <w:p>
            <w:pPr>
              <w:spacing w:after="0"/>
              <w:rPr>
                <w:sz w:val="20"/>
                <w:szCs w:val="20"/>
                <w:color w:val="auto"/>
              </w:rPr>
            </w:pPr>
          </w:p>
        </w:tc>
      </w:tr>
      <w:tr>
        <w:trPr>
          <w:trHeight w:val="202"/>
        </w:trPr>
        <w:tc>
          <w:tcPr>
            <w:tcW w:w="47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increase in net assets resulting from</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7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3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11,645</w:t>
            </w: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11,007</w:t>
            </w: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8,497</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14,044</w:t>
            </w:r>
          </w:p>
        </w:tc>
      </w:tr>
      <w:tr>
        <w:trPr>
          <w:trHeight w:val="20"/>
        </w:trPr>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and for the</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w:t>
            </w:r>
          </w:p>
        </w:tc>
        <w:tc>
          <w:tcPr>
            <w:tcW w:w="1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w:t>
            </w:r>
          </w:p>
        </w:tc>
      </w:tr>
      <w:tr>
        <w:trPr>
          <w:trHeight w:val="149"/>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49"/>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February 29,</w:t>
            </w:r>
          </w:p>
        </w:tc>
        <w:tc>
          <w:tcPr>
            <w:tcW w:w="12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0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February 28,</w:t>
            </w:r>
          </w:p>
        </w:tc>
      </w:tr>
      <w:tr>
        <w:trPr>
          <w:trHeight w:val="171"/>
        </w:trPr>
        <w:tc>
          <w:tcPr>
            <w:tcW w:w="4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2017</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2016</w:t>
            </w: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2015</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4"/>
                <w:szCs w:val="14"/>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Earnings per common share—basic and diluted(2)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1.73</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3.42</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investment income per share—basic and diluted(2)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Net realized and unrealized gain (loss) per share—</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basic and diluted(2)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w w:val="99"/>
              </w:rPr>
              <w:t>Dilutive impact of dividends paid in stock on net asset</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value per share(4)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(0.71)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22.71</w:t>
            </w:r>
          </w:p>
        </w:tc>
      </w:tr>
      <w:tr>
        <w:trPr>
          <w:trHeight w:val="198"/>
        </w:trPr>
        <w:tc>
          <w:tcPr>
            <w:tcW w:w="4240" w:type="dxa"/>
            <w:vAlign w:val="bottom"/>
          </w:tcPr>
          <w:p>
            <w:pPr>
              <w:spacing w:after="0" w:line="198" w:lineRule="exact"/>
              <w:rPr>
                <w:sz w:val="20"/>
                <w:szCs w:val="20"/>
                <w:color w:val="auto"/>
              </w:rPr>
            </w:pPr>
            <w:r>
              <w:rPr>
                <w:rFonts w:ascii="Arial" w:cs="Arial" w:eastAsia="Arial" w:hAnsi="Arial"/>
                <w:sz w:val="18"/>
                <w:szCs w:val="18"/>
                <w:b w:val="1"/>
                <w:bCs w:val="1"/>
                <w:color w:val="auto"/>
                <w:w w:val="98"/>
              </w:rPr>
              <w:t>Consolidated Statements of Assets and Liabilities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4240" w:type="dxa"/>
            <w:vAlign w:val="bottom"/>
          </w:tcPr>
          <w:p>
            <w:pPr>
              <w:ind w:left="180"/>
              <w:spacing w:after="0"/>
              <w:rPr>
                <w:sz w:val="20"/>
                <w:szCs w:val="20"/>
                <w:color w:val="auto"/>
              </w:rPr>
            </w:pPr>
            <w:r>
              <w:rPr>
                <w:rFonts w:ascii="Arial" w:cs="Arial" w:eastAsia="Arial" w:hAnsi="Arial"/>
                <w:sz w:val="18"/>
                <w:szCs w:val="18"/>
                <w:b w:val="1"/>
                <w:bCs w:val="1"/>
                <w:color w:val="auto"/>
              </w:rPr>
              <w:t>Data:</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Investment assets at fair value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292,661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283,996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240,538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205,845</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155,080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Total assets(5)</w:t>
            </w: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318,651</w:t>
            </w: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295,047</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263,560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215,168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172,321</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debt outstanding(5)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181,476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160,749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132,117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94,291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58,210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Total net assets</w:t>
            </w: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127,295</w:t>
            </w: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125,150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122,599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113,428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107,438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22.71</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Common shares outstanding at end of year</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5,794,600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5,672,227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5,401,899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5,379,616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4,730,116</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Investments funded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126,935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109,191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104,872</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121,074</w:t>
            </w:r>
          </w:p>
        </w:tc>
        <w:tc>
          <w:tcPr>
            <w:tcW w:w="28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71,596</w:t>
            </w: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Principal collections related to investment repayments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121,159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68,174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73,257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71,607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21,488</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Number of investments at year end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income producing debt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investments—Non-control/Non-affiliate</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10.82%</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11.26%</w:t>
            </w: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Weighted average yield on income producing debt</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investments—Control</w:t>
            </w:r>
          </w:p>
        </w:tc>
        <w:tc>
          <w:tcPr>
            <w:tcW w:w="10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18.55%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Note 6 to the consolidated financial statements contained elsewhere herein.</w:t>
      </w:r>
    </w:p>
    <w:p>
      <w:pPr>
        <w:spacing w:after="0" w:line="23" w:lineRule="exact"/>
        <w:rPr>
          <w:rFonts w:ascii="Arial" w:cs="Arial" w:eastAsia="Arial" w:hAnsi="Arial"/>
          <w:sz w:val="18"/>
          <w:szCs w:val="18"/>
          <w:color w:val="auto"/>
        </w:rPr>
      </w:pPr>
    </w:p>
    <w:p>
      <w:pPr>
        <w:ind w:left="460" w:right="80" w:hanging="452"/>
        <w:spacing w:after="0" w:line="265"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the years ended February 28, 2017, February 29, 2016, February 28, 2015, February 28, 2014 and February 28, 2013, amounts are calculated using weighted average common shares outstanding of 5,740,450, 5,582,453, 5,385,049, 4,920,517 and 4,110,484, respectively.</w:t>
      </w: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Calculated using the shares outstanding at the ex-dividend date.</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Dilutive effect of the issuance of shares of common stock below net asset value per share in connection with the satisfaction of the Company’s annual RIC distribution requirement. See “Price Range of Common Stock and Distributions—Dividend Policy.”</w:t>
      </w:r>
    </w:p>
    <w:p>
      <w:pPr>
        <w:ind w:left="460" w:right="40" w:hanging="452"/>
        <w:spacing w:after="0" w:line="252"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As described in Note 2 to the consolidated financial statements and notes thereto, the Company has adopted the provisions of ASU 2015-03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Imputation of Interest (Subtopic 835-30): Simplifying the Presentation of Debt Issuance Costs</w:t>
      </w:r>
      <w:r>
        <w:rPr>
          <w:rFonts w:ascii="Arial" w:cs="Arial" w:eastAsia="Arial" w:hAnsi="Arial"/>
          <w:sz w:val="18"/>
          <w:szCs w:val="18"/>
          <w:color w:val="auto"/>
        </w:rPr>
        <w:t>, as of February 28, 2015. The amendments in this ASU</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that debt issuance costs related to a recognized debt liability be presented in the balance sheet as a direct deduction from the carrying amount of that debt liability consistent with debt discounts. The adoption of the provisions of ASU 2015-03 did not materially impact the Company’s consolidated financial position or results of operations. Prior period amounts for the years ended February 28, 2014 and February 28, 2013 were reclassified to conform to the current period presentation.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related notes and other financial information appearing elsewhere in this Annual Report on Form 10-K. In addition to historical information, the following discussion and other parts of this Annual Report contain forward-looking information that involves risks and uncertainties. Our actual results could differ materially from those anticipated by such forward-looking information due to the factors discussed under Part I. Item 1A. “Risk Factors” and “Note about Forward-Looking Statements” appearing elsewhere herein.</w:t>
      </w:r>
    </w:p>
    <w:p>
      <w:pPr>
        <w:spacing w:after="0" w:line="18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contained in this Annual Report on Form 10-K involve risks and uncertainties, including statements as to:</w:t>
      </w:r>
    </w:p>
    <w:p>
      <w:pPr>
        <w:spacing w:after="0" w:line="131" w:lineRule="exact"/>
        <w:rPr>
          <w:sz w:val="20"/>
          <w:szCs w:val="20"/>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660" w:right="360" w:hanging="206"/>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regulatory structure and tax treatment, including our ability to operate as a business development company (“BDC”), or to operate our small business investment company (“SBIC”) subsidiary, and to continue to qualify to be taxed as a regulated investment company (“RIC”);</w:t>
      </w:r>
    </w:p>
    <w:p>
      <w:pPr>
        <w:spacing w:after="0" w:line="29" w:lineRule="exact"/>
        <w:rPr>
          <w:rFonts w:ascii="Arial" w:cs="Arial" w:eastAsia="Arial" w:hAnsi="Arial"/>
          <w:sz w:val="16"/>
          <w:szCs w:val="16"/>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effectively administer our investments.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You should not place undue reliance on these forward-looking statements. The forward-looking statements made in this Annual Report on Form 10-K relate only to events as of the date on which the statements are made. We undertake no obligation to update any forward-looking statement to reflect events or circumstances occurring after the date of this Annual Report on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We are a Maryland corporation that has elected to be treated as a BDC under the Investment Company Act of 1940 (the “1940 Act”). Our investment objective is to generate current income and, to a lesser extent, capital appreciation from our investments. We invest primarily in leveraged loans and mezzanine debt issued by private U.S. middle market companies, which we define as companies having EBITDA of between $2 million and $50 million, both through direct lending and through participation in loan syndicates. We may also invest up to 30.0% of the portfolio in opportunistic investments in order to seek to enhance returns to stockholders. Such investments may include investments in distressed debt, which may include securities of companies in bankruptcy, foreign debt, private equity, securities of public companies that are not thinly traded and structured finance vehicles such as collateralized loan obligation funds. Although we have no current intention to do so, to the extent we invest in private equity funds, we will limit our investments in entities that are excluded from the definition of “investment company” under Section 3(c)(1) or</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Section 3(c)(7) of the 1940 Act, which includes private equity funds, to no more than 15.0% of its net assets. We have elected and qualified to be treated as a RIC under Subchapter M of the Internal Revenue Code of 1986, as amended (the “Code”).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History and Recent Developments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commenced operations, at the time known as GSC Investment Corp., on March 23, 2007 and completed an initial public offering of shares of common stock on March 28, 2007. Prior to July 30, 2010, we were externally managed and advised by GSCP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(NJ), L.P., an entity affiliated with GSC Group, Inc. In connection with the consummation of a recapitalization transaction on July 30, 2010, as described below we engaged Saratoga Investment Advisors (“SIA”) to replace GSCP (NJ), L.P. as our investment adviser and changed our name to Saratoga Investment Corp.</w:t>
      </w:r>
    </w:p>
    <w:p>
      <w:pPr>
        <w:spacing w:after="0" w:line="18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As a result of the event of default under a revolving securitized credit facility with Deutsche Bank we previously had in place, in December 2008 we engaged the investment banking firm of Stifel, Nicolaus &amp; Company to evaluate strategic transaction opportunities and consider alternatives for us. On April 14, 2010, GSC Investment Corp. entered into a stock purchase agreement with Saratoga Investment Advisors and certain of its affiliates and an assignment, assumption and novation agreement with Saratoga Investment Advisors, pursuant to which GSC Investment Corp. assumed certain rights and obligations of Saratoga Investment Advisors under a debt commitment letter Saratoga Investment Advisors received from Madison Capital Funding LLC, which indicated Madison Capital Funding’s willingness to provide GSC Investment Corp. with a $40.0 million senior secured revolving credit facility, subject to the satisfaction of certain terms and conditions. In addition, GSC Investment Corp. and GSCP (NJ), L.P. entered into a termination and release agreement, to be effective as of the closing of the transaction contemplated by the stock purchase agreement, pursuant to which GSCP (NJ), L.P., among other things, agreed to waive any and all accrued and unpaid deferred incentive management fees up to and as of the closing of the transaction contemplated by the stock purchase agreement but continued to be entitled to receive the base management fees earned through the date of the closing of the transaction contemplated by the stock purchase agreement.</w:t>
      </w:r>
    </w:p>
    <w:p>
      <w:pPr>
        <w:spacing w:after="0" w:line="183"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July 30, 2010, the transactions contemplated by the stock purchase agreement with Saratoga Investment Advisors and certain of its affiliates were completed, the private sale of 986,842 shares of our common stock for $15.0 million in aggregate purchase price to Saratoga Investment Advisors and certain of its affiliates closed, the Company entered into the Credit Facility, and the Company began doing business as Saratoga Investment Corp.</w:t>
      </w:r>
    </w:p>
    <w:p>
      <w:pPr>
        <w:spacing w:after="0" w:line="14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We used the net proceeds from the private sale transaction and a portion of the funds available to us under the Credit Facility to pay the full amount of principal and accrued interest, including default interest, outstanding under our revolving securitized credit facility with Deutsche Bank. The revolving securitized credit facility with Deutsche Bank was terminated in connection with our payment of all amounts outstanding thereunder on July 30, 2010.</w:t>
      </w:r>
    </w:p>
    <w:p>
      <w:pPr>
        <w:spacing w:after="0" w:line="14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January 2011, we registered for public resale of the 986,842 shares of our common stock issued to Saratoga Investment Advisors and certain of its affiliates.</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an SBIC license from the Small Business Administration (“SBA”).</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May 2013, we issued $48.3 million in aggregate principal amount of our 7.50% unsecured notes due 2020 (the “2020 Notes”) for net proceeds of $46.1 million after deducting underwriting commissions of $1.9 million and offering costs of $0.3 million. The proceeds included the underwriters’ full exercise of their overallotment option. Interest on these 2020 Notes is paid quarterly in arrears on February 15, May 15, August 15 and November 15, at a rate of 7.50% per year, beginning August 15, 2013. The 2020 Notes mature on May 31, 2020 and since May 31, 2016, may be redeemed in whole or in part at any time or from time to time at our option. The 2020 Notes were listed on the NYSE under the trading symbol “SAQ” with a par value of $25.00 per share. The 2020 Notes were redeemed in full on January 13, 2017.</w:t>
      </w:r>
    </w:p>
    <w:p>
      <w:pPr>
        <w:spacing w:after="0" w:line="1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May 29, 2015, we entered into a Debt Distribution Agreement with Ladenburg Thalmann &amp; Co. through which we may offer for sale, from time to time, up to $20.0 million in aggregate principal amount of the 2020 Notes through an At-the-Market (“ATM”) offering. As of February 28, 2017, the Company sold 539,725 bonds with a principal of $13,493,125 at an average price of $25.31 for aggregate net proceeds of $13,385,766 (net of transaction costs).</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December 21, 2016, we issued $74.5 million in aggregate principal amount of our 6.75% fixed-rate notes due 2023 (the “2023 Notes”) for net proceeds of $71.7 million after deducting underwriting commissions of approximately $2.3 million and offering costs of approximately $0.5 million. The issuance included the exercise of substantially all of the underwriters’ option to purchase an additional $9.8 million aggregate principal amount of 2023 Notes within 30 days. Interest on the 2023 Notes is paid quarterly in arrears on March 15, June 15, September 15 and December 15, at a rate of 6.75% per year, beginning March 30, 2017. The 2023 Notes mature on December 30, 2023, and commencing December 21, 2019, may be redeemed in whole or in part at any time or from</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time to time at our option. The net proceeds from the offering were used to repay all of the outstanding indebtedness under the 2020 Notes, which amounts to $61.8 million, and for general corporate purposes in accordance with our investment objective and strategies. The 2023 Notes are listed on the NYSE under the trading symbol “SAB” with a par value of $25.00 per share.</w:t>
      </w:r>
    </w:p>
    <w:p>
      <w:pPr>
        <w:spacing w:after="0" w:line="18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On April 2, 2015, the SBA issued a “green light” letter inviting the Company to continue the application process to obtain a license to form and operate its second SBIC subsidiary. On September 27, 2016, the SBA informed us that as part of their continued review of our application for a second license, and in order to ensure that they were reviewing the most current information available, we would need to update all previously submitted materials and invited us to reapply. As a result of this request, with which we are in the process of complying, the existing “green light” letter that the SBA issued to us has expired. If approved in the future, a second SBIC license would provide us an incremental source of long-term capital by permitting us to issue up to $150.0 million of additional SBA-guaranteed debentures in addition to the $150.0 million already approved under the first license.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preparation of financial statements in accordance with U.S. generally accepted accounting principles (“U.S. GAAP”) requires management to make certain estimates and assumptions affecting amounts reported in the Company’s consolidated financial statements. We have identified investment valuation, revenue recognition and the recognition of capital gains incentive fee expense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Valuation</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balance sheet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65"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Advisers, the audit committee of our board of directors and a third party independent valuation firm.</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5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76" w:lineRule="exact"/>
        <w:rPr>
          <w:sz w:val="20"/>
          <w:szCs w:val="20"/>
          <w:color w:val="auto"/>
        </w:rPr>
      </w:pPr>
    </w:p>
    <w:p>
      <w:pPr>
        <w:ind w:left="660" w:right="760" w:hanging="206"/>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75" w:lineRule="exact"/>
        <w:rPr>
          <w:rFonts w:ascii="Arial" w:cs="Arial" w:eastAsia="Arial" w:hAnsi="Arial"/>
          <w:sz w:val="18"/>
          <w:szCs w:val="18"/>
          <w:color w:val="auto"/>
        </w:rPr>
      </w:pPr>
    </w:p>
    <w:p>
      <w:pPr>
        <w:ind w:left="660" w:right="160" w:hanging="206"/>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independently reviews a selection of these preliminary valuations each quarter so that the valuation of each investment for which market quotes are not readily available is reviewed by the independent valuation firm at least once each fiscal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660" w:right="160" w:hanging="206"/>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and approves each preliminary valuation and Saratoga Investment Advisors and an independent valuation firm (if applicable) will supplement the preliminary valuation to reflect any comments provided by the audit committee;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680" w:hanging="206"/>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board of directors discusses the valuations and approves the fair value of each investment, in good faith, based on the input of Saratoga Investment Advisors, independent valuation firm (to the extent applicable) and the audit committee of our board of directors.</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SIA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 analysis on expected future cash flows to determine a valuation for our investment in Saratoga CLO.</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Recognition</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 of premiums on investments.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Payment-in-Kind Interest</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Company records an expense accrual relating to the capital gains incentive fee payable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generate revenue in the form of interest income and capital gains on the debt investments that we hold and capital gains, if any, on equity interests that we may acquire. We expect our debt investments, whether in the form of leveraged loans or mezzanine debt, to have terms of up to ten years, and to bear interest at either a fixed or floating rate. Interest on debt will be payable generally either quarterly or semi-annually. In some cases, our debt investments may provide for a portion of the interest to be PIK. To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extent interest is paid-in-kind, it will be payable through the increase of the principal amount of the obligation by the amount of interest due on the then-outstanding aggregate principal amount of such obligation. The principal amount of the debt and any accrued but unpaid interest will generally become due at the maturity date. In addition, we may generate revenue in the form of commitment, origination, structuring or diligence fees, fees for providing managerial assistance or investment management services and possibly consulting fees. Any such fees will be generated in connection with our investments and recognized as earned. We may also invest in preferred equity securities that pay dividends on a current basis.</w:t>
      </w:r>
    </w:p>
    <w:p>
      <w:pPr>
        <w:spacing w:after="0" w:line="17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On January 22, 2008, we entered into a collateral management agreement with Saratoga CLO, pursuant to which we act as its collateral manager. The Saratoga CLO was initially refinanced in October 2013 and its reinvestment period ended in October 2016. On November 15, 2016, we completed the second refinancing of the Saratoga CLO. The Saratoga CLO refinancing, among other things, extended its reinvestment period to October 2018, and extended its legal maturity date to October 2025. Following the refinancing, the Saratoga CLO portfolio remained at the same size and with a similar capital structure of approximately $300.0 million in aggregate principal amount of predominantly senior secured first lien term loans. In addition to refinancing its liabilities, we also purchased $4.5 million in aggregate principal amount of the Class F notes tranche of the Saratoga CLO at par, with a coupon of LIBOR plus 8.5%.</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Saratoga CLO remains effectively 100% owned and managed by Saratoga Investment Corp. Following the refinancing, we receive a base management fee of 0.10% and a subordinated management fee of 0.40% of the fee basis amount at the beginning of the collection period, paid quarterly to the extent of available proceeds. We are also entitled to an incentive management fee equal to 20.0% of excess cash flow to the extent the Saratoga CLO subordinated notes receive an internal rate of return paid in cash equal to or greater than 12.0%.</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recognize interest income on our investment in the subordinated notes of Saratoga CLO using the effective interest method,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80" w:firstLine="456"/>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and management fees, professional fees, directors and officers insurance, fees paid to independent directors and administrator expenses, including our allocable portion of our administrator’s overhead. Our investment advisory and management fees compensate our investment adviser for its work in identifying, evaluating, negotiating, closing and monitoring our investments. We bear all other costs and expenses of our operations and transactions, including those relating to:</w:t>
      </w:r>
    </w:p>
    <w:p>
      <w:pPr>
        <w:spacing w:after="0" w:line="77" w:lineRule="exact"/>
        <w:rPr>
          <w:sz w:val="20"/>
          <w:szCs w:val="20"/>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expenses incurred by our investment adviser payable to third parties, including agents, consultants or other advisers, in monitoring our financial and legal affairs and in monitoring our investments and performing due diligence on our prospective portfolio companies;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expenses incurred by our investment adviser payable for travel and due diligence on our prospective portfolio companies;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fees payable to third parties, including agents, consultants or other advisers, relating to, or associated with, evaluating and making investments;</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costs of registration and listing our common stock on any securities exchange;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80" w:hanging="206"/>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governmental bodies (including the Securities and Exchange Commission (“SEC”) and the SBA);</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common stockholders including printing costs;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fidelity bond, directors and officers errors and omissions liability insurance, and any other insurance premiums;</w:t>
      </w:r>
    </w:p>
    <w:p>
      <w:pPr>
        <w:spacing w:after="0" w:line="130" w:lineRule="exact"/>
        <w:rPr>
          <w:rFonts w:ascii="Arial" w:cs="Arial" w:eastAsia="Arial" w:hAnsi="Arial"/>
          <w:sz w:val="18"/>
          <w:szCs w:val="18"/>
          <w:color w:val="auto"/>
        </w:rPr>
      </w:pPr>
    </w:p>
    <w:p>
      <w:pPr>
        <w:ind w:left="660" w:right="280" w:hanging="206"/>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75"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an administration agreement, including rent and the allocable portion of the cost of our officers and their respective staffs (including travel expenses)).</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Pursuant to the investment advisory and management agreement that we had with GSCP (NJ), L.P., our former investment adviser and administrator, we had agreed to pay GSCP (NJ), L.P. as investment adviser a quarterly base management fee of 1.75% of the average value of our total assets (other than cash or cash equivalents but including assets purchased with borrowed funds) at the end of the two most recently completed fiscal quarters and an incentive fee.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had two parts:</w:t>
      </w:r>
    </w:p>
    <w:p>
      <w:pPr>
        <w:spacing w:after="0" w:line="131" w:lineRule="exact"/>
        <w:rPr>
          <w:sz w:val="20"/>
          <w:szCs w:val="20"/>
          <w:color w:val="auto"/>
        </w:rPr>
      </w:pPr>
    </w:p>
    <w:p>
      <w:pPr>
        <w:ind w:left="660" w:hanging="206"/>
        <w:spacing w:after="0" w:line="297"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fee, payable quarterly in arrears, equal to 20.0% of our pre-incentive fee net investment income, expressed as a rate of return on the value of the net assets at the end of the immediately preceding quarter, that exceeded a 1.875% quarterly hurdle rate measured as of the end of each fiscal quarter. Under this provision, in any fiscal quarter, our investment adviser received no incentive fee unless our pre-incentive fee net investment income exceeded the hurdle rate of 1.875%. Amounts received as a return of capital were not included in calculating this portion of the incentive fee. Since the hurdle rate was based on net assets, a return of less than the hurdle rate on total assets could still have resulted in an incentive fee.</w:t>
      </w:r>
    </w:p>
    <w:p>
      <w:pPr>
        <w:spacing w:after="0" w:line="63" w:lineRule="exact"/>
        <w:rPr>
          <w:rFonts w:ascii="Arial" w:cs="Arial" w:eastAsia="Arial" w:hAnsi="Arial"/>
          <w:sz w:val="16"/>
          <w:szCs w:val="16"/>
          <w:color w:val="auto"/>
        </w:rPr>
      </w:pPr>
    </w:p>
    <w:p>
      <w:pPr>
        <w:jc w:val="both"/>
        <w:ind w:left="660" w:right="180" w:hanging="206"/>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fee, payable at the end of each fiscal year, equal to 20.0% of our net realized capital gains, if any, computed net of all realized capital losses and unrealized capital depreciation, in each case on a cumulative basis, less the aggregate amount of capital gains incentive fees paid to the investment adviser through such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deferred cash payment of any incentive fee otherwise earned by our former investment adviser if, during the then most recent four full fiscal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quarters ending on or prior to the date such payment was to be made, the sum of (a) our aggregate distributions to our stockholders and (b) our change in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(defined as total assets less liabilities) (before taking into account any incentive fees payable during that period) was less than 7.5% of our net assets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beginning of such period. These calculations were appropriately pro-rated for the first three fiscal quarters of operation and adjusted for any share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issuances or repurchases during the applicable period. Such incentive fee would become payable on the next date on which such test had been satisfied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most recent four full fiscal quarters or upon certain terminations of the investment advisory and management agreement. We commenced deferring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payment of incentive fees during the quarterly period ended August 31, 2007, and continued to defer such payments through the quarterly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31, 2010. As of July 30, 2010, the date on which GSCP (NJ), L.P. ceased to be our investment adviser and administrator, we owed GSCP (NJ),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 million in fees for services previously provided to us; of which $0.3 million has been paid by us. GSCP (NJ), L.P. agreed to waive payment by us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$2.6 million in connection with the consummation of the stock purchase transaction with Saratoga Investment Advisors and certain of its affiliates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elsewhere in this Annual Report.</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terms of the investment advisory and management agreement with Saratoga Investment Advisors, our current investment adviser, are substantially similar to the terms of the investment advisory and management agreement we had entered into with GSCP (NJ), L.P., our former investment adviser, except for the following material distinctions in the fee terms:</w:t>
      </w:r>
    </w:p>
    <w:p>
      <w:pPr>
        <w:spacing w:after="0" w:line="87" w:lineRule="exact"/>
        <w:rPr>
          <w:sz w:val="20"/>
          <w:szCs w:val="20"/>
          <w:color w:val="auto"/>
        </w:rPr>
      </w:pPr>
    </w:p>
    <w:p>
      <w:pPr>
        <w:ind w:left="660" w:right="120" w:hanging="206"/>
        <w:spacing w:after="0" w:line="255"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capital gains portion of the incentive fee was reset with respect to gains and losses from May 31, 2010, and therefore losses and gains incurred prior to such time will not be taken into account when calculating the capital gains fee payable to Saratoga Investment Advisors and, as a result, Saratoga Investment Advisors will be entitled to 20.0% of net gains that arise after May 31, 2010. In addition, the cost basis for computing realized gains and losses on investments held by us as of May 31, 2010 equal the fair value of such investment as of such date. Under the investment advisory and management agreement with our former investment adviser, GSCP (NJ), L.P., the capital gains fee was calculated from March 21, 2007, and the gains were substantially outweighed by losses.</w:t>
      </w:r>
    </w:p>
    <w:p>
      <w:pPr>
        <w:spacing w:after="0" w:line="98" w:lineRule="exact"/>
        <w:rPr>
          <w:rFonts w:ascii="Arial" w:cs="Arial" w:eastAsia="Arial" w:hAnsi="Arial"/>
          <w:sz w:val="18"/>
          <w:szCs w:val="18"/>
          <w:color w:val="auto"/>
        </w:rPr>
      </w:pPr>
    </w:p>
    <w:p>
      <w:pPr>
        <w:ind w:left="660" w:right="260" w:hanging="206"/>
        <w:spacing w:after="0" w:line="297"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Under the “catch up” provision, 100.0% of our pre-incentive fee net investment income with respect to that portion of such pre-incentive fee net investment income that exceeds 1.875% but is less than or equal to 2.344% in any fiscal quarter is payable to Saratoga Investment Advisors. This will enable Saratoga Investment Advisors to receive 20.0% of all net investment income as such amount approaches 2.344% in any quarter, and Saratoga Investment Advisors will receive 20.0% of any additional net investment income. Under the investment advisory and management agreement with our former investment adviser, GSCP (NJ), L.P. only received 20.0% of the excess net investment income over 1.875%.</w:t>
      </w:r>
    </w:p>
    <w:p>
      <w:pPr>
        <w:sectPr>
          <w:pgSz w:w="11900" w:h="16838" w:orient="portrait"/>
          <w:cols w:equalWidth="0" w:num="1">
            <w:col w:w="11400"/>
          </w:cols>
          <w:pgMar w:left="240" w:top="459" w:right="259"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00"/>
          </w:cols>
          <w:pgMar w:left="240" w:top="459" w:right="25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0" w:hanging="206"/>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will no longer have deferral rights regarding incentive fees in the event that the distributions to stockholders and change in net assets is less than 7.5% for the preceding four fiscal quarters.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To the extent that any of our leveraged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interest rate caps, futures, options and forward contracts. Costs incurred in entering into or settling such contracts will be borne by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In August 2016, the FASB issued Accounting Standards Update (“ASU”) 2016-15, Statement of Cash Flows (Topic 230), </w:t>
      </w:r>
      <w:r>
        <w:rPr>
          <w:rFonts w:ascii="Arial" w:cs="Arial" w:eastAsia="Arial" w:hAnsi="Arial"/>
          <w:sz w:val="18"/>
          <w:szCs w:val="18"/>
          <w:i w:val="1"/>
          <w:iCs w:val="1"/>
          <w:color w:val="auto"/>
        </w:rPr>
        <w:t>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Receipts and Cash Payments </w:t>
      </w:r>
      <w:r>
        <w:rPr>
          <w:rFonts w:ascii="Arial" w:cs="Arial" w:eastAsia="Arial" w:hAnsi="Arial"/>
          <w:sz w:val="18"/>
          <w:szCs w:val="18"/>
          <w:color w:val="auto"/>
        </w:rPr>
        <w:t>(“ASU 2016-15”), which is intended to reduce the existing diversity in practice in how certain cash receipts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are presented and classified in the statement of cash flows. The guidance is effective for annual periods beginning after December 15, 2017, and interim periods therein. Early adoption is permitted. Management is currently evaluating the impact ASU 2016-15 will have on the Company’s consolidated financial statements and disclosures.</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Amendments to the Leases</w:t>
      </w:r>
      <w:r>
        <w:rPr>
          <w:rFonts w:ascii="Arial" w:cs="Arial" w:eastAsia="Arial" w:hAnsi="Arial"/>
          <w:sz w:val="18"/>
          <w:szCs w:val="18"/>
          <w:color w:val="auto"/>
        </w:rPr>
        <w:t xml:space="preserve"> (“ASU Topic 842”), which will require for all operating leases the recognition of a right-of-use asset and a lease liability, in the statement of financial position. The lease cost will be allocated over the lease term on a straight-line basis. This guidance is effective for annual and interim periods beginning after December 15, 2018. Management is currently evaluating the impact these changes will have on the Company’s consolidated financial statements and disclosures.</w:t>
      </w:r>
    </w:p>
    <w:p>
      <w:pPr>
        <w:spacing w:after="0" w:line="187"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retains many current requirements for the classification and measurement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however, it significantly revises an entity’s accounting related to (1) the classification and measurement of investments in equity securities and</w:t>
      </w:r>
    </w:p>
    <w:p>
      <w:pPr>
        <w:ind w:firstLine="8"/>
        <w:spacing w:after="0" w:line="254"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presentation of certain fair value changes for financial liabilities measured at fair value. ASU 2016-01 also amends certain disclosure requirements associated with the fair value of financial instruments. This guidance is effective for annual and interim periods beginning after December 15, 2017, and early adoption is not permitted for public business entities. Management is currently evaluating the impact the adoption of this standard has on our consolidated financial statements and disclosures.</w:t>
      </w:r>
    </w:p>
    <w:p>
      <w:pPr>
        <w:spacing w:after="0" w:line="190"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supersedes the revenue recognition requirements in Revenue Recognition (Topic 605). Under the new guidance, an entity should recognize revenue to depict the transfer of promised goods or services to customers in an amount that reflects the consideration to which the entity expects to be entitled in exchange for those goods or services. In May 2016, ASU 2016-12 amended ASU 2014-09 and deferred the effective period to December 15, 2017. Management is currently evaluating the impact these changes will have on the Company’s consolidated financial statements and disclosures.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Corporate Debt Portfolio Overview</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At February 28,</w:t>
            </w:r>
          </w:p>
        </w:tc>
        <w:tc>
          <w:tcPr>
            <w:tcW w:w="20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At February 29,</w:t>
            </w:r>
          </w:p>
        </w:tc>
        <w:tc>
          <w:tcPr>
            <w:tcW w:w="200" w:type="dxa"/>
            <w:vAlign w:val="bottom"/>
          </w:tcPr>
          <w:p>
            <w:pPr>
              <w:spacing w:after="0"/>
              <w:rPr>
                <w:sz w:val="14"/>
                <w:szCs w:val="14"/>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At February 28,</w:t>
            </w:r>
          </w:p>
        </w:tc>
      </w:tr>
      <w:tr>
        <w:trPr>
          <w:trHeight w:val="171"/>
        </w:trPr>
        <w:tc>
          <w:tcPr>
            <w:tcW w:w="4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2016</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20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Number of investments(1)</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Number of portfolio companies(3)</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Average investment size(1)</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r>
      <w:tr>
        <w:trPr>
          <w:trHeight w:val="202"/>
        </w:trPr>
        <w:tc>
          <w:tcPr>
            <w:tcW w:w="4520" w:type="dxa"/>
            <w:vAlign w:val="bottom"/>
          </w:tcPr>
          <w:p>
            <w:pPr>
              <w:spacing w:after="0" w:line="201" w:lineRule="exact"/>
              <w:rPr>
                <w:sz w:val="20"/>
                <w:szCs w:val="20"/>
                <w:color w:val="auto"/>
              </w:rPr>
            </w:pPr>
            <w:r>
              <w:rPr>
                <w:rFonts w:ascii="Arial" w:cs="Arial" w:eastAsia="Arial" w:hAnsi="Arial"/>
                <w:sz w:val="18"/>
                <w:szCs w:val="18"/>
                <w:color w:val="auto"/>
              </w:rPr>
              <w:t>Weighted average</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maturity(1)</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3.8yrs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3.8yrs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3.7yrs</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Number of industries(3)</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Average investment per portfolio company(1)</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Non-performing or delinquent investments</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r>
      <w:tr>
        <w:trPr>
          <w:trHeight w:val="202"/>
        </w:trPr>
        <w:tc>
          <w:tcPr>
            <w:tcW w:w="4520" w:type="dxa"/>
            <w:vAlign w:val="bottom"/>
          </w:tcPr>
          <w:p>
            <w:pPr>
              <w:spacing w:after="0" w:line="201" w:lineRule="exact"/>
              <w:rPr>
                <w:sz w:val="20"/>
                <w:szCs w:val="20"/>
                <w:color w:val="auto"/>
              </w:rPr>
            </w:pPr>
            <w:r>
              <w:rPr>
                <w:rFonts w:ascii="Arial" w:cs="Arial" w:eastAsia="Arial" w:hAnsi="Arial"/>
                <w:sz w:val="18"/>
                <w:szCs w:val="18"/>
                <w:color w:val="auto"/>
              </w:rPr>
              <w:t>Fixed rate debt (% of interest bearing</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portfolio)(2)</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44.2(16.9)%</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97.9(40.0)%</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82.5(40.6)%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coupon(2)</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r>
      <w:tr>
        <w:trPr>
          <w:trHeight w:val="202"/>
        </w:trPr>
        <w:tc>
          <w:tcPr>
            <w:tcW w:w="4520" w:type="dxa"/>
            <w:vAlign w:val="bottom"/>
          </w:tcPr>
          <w:p>
            <w:pPr>
              <w:spacing w:after="0" w:line="201" w:lineRule="exact"/>
              <w:rPr>
                <w:sz w:val="20"/>
                <w:szCs w:val="20"/>
                <w:color w:val="auto"/>
              </w:rPr>
            </w:pPr>
            <w:r>
              <w:rPr>
                <w:rFonts w:ascii="Arial" w:cs="Arial" w:eastAsia="Arial" w:hAnsi="Arial"/>
                <w:sz w:val="18"/>
                <w:szCs w:val="18"/>
                <w:color w:val="auto"/>
              </w:rPr>
              <w:t>Floating rate debt (% of interest bearing</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portfolio)(2)</w:t>
            </w:r>
          </w:p>
        </w:tc>
        <w:tc>
          <w:tcPr>
            <w:tcW w:w="2120" w:type="dxa"/>
            <w:vAlign w:val="bottom"/>
            <w:gridSpan w:val="4"/>
          </w:tcPr>
          <w:p>
            <w:pPr>
              <w:ind w:left="780"/>
              <w:spacing w:after="0"/>
              <w:rPr>
                <w:sz w:val="20"/>
                <w:szCs w:val="20"/>
                <w:color w:val="auto"/>
              </w:rPr>
            </w:pPr>
            <w:r>
              <w:rPr>
                <w:rFonts w:ascii="Arial" w:cs="Arial" w:eastAsia="Arial" w:hAnsi="Arial"/>
                <w:sz w:val="18"/>
                <w:szCs w:val="18"/>
                <w:color w:val="auto"/>
              </w:rPr>
              <w:t>$ 217.6(83.1)%</w:t>
            </w:r>
          </w:p>
        </w:tc>
        <w:tc>
          <w:tcPr>
            <w:tcW w:w="1540" w:type="dxa"/>
            <w:vAlign w:val="bottom"/>
            <w:gridSpan w:val="4"/>
          </w:tcPr>
          <w:p>
            <w:pPr>
              <w:ind w:left="200"/>
              <w:spacing w:after="0"/>
              <w:rPr>
                <w:sz w:val="20"/>
                <w:szCs w:val="20"/>
                <w:color w:val="auto"/>
              </w:rPr>
            </w:pPr>
            <w:r>
              <w:rPr>
                <w:rFonts w:ascii="Arial" w:cs="Arial" w:eastAsia="Arial" w:hAnsi="Arial"/>
                <w:sz w:val="18"/>
                <w:szCs w:val="18"/>
                <w:color w:val="auto"/>
              </w:rPr>
              <w:t>$ 146.8(60.0)%</w:t>
            </w:r>
          </w:p>
        </w:tc>
        <w:tc>
          <w:tcPr>
            <w:tcW w:w="1400" w:type="dxa"/>
            <w:vAlign w:val="bottom"/>
            <w:gridSpan w:val="4"/>
          </w:tcPr>
          <w:p>
            <w:pPr>
              <w:ind w:left="200"/>
              <w:spacing w:after="0"/>
              <w:rPr>
                <w:sz w:val="20"/>
                <w:szCs w:val="20"/>
                <w:color w:val="auto"/>
              </w:rPr>
            </w:pPr>
            <w:r>
              <w:rPr>
                <w:rFonts w:ascii="Arial" w:cs="Arial" w:eastAsia="Arial" w:hAnsi="Arial"/>
                <w:sz w:val="18"/>
                <w:szCs w:val="18"/>
                <w:color w:val="auto"/>
                <w:w w:val="95"/>
              </w:rPr>
              <w:t>$ 120.8(59.4)%</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spread over LIBOR(2)(4)</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 and equity interests.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 and Class F notes tranche of Saratoga CLO.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Calculation uses either 1-month or 3-month LIBOR, depending on the contractual turns, and after factoring in any existing LIBOR floors.</w:t>
      </w:r>
    </w:p>
    <w:p>
      <w:pPr>
        <w:sectPr>
          <w:pgSz w:w="11900" w:h="16838" w:orient="portrait"/>
          <w:cols w:equalWidth="0" w:num="1">
            <w:col w:w="11380"/>
          </w:cols>
          <w:pgMar w:left="240" w:top="459" w:right="279" w:bottom="1440" w:gutter="0" w:footer="0" w:header="0"/>
        </w:sectPr>
      </w:pP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380"/>
          </w:cols>
          <w:pgMar w:left="240" w:top="459" w:right="27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During the fiscal year ended February 28, 2017, we invested $126.9 million in new or existing portfolio companies and had $121.2 million in aggregate amount of exits and repayments resulting in net investments of $5.7 million for the year.</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During the fiscal year ended February 29, 2016, we invested $109.2 million in new or existing portfolio companies and had $68.2 million in aggregate amount of exits and repayments resulting in net investments of $41.0 million for the year.</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During the fiscal year ended February 28, 2015, we invested $104.9 million in new or existing portfolio companies and had $73.3 million in aggregate amount of exits and repayments resulting in net investments of $31.6 million for the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portfolio composition at February 28, 2017, February 29, 2016 and February 28, 2015 at fair value was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Portfolio composition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3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At February 28, 2017</w:t>
            </w:r>
          </w:p>
        </w:tc>
        <w:tc>
          <w:tcPr>
            <w:tcW w:w="23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At February 29, 2016</w:t>
            </w: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At February 28,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200" w:type="dxa"/>
            <w:vAlign w:val="bottom"/>
            <w:tcBorders>
              <w:top w:val="single" w:sz="8" w:color="auto"/>
            </w:tcBorders>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Percentage</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500" w:type="dxa"/>
            <w:vAlign w:val="bottom"/>
          </w:tcPr>
          <w:p>
            <w:pPr>
              <w:spacing w:after="0"/>
              <w:rPr>
                <w:sz w:val="10"/>
                <w:szCs w:val="10"/>
                <w:color w:val="auto"/>
              </w:rPr>
            </w:pPr>
          </w:p>
        </w:tc>
        <w:tc>
          <w:tcPr>
            <w:tcW w:w="120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7"/>
              </w:rPr>
              <w:t>Percentage</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520" w:type="dxa"/>
            <w:vAlign w:val="bottom"/>
          </w:tcPr>
          <w:p>
            <w:pPr>
              <w:spacing w:after="0"/>
              <w:rPr>
                <w:sz w:val="10"/>
                <w:szCs w:val="10"/>
                <w:color w:val="auto"/>
              </w:rPr>
            </w:pPr>
          </w:p>
        </w:tc>
        <w:tc>
          <w:tcPr>
            <w:tcW w:w="122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Percentage</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gridSpan w:val="2"/>
            <w:vMerge w:val="continue"/>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vMerge w:val="continue"/>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of Total</w:t>
            </w: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Current</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 Total</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Current</w:t>
            </w: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of Total</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Portfolio</w:t>
            </w:r>
          </w:p>
        </w:tc>
        <w:tc>
          <w:tcPr>
            <w:tcW w:w="5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5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5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5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5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First lien term loans</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54.3</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10.5</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50.9</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10.6</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60.3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11.7</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31.1</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Unsecured notes</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16.4</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Equity interests</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7.0</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0.4</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9.3</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8.4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color w:val="auto"/>
        </w:rPr>
        <w:t>Our investment in the subordinated notes of Saratoga CLO represents a first loss position in a portfolio that, at February 28, 2017 and February 29, 2016 was composed of $297.1 million and $302.7 million, respectively, in aggregate principal amount of predominantly senior secured first lien term loans. This investment is subject to unique risks. (See “Part 1. Item 1A. Risk Factors—Our investment in Saratoga CLO constitutes a leveraged investment in a portfolio of predominantly senior secured first lien term loans and is subject to additional risks and volatility”). We do not consolidate the Saratoga CLO portfolio in our consolidated financial statements. Accordingly, the metrics below do not include the underlying Saratoga CLO portfolio investments. However, at February 28, 2017, $288.5 million or 98.7% of the Saratoga CLO portfolio investments in terms of market value had a CMR (as defined below) color rating of green or yellow and one Saratoga CLO portfolio investment was in default with a fair value of $1.4 million. At February 29, 2016,</w:t>
      </w:r>
    </w:p>
    <w:p>
      <w:pPr>
        <w:spacing w:after="0" w:line="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$283.3 million or 99.4% of the Saratoga CLO portfolio investments in terms of market value had a CMR (as defined below) color rating of green or yellow and one Saratoga CLO portfolio investment was in default with a fair value of $0.8 million. For more information relating to Saratoga CLO, see the audited financial statements for Saratoga CLO included elsewhere herein.</w:t>
      </w:r>
    </w:p>
    <w:p>
      <w:pPr>
        <w:spacing w:after="0" w:line="1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Saratoga Investment Advisors normally grades all of our investments using a credit and monitoring rating system (“CMR”). The CMR consists of a single component: a color rating. The color rating is based on several criteria, including financial and operating strength, probability of default, and restructuring risk. The color ratings are characterized as follows: (Green)—performing credit; (Yellow)—underperforming credit; (Red)—in payment default and/or risk of principal recovery.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CMR distribution of our investments at February 28, 2017 and February 29, 2016 was as follows:</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5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At February 28, 2017</w:t>
            </w:r>
          </w:p>
        </w:tc>
        <w:tc>
          <w:tcPr>
            <w:tcW w:w="21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2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0"/>
              </w:rPr>
              <w:t>Color Score</w:t>
            </w:r>
          </w:p>
        </w:tc>
        <w:tc>
          <w:tcPr>
            <w:tcW w:w="506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of Total</w:t>
            </w: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1200" w:type="dxa"/>
            <w:vAlign w:val="bottom"/>
            <w:gridSpan w:val="3"/>
            <w:vMerge w:val="continue"/>
          </w:tcPr>
          <w:p>
            <w:pPr>
              <w:spacing w:after="0"/>
              <w:rPr>
                <w:sz w:val="14"/>
                <w:szCs w:val="14"/>
                <w:color w:val="auto"/>
              </w:rPr>
            </w:pPr>
          </w:p>
        </w:tc>
        <w:tc>
          <w:tcPr>
            <w:tcW w:w="506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Portfolio</w:t>
            </w: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4"/>
          </w:tcPr>
          <w:p>
            <w:pPr>
              <w:jc w:val="right"/>
              <w:ind w:right="106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6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$ 245,678</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83.9%</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$ 240,623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Yellow</w:t>
            </w:r>
          </w:p>
        </w:tc>
        <w:tc>
          <w:tcPr>
            <w:tcW w:w="6300" w:type="dxa"/>
            <w:vAlign w:val="bottom"/>
            <w:gridSpan w:val="3"/>
          </w:tcPr>
          <w:p>
            <w:pPr>
              <w:jc w:val="right"/>
              <w:ind w:right="480"/>
              <w:spacing w:after="0"/>
              <w:rPr>
                <w:sz w:val="20"/>
                <w:szCs w:val="20"/>
                <w:color w:val="auto"/>
              </w:rPr>
            </w:pPr>
            <w:r>
              <w:rPr>
                <w:rFonts w:ascii="Arial" w:cs="Arial" w:eastAsia="Arial" w:hAnsi="Arial"/>
                <w:sz w:val="18"/>
                <w:szCs w:val="18"/>
                <w:color w:val="auto"/>
              </w:rPr>
              <w:t>8,423</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4,058</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t>
            </w:r>
          </w:p>
        </w:tc>
        <w:tc>
          <w:tcPr>
            <w:tcW w:w="6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7,069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N/A(1)</w:t>
            </w:r>
          </w:p>
        </w:tc>
        <w:tc>
          <w:tcPr>
            <w:tcW w:w="50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31,491</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w:t>
            </w:r>
          </w:p>
        </w:tc>
        <w:tc>
          <w:tcPr>
            <w:tcW w:w="6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39,307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0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$ 292,661</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$ 283,996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 and equity interests.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 in reserve from $0.7 million as of February 29, 2016 to $0.2 million as of February 28, 2017 primarily related to the reserve from Targus Holdings, Inc. released, with the only remaining existing reserve related to TM Restaurant Group, L.L.C.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CMR distribution of Saratoga CLO investments at February 28, 2017 and February 29, 2016 was as follows:</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5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At February 28, 2017</w:t>
            </w:r>
          </w:p>
        </w:tc>
        <w:tc>
          <w:tcPr>
            <w:tcW w:w="21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2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0"/>
              </w:rPr>
              <w:t>Color Score</w:t>
            </w:r>
          </w:p>
        </w:tc>
        <w:tc>
          <w:tcPr>
            <w:tcW w:w="506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of Total</w:t>
            </w: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65"/>
        </w:trPr>
        <w:tc>
          <w:tcPr>
            <w:tcW w:w="1200" w:type="dxa"/>
            <w:vAlign w:val="bottom"/>
            <w:gridSpan w:val="3"/>
            <w:vMerge w:val="continue"/>
          </w:tcPr>
          <w:p>
            <w:pPr>
              <w:spacing w:after="0"/>
              <w:rPr>
                <w:sz w:val="14"/>
                <w:szCs w:val="14"/>
                <w:color w:val="auto"/>
              </w:rPr>
            </w:pPr>
          </w:p>
        </w:tc>
        <w:tc>
          <w:tcPr>
            <w:tcW w:w="5060" w:type="dxa"/>
            <w:vAlign w:val="bottom"/>
          </w:tcPr>
          <w:p>
            <w:pPr>
              <w:spacing w:after="0"/>
              <w:rPr>
                <w:sz w:val="14"/>
                <w:szCs w:val="14"/>
                <w:color w:val="auto"/>
              </w:rPr>
            </w:pPr>
          </w:p>
        </w:tc>
        <w:tc>
          <w:tcPr>
            <w:tcW w:w="124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5"/>
              </w:rPr>
              <w:t>Fair Value</w:t>
            </w:r>
          </w:p>
        </w:tc>
        <w:tc>
          <w:tcPr>
            <w:tcW w:w="132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3"/>
              </w:rPr>
              <w:t>Portfolio</w:t>
            </w:r>
          </w:p>
        </w:tc>
        <w:tc>
          <w:tcPr>
            <w:tcW w:w="124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4"/>
          </w:tcPr>
          <w:p>
            <w:pPr>
              <w:jc w:val="right"/>
              <w:ind w:right="1060"/>
              <w:spacing w:after="0" w:line="149"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6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$ 266,449</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91.1%</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$ 251,570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Yellow</w:t>
            </w:r>
          </w:p>
        </w:tc>
        <w:tc>
          <w:tcPr>
            <w:tcW w:w="6300" w:type="dxa"/>
            <w:vAlign w:val="bottom"/>
            <w:gridSpan w:val="3"/>
          </w:tcPr>
          <w:p>
            <w:pPr>
              <w:jc w:val="right"/>
              <w:ind w:right="480"/>
              <w:spacing w:after="0"/>
              <w:rPr>
                <w:sz w:val="20"/>
                <w:szCs w:val="20"/>
                <w:color w:val="auto"/>
              </w:rPr>
            </w:pPr>
            <w:r>
              <w:rPr>
                <w:rFonts w:ascii="Arial" w:cs="Arial" w:eastAsia="Arial" w:hAnsi="Arial"/>
                <w:sz w:val="18"/>
                <w:szCs w:val="18"/>
                <w:color w:val="auto"/>
              </w:rPr>
              <w:t>22,064</w:t>
            </w: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6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31,752</w:t>
            </w: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t>
            </w:r>
          </w:p>
        </w:tc>
        <w:tc>
          <w:tcPr>
            <w:tcW w:w="6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3,925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N/A(1)</w:t>
            </w:r>
          </w:p>
        </w:tc>
        <w:tc>
          <w:tcPr>
            <w:tcW w:w="50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w:t>
            </w:r>
          </w:p>
        </w:tc>
        <w:tc>
          <w:tcPr>
            <w:tcW w:w="6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192</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0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$ 292,461</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$ 284,845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Comprised of Saratoga CLO’s equity interests.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80"/>
          </w:cols>
          <w:pgMar w:left="24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auto"/>
        </w:rPr>
        <w:t>Portfolio composition by industry grouping at fair value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portfolio composition by industry grouping at fair value at February 28, 2017 and February 29,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5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At February 28, 2017</w:t>
            </w:r>
          </w:p>
        </w:tc>
        <w:tc>
          <w:tcPr>
            <w:tcW w:w="21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At February 29, 2016(2)</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2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of Total</w:t>
            </w: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Portfolio</w:t>
            </w: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4"/>
          </w:tcPr>
          <w:p>
            <w:pPr>
              <w:jc w:val="right"/>
              <w:ind w:right="106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$ 161,212</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55.1%</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$ 105,976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Healthcare Services</w:t>
            </w:r>
          </w:p>
        </w:tc>
        <w:tc>
          <w:tcPr>
            <w:tcW w:w="2980" w:type="dxa"/>
            <w:vAlign w:val="bottom"/>
            <w:gridSpan w:val="3"/>
          </w:tcPr>
          <w:p>
            <w:pPr>
              <w:jc w:val="right"/>
              <w:ind w:right="480"/>
              <w:spacing w:after="0"/>
              <w:rPr>
                <w:sz w:val="20"/>
                <w:szCs w:val="20"/>
                <w:color w:val="auto"/>
              </w:rPr>
            </w:pPr>
            <w:r>
              <w:rPr>
                <w:rFonts w:ascii="Arial" w:cs="Arial" w:eastAsia="Arial" w:hAnsi="Arial"/>
                <w:sz w:val="18"/>
                <w:szCs w:val="18"/>
                <w:color w:val="auto"/>
              </w:rPr>
              <w:t>38,544</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13.2</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36,905</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20,748</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43,109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Media</w:t>
            </w:r>
          </w:p>
        </w:tc>
        <w:tc>
          <w:tcPr>
            <w:tcW w:w="2980" w:type="dxa"/>
            <w:vAlign w:val="bottom"/>
            <w:gridSpan w:val="3"/>
          </w:tcPr>
          <w:p>
            <w:pPr>
              <w:jc w:val="right"/>
              <w:ind w:right="480"/>
              <w:spacing w:after="0"/>
              <w:rPr>
                <w:sz w:val="20"/>
                <w:szCs w:val="20"/>
                <w:color w:val="auto"/>
              </w:rPr>
            </w:pPr>
            <w:r>
              <w:rPr>
                <w:rFonts w:ascii="Arial" w:cs="Arial" w:eastAsia="Arial" w:hAnsi="Arial"/>
                <w:sz w:val="18"/>
                <w:szCs w:val="18"/>
                <w:color w:val="auto"/>
              </w:rPr>
              <w:t>18,698</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6.4</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16,574</w:t>
            </w: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16,839</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5.7</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9,537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Structured Finance Securities(1)</w:t>
            </w:r>
          </w:p>
        </w:tc>
        <w:tc>
          <w:tcPr>
            <w:tcW w:w="2980" w:type="dxa"/>
            <w:vAlign w:val="bottom"/>
            <w:gridSpan w:val="3"/>
          </w:tcPr>
          <w:p>
            <w:pPr>
              <w:jc w:val="right"/>
              <w:ind w:right="480"/>
              <w:spacing w:after="0"/>
              <w:rPr>
                <w:sz w:val="20"/>
                <w:szCs w:val="20"/>
                <w:color w:val="auto"/>
              </w:rPr>
            </w:pPr>
            <w:r>
              <w:rPr>
                <w:rFonts w:ascii="Arial" w:cs="Arial" w:eastAsia="Arial" w:hAnsi="Arial"/>
                <w:sz w:val="18"/>
                <w:szCs w:val="18"/>
                <w:color w:val="auto"/>
              </w:rPr>
              <w:t>15,450</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5.3</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12,828</w:t>
            </w: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2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10,928</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10,694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Food and Beverage</w:t>
            </w:r>
          </w:p>
        </w:tc>
        <w:tc>
          <w:tcPr>
            <w:tcW w:w="2980" w:type="dxa"/>
            <w:vAlign w:val="bottom"/>
            <w:gridSpan w:val="3"/>
          </w:tcPr>
          <w:p>
            <w:pPr>
              <w:jc w:val="right"/>
              <w:ind w:right="480"/>
              <w:spacing w:after="0"/>
              <w:rPr>
                <w:sz w:val="20"/>
                <w:szCs w:val="20"/>
                <w:color w:val="auto"/>
              </w:rPr>
            </w:pPr>
            <w:r>
              <w:rPr>
                <w:rFonts w:ascii="Arial" w:cs="Arial" w:eastAsia="Arial" w:hAnsi="Arial"/>
                <w:sz w:val="18"/>
                <w:szCs w:val="18"/>
                <w:color w:val="auto"/>
              </w:rPr>
              <w:t>8,423</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2.9</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9,131</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968</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0.3</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7,642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Metals</w:t>
            </w:r>
          </w:p>
        </w:tc>
        <w:tc>
          <w:tcPr>
            <w:tcW w:w="2980" w:type="dxa"/>
            <w:vAlign w:val="bottom"/>
            <w:gridSpan w:val="3"/>
          </w:tcPr>
          <w:p>
            <w:pPr>
              <w:jc w:val="right"/>
              <w:ind w:right="480"/>
              <w:spacing w:after="0"/>
              <w:rPr>
                <w:sz w:val="20"/>
                <w:szCs w:val="20"/>
                <w:color w:val="auto"/>
              </w:rPr>
            </w:pPr>
            <w:r>
              <w:rPr>
                <w:rFonts w:ascii="Arial" w:cs="Arial" w:eastAsia="Arial" w:hAnsi="Arial"/>
                <w:sz w:val="18"/>
                <w:szCs w:val="18"/>
                <w:color w:val="auto"/>
              </w:rPr>
              <w:t>851</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0.3</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10,526</w:t>
            </w: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 Aftermarket</w:t>
            </w:r>
          </w:p>
        </w:tc>
        <w:tc>
          <w:tcPr>
            <w:tcW w:w="1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14,707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Building Products</w:t>
            </w:r>
          </w:p>
        </w:tc>
        <w:tc>
          <w:tcPr>
            <w:tcW w:w="174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6,367</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$ 292,661</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$ 283,996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and Class F Note of Saratoga CLO.</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period classifications have been conformed to current period presentation.</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60"/>
          </w:cols>
          <w:pgMar w:left="240" w:top="459" w:right="6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Saratoga CLO’s portfolio composition by industry grouping at fair value at February 28, 2017 and February 29, 2016:</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4"/>
          </w:tcPr>
          <w:p>
            <w:pPr>
              <w:ind w:left="180"/>
              <w:spacing w:after="0"/>
              <w:rPr>
                <w:sz w:val="20"/>
                <w:szCs w:val="20"/>
                <w:color w:val="auto"/>
              </w:rPr>
            </w:pPr>
            <w:r>
              <w:rPr>
                <w:rFonts w:ascii="Arial" w:cs="Arial" w:eastAsia="Arial" w:hAnsi="Arial"/>
                <w:sz w:val="14"/>
                <w:szCs w:val="14"/>
                <w:b w:val="1"/>
                <w:bCs w:val="1"/>
                <w:color w:val="auto"/>
              </w:rPr>
              <w:t>At February 28, 2017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4"/>
          </w:tcPr>
          <w:p>
            <w:pPr>
              <w:ind w:left="16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Percentage</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at</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 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Portfolio</w:t>
            </w:r>
          </w:p>
        </w:tc>
        <w:tc>
          <w:tcPr>
            <w:tcW w:w="22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6"/>
          </w:tcPr>
          <w:p>
            <w:pPr>
              <w:ind w:left="5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18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40,675</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37,308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33,002</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28,339</w:t>
            </w: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Chemicals/Plastics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21,492</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24,714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High Tech Industries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17,851</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9,451</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14,752</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Retailers (Except Food and Drugs)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14,706</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18,898</w:t>
            </w: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13,704</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11,364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Aerospace and Defense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11,643</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12,580</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Media</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11,283</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Industrial Equipment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9,853</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11,777</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Leisure Goods/Activities/Movies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9,627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Financial Intermediaries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9,476</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13,559</w:t>
            </w: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Electronics/Electric</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8,036</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9,342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Automotive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6,088</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5,470</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6,026</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Food Services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5,932</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5,944</w:t>
            </w: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Drugs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5,394</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2,873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Utilities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4,944</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6,975</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4,580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Lodging and Casinos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4,311</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4,958</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3,935</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7,774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Conglomerate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3,584</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11,770</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Oil &amp; Gas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3,209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2,273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Food Products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3,147</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5,694</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&amp; Tobacco</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3,013</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Insurance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3,001</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4,712</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Food/Drug Retailers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2,877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2,737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Transportation</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2,731</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Brokers/Dealers/Investment Houses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2,479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2,025</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1,917</w:t>
            </w: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Containers/Glass Products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1,974</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2,869</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Cable and Satellite Television</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1,617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3,557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Nonferrous Metals/Minerals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1,312</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1,505</w:t>
            </w: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Services: Consumer</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788</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496</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Broadcast Radio and Television</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343</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Building and Development</w:t>
            </w:r>
          </w:p>
        </w:tc>
        <w:tc>
          <w:tcPr>
            <w:tcW w:w="1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292,461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284,845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20" w:type="dxa"/>
            <w:vAlign w:val="bottom"/>
            <w:vMerge w:val="restart"/>
          </w:tcPr>
          <w:p>
            <w:pPr>
              <w:jc w:val="right"/>
              <w:ind w:right="430"/>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Portfolio composition by geographic location at fair value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shows our portfolio composition by geographic location at fair value at February 28, 2017 and February 29, 2016. The geographic composition is determined by the location of the corporate headquarters of the portfolio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4"/>
          </w:tcPr>
          <w:p>
            <w:pPr>
              <w:ind w:left="180"/>
              <w:spacing w:after="0"/>
              <w:rPr>
                <w:sz w:val="20"/>
                <w:szCs w:val="20"/>
                <w:color w:val="auto"/>
              </w:rPr>
            </w:pPr>
            <w:r>
              <w:rPr>
                <w:rFonts w:ascii="Arial" w:cs="Arial" w:eastAsia="Arial" w:hAnsi="Arial"/>
                <w:sz w:val="14"/>
                <w:szCs w:val="14"/>
                <w:b w:val="1"/>
                <w:bCs w:val="1"/>
                <w:color w:val="auto"/>
              </w:rPr>
              <w:t>At February 28, 2017</w:t>
            </w:r>
          </w:p>
        </w:tc>
        <w:tc>
          <w:tcPr>
            <w:tcW w:w="21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2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2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at</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of Total</w:t>
            </w: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Portfolio</w:t>
            </w: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4"/>
          </w:tcPr>
          <w:p>
            <w:pPr>
              <w:jc w:val="right"/>
              <w:ind w:right="106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Southeast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116,186</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39.7%</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$ 108,661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1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75,154</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25.7</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57,553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Northeast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38,880</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13.3</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52,875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Southwest</w:t>
            </w:r>
          </w:p>
        </w:tc>
        <w:tc>
          <w:tcPr>
            <w:tcW w:w="1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34,060</w:t>
            </w: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6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25,535</w:t>
            </w: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15,450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12,828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Northwest</w:t>
            </w:r>
          </w:p>
        </w:tc>
        <w:tc>
          <w:tcPr>
            <w:tcW w:w="1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7,780</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5,151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24,544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2,000</w:t>
            </w: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292,661</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$ 283,996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and Class F Note of Saratoga CLO.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fiscal years ended February 28, 2017, February 29, 2016 and February 28, 2015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For the Year Ended</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88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28,</w:t>
            </w:r>
          </w:p>
        </w:tc>
        <w:tc>
          <w:tcPr>
            <w:tcW w:w="380" w:type="dxa"/>
            <w:vAlign w:val="bottom"/>
          </w:tcPr>
          <w:p>
            <w:pPr>
              <w:spacing w:after="0"/>
              <w:rPr>
                <w:sz w:val="10"/>
                <w:szCs w:val="10"/>
                <w:color w:val="auto"/>
              </w:rPr>
            </w:pP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29,</w:t>
            </w:r>
          </w:p>
        </w:tc>
        <w:tc>
          <w:tcPr>
            <w:tcW w:w="18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0"/>
                <w:szCs w:val="10"/>
                <w:color w:val="auto"/>
              </w:rPr>
            </w:pPr>
          </w:p>
        </w:tc>
      </w:tr>
      <w:tr>
        <w:trPr>
          <w:trHeight w:val="171"/>
        </w:trPr>
        <w:tc>
          <w:tcPr>
            <w:tcW w:w="5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5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33,157</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30,050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27,375</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22,042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19,372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17,701</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10,678</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9,674</w:t>
            </w:r>
          </w:p>
        </w:tc>
        <w:tc>
          <w:tcPr>
            <w:tcW w:w="100" w:type="dxa"/>
            <w:vAlign w:val="bottom"/>
          </w:tcPr>
          <w:p>
            <w:pPr>
              <w:spacing w:after="0"/>
              <w:rPr>
                <w:sz w:val="19"/>
                <w:szCs w:val="19"/>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from investments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12,368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3,276</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(10,641)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(1,943)</w:t>
            </w:r>
          </w:p>
        </w:tc>
      </w:tr>
      <w:tr>
        <w:trPr>
          <w:trHeight w:val="27"/>
        </w:trPr>
        <w:tc>
          <w:tcPr>
            <w:tcW w:w="5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11,645</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11,007</w:t>
            </w:r>
          </w:p>
        </w:tc>
      </w:tr>
      <w:tr>
        <w:trPr>
          <w:trHeight w:val="20"/>
        </w:trPr>
        <w:tc>
          <w:tcPr>
            <w:tcW w:w="5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composition of our investment income for the fiscal years ended February 28, 2017, February 29, 2016 and February 28, 2015 are as follows:</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February 28,</w:t>
            </w:r>
          </w:p>
        </w:tc>
        <w:tc>
          <w:tcPr>
            <w:tcW w:w="6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29,</w:t>
            </w:r>
          </w:p>
        </w:tc>
        <w:tc>
          <w:tcPr>
            <w:tcW w:w="2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February 28,</w:t>
            </w:r>
          </w:p>
        </w:tc>
      </w:tr>
      <w:tr>
        <w:trPr>
          <w:trHeight w:val="171"/>
        </w:trPr>
        <w:tc>
          <w:tcPr>
            <w:tcW w:w="5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142"/>
        </w:trPr>
        <w:tc>
          <w:tcPr>
            <w:tcW w:w="5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tcPr>
          <w:p>
            <w:pPr>
              <w:ind w:left="520"/>
              <w:spacing w:after="0" w:line="142" w:lineRule="exact"/>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29,348</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26,871</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24,684</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Management fee income</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1,499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1,520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 and other income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1,171</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33,157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30,050</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27,375</w:t>
            </w:r>
          </w:p>
        </w:tc>
        <w:tc>
          <w:tcPr>
            <w:tcW w:w="6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the fiscal year ended February 28, 2017, total investment income increased $3.1 million, or 10.3% compared to the fiscal year ended February 29, 2016. Interest income from investments increased $2.5 million, or 9.2%, to $29.3 million for the year ended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00"/>
          </w:cols>
          <w:pgMar w:left="240" w:top="459"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February 28, 2017 from $26.9 million for the fiscal year ended February 29, 2016. This reflects an increase of 3.1% in total investments to $292.7 million at February 28, 2017 from $284.0 million at February 29, 2016, partially offset by the weighted average current coupon reducing from 11.5% to 11.4%.</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fiscal year ended February 29, 2016, total investment income increased $2.7 million, or 9.8% compared to the fiscal year ended February 28,</w:t>
      </w:r>
    </w:p>
    <w:p>
      <w:pPr>
        <w:spacing w:after="0" w:line="46"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2015. Interest income from investments increased $2.2 million, or 8.9%, to $26.9 million for the year ended February 29, 2016 from $24.7 million for the fiscal year ended February 28, 2015. This reflects an increase of 18.1% in total investments to $284.0 million at February 29, 2016 from $240.5 million at February 28, 2015, offset by the weighted average current coupon reducing from 12.0% to 11.5%.</w:t>
      </w:r>
    </w:p>
    <w:p>
      <w:pPr>
        <w:spacing w:after="0" w:line="190"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For the fiscal years ended February 28, 2017, February 29, 2016 and February 28, 2015, total PIK income was $0.7 million, $1.0 million, and $1.2 million, respectively.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composition of our operating expenses for the years ended February 28, 2017, February 29, 2016 and February 28, 2015 are as follows: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February 28,</w:t>
            </w:r>
          </w:p>
        </w:tc>
        <w:tc>
          <w:tcPr>
            <w:tcW w:w="6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29,</w:t>
            </w:r>
          </w:p>
        </w:tc>
        <w:tc>
          <w:tcPr>
            <w:tcW w:w="2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February 28,</w:t>
            </w:r>
          </w:p>
        </w:tc>
      </w:tr>
      <w:tr>
        <w:trPr>
          <w:trHeight w:val="171"/>
        </w:trPr>
        <w:tc>
          <w:tcPr>
            <w:tcW w:w="5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142"/>
        </w:trPr>
        <w:tc>
          <w:tcPr>
            <w:tcW w:w="5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tcPr>
          <w:p>
            <w:pPr>
              <w:ind w:left="520"/>
              <w:spacing w:after="0" w:line="142" w:lineRule="exact"/>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9,888</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8,456</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7,375</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Base management fees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4,899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4,529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4,157</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1,302</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2,948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2,548</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Insurance</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and expenses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Excise tax expense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and other expenses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22,042</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17,701</w:t>
            </w:r>
          </w:p>
        </w:tc>
        <w:tc>
          <w:tcPr>
            <w:tcW w:w="6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For the year ended February 28, 2017, total operating expenses increased $2.7 million, or 13.8% compared to the year ended February 29, 2016. For the year ended February 29, 2016, total operating expenses increased $1.7 million, or 9.4% compared to the year ended February 28, 2015.</w:t>
      </w:r>
    </w:p>
    <w:p>
      <w:pPr>
        <w:spacing w:after="0" w:line="14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For the years ended February 28, 2017 and February 29, 2016, the increase in interest and debt financing expenses is primarily attributable to an increase in outstanding debt as compared to the prior years, with increased levels of outstanding SBA debentures, as well as additional notes being issued. Our SBA debentures increased from $103.7 million to $112.7 million and the 2020 Notes were repaid and the 2023 Notes issued, increasing the notes payable from $61.8 million outstanding to $74.5 million outstanding for these same periods. For the year ended February 28, 2017, the weighted average interest rate on our outstanding indebtedness was 4.76% compared to 4.92% for the fiscal year ended February 29, 2016 and 4.95% for the fiscal year ended February 28, 2015. This decrease was primarily driven by an increase in SBA debentures that carry a lower interest rate as well as the notes payable interest rate decreasing from 7.50% to 6.75% following the refinancing of the 2020 Notes. SBA debentures decreased from 62.7% of overall debt as of February 29, 2016 to 60.2% as of February 28, 2017.</w:t>
      </w:r>
    </w:p>
    <w:p>
      <w:pPr>
        <w:spacing w:after="0" w:line="17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For the year ended February 28, 2017, base management fees increased $0.4 million, or 8.2% compared to the fiscal year ended February 29, 2016. The increase in base management fees results from the 8.7% increase in the average value of our total assets, less cash and cash equivalents, from $266.3 million as of February 29, 2016 to $289.4 million as of February 28, 2017. For the year ended February 29, 2016, base management fees increased $0.4 million, or</w:t>
      </w:r>
    </w:p>
    <w:p>
      <w:pPr>
        <w:ind w:right="140"/>
        <w:spacing w:after="0" w:line="323" w:lineRule="auto"/>
        <w:rPr>
          <w:sz w:val="20"/>
          <w:szCs w:val="20"/>
          <w:color w:val="auto"/>
        </w:rPr>
      </w:pPr>
      <w:r>
        <w:rPr>
          <w:rFonts w:ascii="Arial" w:cs="Arial" w:eastAsia="Arial" w:hAnsi="Arial"/>
          <w:sz w:val="16"/>
          <w:szCs w:val="16"/>
          <w:color w:val="auto"/>
        </w:rPr>
        <w:t>8.9% compared to the fiscal year ended February 28, 2015. The increase in base management fees results from the 8.0% increase in the average value of our total assets, less cash and cash equivalents, from $246.5 million as of February 28, 2015 to $266.3 million as of February 29, 2016, respectively.</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For the year ended February 28, 2017, professional fees decreased $0.1 million, or 6.9% compared to the fiscal year ended February 29, 2016. For the year ended February 29, 2016, professional fees increased $0.03 million, or 2.7% compared to the fiscal year ended February 28, 2015.</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February 28, 2017, incentive management fees increased $0.7 million, or 32.0% compared to the fiscal year ended February 29,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2016. The first part of the incentive management fees increased this year from $2.2 million for the year ended February 29, 2016 to $2.8 million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February 28, 2017, as higher average total assets of 8.7% has led to increased net investment income above the hurdle rate pursuant to the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advisory and management agreement. In addition, the incentive management fees related to capital gains also increased from a decrease in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to an increase in expense of $0.1 million, reflecting the realized and unrealized gains earned this year. For the year ended February 29,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incentive management fees decreased $0.3 million, or 12.4% compared to the fiscal year ended February 28, 2015. The first part of the incentive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fees increased in 2016, as higher average total assets of 8.0% has led to increased net investment income above the hurdle rate pursuant to the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advisory and management agreement. However, for the year ended February 29, 2016, incentive management fees in total were more than offset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incentive management fees related to capital gains changed from a $0.3 million increase in expense to a $0.05 million decrease in expense compared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fiscal year ended February 28, 2015.</w:t>
      </w:r>
    </w:p>
    <w:p>
      <w:pPr>
        <w:spacing w:after="0" w:line="21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discussed above, the increase in interest and debt financing expenses for the years ended February 28, 2017, February 29, 2016 and February 28, 2015 is primarily attributable to an increase in the amount of outstanding debt as compared to the prior years. For the year ended February 28, 2017, there were no outstanding borrowings under the Credit Facility. For the years ended February 29, 2016 and February 28, 2015, the weighted average interest rate on the outstanding borrowings under the Credit Facility was 6.00% and 6.75%, respectively. For the years ended February 28, 2017, February 29, 2016 and February 28, 2015, the weighted average interest rate on the outstanding borrowings of the SBA debentures was 3.13%, 3.12% and 2.93%, respectively.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11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For the fiscal year ended February 28, 2017, the Company had $121.2 million of sales, repayments, exits or restructurings resulting in $12.4 million of net realized gains. The most significant realized gains during the year ended February 28, 2017 were as follows (dollars in thousands):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ended February 28, 2017</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460" w:type="dxa"/>
            <w:vAlign w:val="bottom"/>
          </w:tcPr>
          <w:p>
            <w:pPr>
              <w:spacing w:after="0"/>
              <w:rPr>
                <w:sz w:val="12"/>
                <w:szCs w:val="12"/>
                <w:color w:val="auto"/>
              </w:rPr>
            </w:pPr>
          </w:p>
        </w:tc>
        <w:tc>
          <w:tcPr>
            <w:tcW w:w="19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Asset Type</w:t>
            </w: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71"/>
        </w:trPr>
        <w:tc>
          <w:tcPr>
            <w:tcW w:w="3400" w:type="dxa"/>
            <w:vAlign w:val="bottom"/>
            <w:gridSpan w:val="2"/>
            <w:vMerge w:val="continue"/>
          </w:tcPr>
          <w:p>
            <w:pPr>
              <w:spacing w:after="0"/>
              <w:rPr>
                <w:sz w:val="14"/>
                <w:szCs w:val="14"/>
                <w:color w:val="auto"/>
              </w:rPr>
            </w:pPr>
          </w:p>
        </w:tc>
        <w:tc>
          <w:tcPr>
            <w:tcW w:w="1460" w:type="dxa"/>
            <w:vAlign w:val="bottom"/>
          </w:tcPr>
          <w:p>
            <w:pPr>
              <w:spacing w:after="0"/>
              <w:rPr>
                <w:sz w:val="14"/>
                <w:szCs w:val="14"/>
                <w:color w:val="auto"/>
              </w:rPr>
            </w:pPr>
          </w:p>
        </w:tc>
        <w:tc>
          <w:tcPr>
            <w:tcW w:w="19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Proceeds</w:t>
            </w:r>
          </w:p>
        </w:tc>
        <w:tc>
          <w:tcPr>
            <w:tcW w:w="780" w:type="dxa"/>
            <w:vAlign w:val="bottom"/>
            <w:gridSpan w:val="2"/>
            <w:vMerge w:val="continue"/>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Gain</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Take</w:t>
            </w:r>
          </w:p>
        </w:tc>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 Oil Change, L.L.C.</w:t>
            </w:r>
          </w:p>
        </w:tc>
        <w:tc>
          <w:tcPr>
            <w:tcW w:w="146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$ 6,505</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$481</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$ 6,024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Legacy Cabinets, Inc.</w:t>
            </w:r>
          </w:p>
        </w:tc>
        <w:tc>
          <w:tcPr>
            <w:tcW w:w="3440" w:type="dxa"/>
            <w:vAlign w:val="bottom"/>
            <w:gridSpan w:val="2"/>
          </w:tcPr>
          <w:p>
            <w:pPr>
              <w:ind w:left="1460"/>
              <w:spacing w:after="0"/>
              <w:rPr>
                <w:sz w:val="20"/>
                <w:szCs w:val="20"/>
                <w:color w:val="auto"/>
              </w:rPr>
            </w:pPr>
            <w:r>
              <w:rPr>
                <w:rFonts w:ascii="Arial" w:cs="Arial" w:eastAsia="Arial" w:hAnsi="Arial"/>
                <w:sz w:val="18"/>
                <w:szCs w:val="18"/>
                <w:color w:val="auto"/>
                <w:w w:val="92"/>
              </w:rPr>
              <w:t>Common Stock Voting A-1</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2,320</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221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Legacy Cabinets, Inc.</w:t>
            </w:r>
          </w:p>
        </w:tc>
        <w:tc>
          <w:tcPr>
            <w:tcW w:w="344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92"/>
              </w:rPr>
              <w:t>Common Stock Voting B-1</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1,464</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$6.0 million of realized gain on our investment in Take 5 Oil Change, L.L.C. was due to the completion of a sales transaction with a strategic acquirer.</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$3.4 million of realized gains on our investments in Legacy Cabinets, Inc. were due to a period of steadily improving performance, leading up to our sale of shares in Legacy Cabinets, Inc.</w:t>
      </w:r>
    </w:p>
    <w:p>
      <w:pPr>
        <w:spacing w:after="0" w:line="170"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For the fiscal year ended February 29, 2016, the Company had $68.2 million of sales, repayments, exits or restructurings resulting in $0.2 million of net realized gains. The most significant realized gains and losses during the year ended February 29, 2016 were as follows (dollars in thousands):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ended February 29, 2016</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9"/>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560" w:type="dxa"/>
            <w:vAlign w:val="bottom"/>
          </w:tcPr>
          <w:p>
            <w:pPr>
              <w:spacing w:after="0"/>
              <w:rPr>
                <w:sz w:val="12"/>
                <w:szCs w:val="12"/>
                <w:color w:val="auto"/>
              </w:rPr>
            </w:pPr>
          </w:p>
        </w:tc>
        <w:tc>
          <w:tcPr>
            <w:tcW w:w="15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Asset Type</w:t>
            </w:r>
          </w:p>
        </w:tc>
        <w:tc>
          <w:tcPr>
            <w:tcW w:w="3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Cost</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Gain/</w:t>
            </w:r>
          </w:p>
        </w:tc>
        <w:tc>
          <w:tcPr>
            <w:tcW w:w="0" w:type="dxa"/>
            <w:vAlign w:val="bottom"/>
          </w:tcPr>
          <w:p>
            <w:pPr>
              <w:spacing w:after="0"/>
              <w:rPr>
                <w:sz w:val="1"/>
                <w:szCs w:val="1"/>
                <w:color w:val="auto"/>
              </w:rPr>
            </w:pPr>
          </w:p>
        </w:tc>
      </w:tr>
      <w:tr>
        <w:trPr>
          <w:trHeight w:val="171"/>
        </w:trPr>
        <w:tc>
          <w:tcPr>
            <w:tcW w:w="348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Proceeds</w:t>
            </w:r>
          </w:p>
        </w:tc>
        <w:tc>
          <w:tcPr>
            <w:tcW w:w="1020" w:type="dxa"/>
            <w:vAlign w:val="bottom"/>
            <w:gridSpan w:val="2"/>
            <w:vMerge w:val="continue"/>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560" w:type="dxa"/>
            <w:vAlign w:val="bottom"/>
            <w:vMerge w:val="restart"/>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Communications, Inc.</w:t>
            </w:r>
          </w:p>
        </w:tc>
        <w:tc>
          <w:tcPr>
            <w:tcW w:w="1560" w:type="dxa"/>
            <w:vAlign w:val="bottom"/>
            <w:vMerge w:val="continue"/>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6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$ 3,206</w:t>
            </w:r>
          </w:p>
        </w:tc>
        <w:tc>
          <w:tcPr>
            <w:tcW w:w="40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$ 3,206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Targus Holdings, Inc.</w:t>
            </w:r>
          </w:p>
        </w:tc>
        <w:tc>
          <w:tcPr>
            <w:tcW w:w="156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Unsecured Note</w:t>
            </w:r>
          </w:p>
        </w:tc>
        <w:tc>
          <w:tcPr>
            <w:tcW w:w="36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(2,054)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Targus Holdings, Inc.</w:t>
            </w:r>
          </w:p>
        </w:tc>
        <w:tc>
          <w:tcPr>
            <w:tcW w:w="1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90"/>
              </w:rPr>
              <w:t>First Lien Term Loan</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Targus Holdings, Inc.</w:t>
            </w: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20"/>
                <w:szCs w:val="20"/>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(567)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350"/>
        </w:trPr>
        <w:tc>
          <w:tcPr>
            <w:tcW w:w="3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$3.2 million of realized gain on our investments in Network Communications, Inc. is due to the sale of the company to a third party and reflects the realization value pursuant to that transaction.</w:t>
      </w:r>
    </w:p>
    <w:p>
      <w:pPr>
        <w:spacing w:after="0" w:line="170"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For the fiscal year ended February 28, 2015, the Company had $73.3 million of sales, repayments, exits or restructurings resulting in $3.3 million of net realized gains. The most significant realized gains during the year ended February 28, 2015 were as follows (dollars in thousands):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ended February 28, 2015</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Gross</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160" w:type="dxa"/>
            <w:vAlign w:val="bottom"/>
          </w:tcPr>
          <w:p>
            <w:pPr>
              <w:spacing w:after="0"/>
              <w:rPr>
                <w:sz w:val="12"/>
                <w:szCs w:val="12"/>
                <w:color w:val="auto"/>
              </w:rPr>
            </w:pPr>
          </w:p>
        </w:tc>
        <w:tc>
          <w:tcPr>
            <w:tcW w:w="252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Asset Type</w:t>
            </w:r>
          </w:p>
        </w:tc>
        <w:tc>
          <w:tcPr>
            <w:tcW w:w="104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71"/>
        </w:trPr>
        <w:tc>
          <w:tcPr>
            <w:tcW w:w="326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2"/>
              </w:rPr>
              <w:t>Proceeds</w:t>
            </w:r>
          </w:p>
        </w:tc>
        <w:tc>
          <w:tcPr>
            <w:tcW w:w="1000" w:type="dxa"/>
            <w:vAlign w:val="bottom"/>
            <w:gridSpan w:val="2"/>
            <w:vMerge w:val="continue"/>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Gain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160" w:type="dxa"/>
            <w:vAlign w:val="bottom"/>
            <w:vMerge w:val="restart"/>
            <w:shd w:val="clear" w:color="auto" w:fill="CCEEFF"/>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Community Investors, Inc.</w:t>
            </w:r>
          </w:p>
        </w:tc>
        <w:tc>
          <w:tcPr>
            <w:tcW w:w="1160" w:type="dxa"/>
            <w:vAlign w:val="bottom"/>
            <w:vMerge w:val="continue"/>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1"/>
              </w:rPr>
              <w:t>Term Loan A Senior Facility</w:t>
            </w:r>
          </w:p>
        </w:tc>
        <w:tc>
          <w:tcPr>
            <w:tcW w:w="46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$ 6,983</w:t>
            </w:r>
          </w:p>
        </w:tc>
        <w:tc>
          <w:tcPr>
            <w:tcW w:w="5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$6,886</w:t>
            </w:r>
          </w:p>
        </w:tc>
        <w:tc>
          <w:tcPr>
            <w:tcW w:w="500" w:type="dxa"/>
            <w:vAlign w:val="bottom"/>
            <w:vMerge w:val="continue"/>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   97</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HOA Restaurant GP/Finance</w:t>
            </w:r>
          </w:p>
        </w:tc>
        <w:tc>
          <w:tcPr>
            <w:tcW w:w="3680" w:type="dxa"/>
            <w:vAlign w:val="bottom"/>
            <w:gridSpan w:val="3"/>
          </w:tcPr>
          <w:p>
            <w:pPr>
              <w:ind w:left="1160"/>
              <w:spacing w:after="0"/>
              <w:rPr>
                <w:sz w:val="20"/>
                <w:szCs w:val="20"/>
                <w:color w:val="auto"/>
              </w:rPr>
            </w:pPr>
            <w:r>
              <w:rPr>
                <w:rFonts w:ascii="Arial" w:cs="Arial" w:eastAsia="Arial" w:hAnsi="Arial"/>
                <w:sz w:val="18"/>
                <w:szCs w:val="18"/>
                <w:color w:val="auto"/>
              </w:rPr>
              <w:t>Senior Secured Notes</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4,225</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3,938</w:t>
            </w: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USS Parent Holding Corp</w:t>
            </w:r>
          </w:p>
        </w:tc>
        <w:tc>
          <w:tcPr>
            <w:tcW w:w="368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Non Voting Common Stock</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248</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133</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USS Parent Holding Corp</w:t>
            </w:r>
          </w:p>
        </w:tc>
        <w:tc>
          <w:tcPr>
            <w:tcW w:w="3680" w:type="dxa"/>
            <w:vAlign w:val="bottom"/>
            <w:gridSpan w:val="3"/>
          </w:tcPr>
          <w:p>
            <w:pPr>
              <w:ind w:left="1160"/>
              <w:spacing w:after="0"/>
              <w:rPr>
                <w:sz w:val="20"/>
                <w:szCs w:val="20"/>
                <w:color w:val="auto"/>
              </w:rPr>
            </w:pPr>
            <w:r>
              <w:rPr>
                <w:rFonts w:ascii="Arial" w:cs="Arial" w:eastAsia="Arial" w:hAnsi="Arial"/>
                <w:sz w:val="18"/>
                <w:szCs w:val="18"/>
                <w:color w:val="auto"/>
              </w:rPr>
              <w:t>Voting Common Stock</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5,650</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3,026</w:t>
            </w:r>
          </w:p>
        </w:tc>
        <w:tc>
          <w:tcPr>
            <w:tcW w:w="600" w:type="dxa"/>
            <w:vAlign w:val="bottom"/>
          </w:tcPr>
          <w:p>
            <w:pPr>
              <w:jc w:val="right"/>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February 28, 2017, our investments had net unrealized depreciation of $10.6 million versus net unrealized appreciation of</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$0.7 million for the year ended February 29, 2016. The most significant cumulative changes in unrealized depreciation for the year ended February 28, 2017, were the following (dollars in thousands):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ended February 28, 2017</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YTD Change</w:t>
            </w: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228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Asset Type</w:t>
            </w: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Unrealized</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Depreciation</w:t>
            </w:r>
          </w:p>
        </w:tc>
        <w:tc>
          <w:tcPr>
            <w:tcW w:w="18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Take</w:t>
            </w:r>
          </w:p>
        </w:tc>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 Oil Change, L.L.C.</w:t>
            </w: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5"/>
              </w:rPr>
              <w:t>$—</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(5,755)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Legacy Cabinets, Inc.</w:t>
            </w:r>
          </w:p>
        </w:tc>
        <w:tc>
          <w:tcPr>
            <w:tcW w:w="2280" w:type="dxa"/>
            <w:vAlign w:val="bottom"/>
            <w:gridSpan w:val="2"/>
          </w:tcPr>
          <w:p>
            <w:pPr>
              <w:spacing w:after="0"/>
              <w:rPr>
                <w:sz w:val="20"/>
                <w:szCs w:val="20"/>
                <w:color w:val="auto"/>
              </w:rPr>
            </w:pPr>
            <w:r>
              <w:rPr>
                <w:rFonts w:ascii="Arial" w:cs="Arial" w:eastAsia="Arial" w:hAnsi="Arial"/>
                <w:sz w:val="18"/>
                <w:szCs w:val="18"/>
                <w:color w:val="auto"/>
              </w:rPr>
              <w:t>Common Stock Voting A-1</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Legacy Cabinets, Inc.</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Voting B-1</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Elyria Foundry Company,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9,217</w:t>
            </w: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(8,804)</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$5.8 million of change in unrealized depreciation in our investment in Take 5 Oil Change, L.L.C. was driven by the completion of a sales transaction with a strategic acquirer. In realizing this gain as a result of the sale, unrealized appreciation was adjusted to zero, which resulted in a $5.8 million change in unrealized depreciation for the year.</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$4.0 million of change in unrealized depreciation in our investments in Legacy Cabinets, Inc. were driven by the completion of a sales transaction. In realizing these gains as a result of the sale, unrealized appreciation was adjusted to zero, which resulted in a $4.0 million change in unrealized depreciation for the year.</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$1.6 million of change in unrealized depreciation in our investment in Elyria Foundry Company, L.L.C. was driven by a decline in oil and gas end markets since year-end, negatively impacting the company’s performance.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February 29, 2016, our investments had net unrealized appreciation of $0.7 million versus net unrealized depreciation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 million for the year ended February 28, 2015. The most significant cumulative changes in unrealized appreciation and depreciation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 were the following (dollars in thousands):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ended February 29, 2016</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Total</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540" w:type="dxa"/>
            <w:vAlign w:val="bottom"/>
          </w:tcPr>
          <w:p>
            <w:pPr>
              <w:spacing w:after="0"/>
              <w:rPr>
                <w:sz w:val="12"/>
                <w:szCs w:val="12"/>
                <w:color w:val="auto"/>
              </w:rPr>
            </w:pPr>
          </w:p>
        </w:tc>
        <w:tc>
          <w:tcPr>
            <w:tcW w:w="16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Asset Type</w:t>
            </w: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vMerge w:val="continue"/>
          </w:tcPr>
          <w:p>
            <w:pPr>
              <w:spacing w:after="0"/>
              <w:rPr>
                <w:sz w:val="12"/>
                <w:szCs w:val="12"/>
                <w:color w:val="auto"/>
              </w:rPr>
            </w:pPr>
          </w:p>
        </w:tc>
        <w:tc>
          <w:tcPr>
            <w:tcW w:w="14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14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(Depreciation)</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(Depreciation)</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Take</w:t>
            </w:r>
          </w:p>
        </w:tc>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 Oil Change, L.L.C.</w:t>
            </w:r>
          </w:p>
        </w:tc>
        <w:tc>
          <w:tcPr>
            <w:tcW w:w="5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Common Stock</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481</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$6,235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Targus Holdings, Inc.</w:t>
            </w:r>
          </w:p>
        </w:tc>
        <w:tc>
          <w:tcPr>
            <w:tcW w:w="2220" w:type="dxa"/>
            <w:vAlign w:val="bottom"/>
            <w:gridSpan w:val="3"/>
          </w:tcPr>
          <w:p>
            <w:pPr>
              <w:ind w:left="540"/>
              <w:spacing w:after="0"/>
              <w:rPr>
                <w:sz w:val="20"/>
                <w:szCs w:val="20"/>
                <w:color w:val="auto"/>
              </w:rPr>
            </w:pPr>
            <w:r>
              <w:rPr>
                <w:rFonts w:ascii="Arial" w:cs="Arial" w:eastAsia="Arial" w:hAnsi="Arial"/>
                <w:sz w:val="18"/>
                <w:szCs w:val="18"/>
                <w:color w:val="auto"/>
              </w:rPr>
              <w:t>Unsecured Notes</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Elyria Foundry Company, L.L.C.</w:t>
            </w:r>
          </w:p>
        </w:tc>
        <w:tc>
          <w:tcPr>
            <w:tcW w:w="22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Common Stock</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9,217</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(7,191)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February 28, 2015, our investments had net unrealized depreciation of $1.9 million versus net unrealized depreciation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 million for the year ended February 28, 2014. The most significant cumulative changes in unrealized appreciation and depreciation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2015, were the following (dollars in thousands):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ended February 28, 2015</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Total</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22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Asset Type</w:t>
            </w: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0" w:type="dxa"/>
            <w:vAlign w:val="bottom"/>
          </w:tcPr>
          <w:p>
            <w:pPr>
              <w:spacing w:after="0"/>
              <w:rPr>
                <w:sz w:val="1"/>
                <w:szCs w:val="1"/>
                <w:color w:val="auto"/>
              </w:rPr>
            </w:pPr>
          </w:p>
        </w:tc>
      </w:tr>
      <w:tr>
        <w:trPr>
          <w:trHeight w:val="171"/>
        </w:trPr>
        <w:tc>
          <w:tcPr>
            <w:tcW w:w="2780" w:type="dxa"/>
            <w:vAlign w:val="bottom"/>
            <w:gridSpan w:val="2"/>
            <w:vMerge w:val="continue"/>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4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5"/>
              </w:rPr>
              <w:t>(Depreciation)</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(Depreciation)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Legacy Cabinets, Inc.</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Common—Voting A-1</w:t>
            </w:r>
          </w:p>
        </w:tc>
        <w:tc>
          <w:tcPr>
            <w:tcW w:w="42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221</w:t>
            </w:r>
          </w:p>
        </w:tc>
        <w:tc>
          <w:tcPr>
            <w:tcW w:w="2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$ 1,493</w:t>
            </w: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5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Targus Holdings, Inc.</w:t>
            </w:r>
          </w:p>
        </w:tc>
        <w:tc>
          <w:tcPr>
            <w:tcW w:w="2260" w:type="dxa"/>
            <w:vAlign w:val="bottom"/>
            <w:gridSpan w:val="2"/>
          </w:tcPr>
          <w:p>
            <w:pPr>
              <w:spacing w:after="0"/>
              <w:rPr>
                <w:sz w:val="20"/>
                <w:szCs w:val="20"/>
                <w:color w:val="auto"/>
              </w:rPr>
            </w:pPr>
            <w:r>
              <w:rPr>
                <w:rFonts w:ascii="Arial" w:cs="Arial" w:eastAsia="Arial" w:hAnsi="Arial"/>
                <w:sz w:val="18"/>
                <w:szCs w:val="18"/>
                <w:color w:val="auto"/>
              </w:rPr>
              <w:t>Common</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(567)</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2"/>
        </w:trPr>
        <w:tc>
          <w:tcPr>
            <w:tcW w:w="3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Other/Structured Finance</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Saratoga CLO</w:t>
            </w: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15,953</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17,031</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1,078</w:t>
            </w: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fiscal years ended February 28, 2017, February 29, 2016 and February 28, 2015, we recorded a net increase in net assets resulting from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operations of $11.4 million, $11.6 million and $11.0 million, respectively. Based on 5,740,450 weighted average common shares outstanding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2017, our per share net increase in net assets resulting from operations was $1.98 for the fiscal year ended February 28, 2017. This compares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per share net increase in net assets resulting from operations of $2.09 for the fiscal year ended February 29, 2016 (based on 5,582,453 weighted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shares outstanding as of February 29, 2016), and a per share net increase in net assets resulting from operations of $2.04 for the fiscal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2015 (based on 5,385,049 weighted average common shares outstanding as of February 28, 2015).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intend to continue to generate cash primarily from cash flows from operations, including interest earned from our investments in debt in middle market companies, interest earned from the temporary investment of cash in U.S. government securities and other high-quality debt investments that mature in one year or less, future borrowings and future offerings of securities.</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Although we expect to fund the growth of our investment portfolio through the net proceeds from SBA debenture drawdowns and future equity offerings, including our dividend reinvestment plan (“DRIP”), and issuances of senior securities or future borrowings, to the extent permitted by the 1940 Act, we cannot assure you that our plans to raise capital will be successful. In this regard, because our common stock has historically traded at a price below our current net asset value per share and we are limited in our ability to sell our common stock at a price below net asset value per share, we have been and may continue to be limited in our ability to raise equity capital.</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addition, we intend to distribute to our stockholders substantially all of our taxable income in order to satisfy the distribution requirement applicable to RICs under the Code. In satisfying this distribution requirement, we have in the past relied on IRS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We may rely on these IRS private letter rulings in future periods to satisfy our RIC distribution requirement.</w:t>
      </w:r>
    </w:p>
    <w:p>
      <w:pPr>
        <w:spacing w:after="0" w:line="15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Also, as a BDC, we generally are required to meet a coverage ratio of total assets, less liabilities and indebtedness not represented by senior securities, to total senior securities, which include all of our borrowings and any outstanding preferred stock, of</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59"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at least 200.0%. This requirement limits the amount that we may borrow. Our asset coverage ratio, as defined in the 1940 Act, was 271.0% as of February 28, 2017 and 302.5% as of February 29, 2016. To fund growth in our investment portfolio in the future, we anticipate needing to raise additional capital from various sources, including the equity markets and other debt-related markets, which may or may not be available on favorable terms, if at all.</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Consequently, we may not have the funds or the ability to fund new investments, to make additional investments in our portfolio companies, to fund our unfunded commitments to portfolio companies or to repay borrowings. Also, the illiquidity of our portfolio investments may make it difficult for us to sell these investments when desired and, if we are required to sell these investments, we may realize significantly less than their recorded value.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Madison revolving credit facility</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Below is a summary of the terms of the senior secured revolving credit facility we entered into with Madison Capital Funding LLC (the “Credit Facility”) on June 30, 2010.</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Availability. </w:t>
      </w:r>
      <w:r>
        <w:rPr>
          <w:rFonts w:ascii="Arial" w:cs="Arial" w:eastAsia="Arial" w:hAnsi="Arial"/>
          <w:sz w:val="18"/>
          <w:szCs w:val="18"/>
          <w:color w:val="auto"/>
        </w:rPr>
        <w:t>The Company can draw up to the lesser of (i) $40.0 million (the “Facility Amount”) and (ii) the product of the applicable advance rate</w:t>
      </w:r>
      <w:r>
        <w:rPr>
          <w:rFonts w:ascii="Arial" w:cs="Arial" w:eastAsia="Arial" w:hAnsi="Arial"/>
          <w:sz w:val="18"/>
          <w:szCs w:val="18"/>
          <w:i w:val="1"/>
          <w:iCs w:val="1"/>
          <w:color w:val="auto"/>
        </w:rPr>
        <w:t xml:space="preserve"> </w:t>
      </w:r>
      <w:r>
        <w:rPr>
          <w:rFonts w:ascii="Arial" w:cs="Arial" w:eastAsia="Arial" w:hAnsi="Arial"/>
          <w:sz w:val="18"/>
          <w:szCs w:val="18"/>
          <w:color w:val="auto"/>
        </w:rPr>
        <w:t>(which varies from 50.0% to 75.0% depending on the type of loan asset) and the value, determined in accordance with the Credit Facility (the “Adjusted Borrowing Value”), of certain “eligible” loan assets pledged as security for the loan (the “Borrowing Base”), in each case less (a) the amount of any undrawn funding commitments the Company has under any loan asset and which are not covered by amounts in the Unfunded Exposure Account referred to below (the “Unfunded Exposure Amount”) and (b) outstanding borrowings. Each loan asset held by the Company as of the date on which the Credit Facility was closed was valued as of that date and each loan asset that the Company acquires after such date will be valued at the lowest of its fair value, its face value (excluding accrued interest) and the purchase price paid for such loan asset. Adjustments to the value of a loan asset will be made to reflect, among other things, changes in its fair value, a default by the obligor on the loan asset, insolvency of the obligor, acceleration of the loan asset, and certain modifications to the terms of the loan asset.</w:t>
      </w:r>
    </w:p>
    <w:p>
      <w:pPr>
        <w:spacing w:after="0" w:line="19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Credit Facility contains limitations on the type of loan assets that are “eligible” to be included in the Borrowing Base and as to the concentration level of certain categories of loan assets in the Borrowing Base such as restrictions on geographic and industry concentrations, asset size and quality, payment frequency, status and terms, average life, and collateral interests. In addition, if an asset is to remain an “eligible” loan asset, the Company may not make changes to the payment, amortization, collateral and certain other terms of the loan assets without the consent of the administrative agent that will either result in subordination of the loan asset or be materially adverse to the lenders.</w:t>
      </w:r>
    </w:p>
    <w:p>
      <w:pPr>
        <w:spacing w:after="0" w:line="18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i w:val="1"/>
          <w:iCs w:val="1"/>
          <w:color w:val="auto"/>
        </w:rPr>
        <w:t xml:space="preserve">Collateral. </w:t>
      </w:r>
      <w:r>
        <w:rPr>
          <w:rFonts w:ascii="Arial" w:cs="Arial" w:eastAsia="Arial" w:hAnsi="Arial"/>
          <w:sz w:val="16"/>
          <w:szCs w:val="16"/>
          <w:color w:val="auto"/>
        </w:rPr>
        <w:t>The Credit Facility is secured by substantially all of the assets of the Company (other than assets held by our SBIC subsidiary) and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the subordinated notes (“CLO Notes”) issued by Saratoga CLO and the Company’s rights under the CLO Management Agreement (as defined below).</w:t>
      </w:r>
    </w:p>
    <w:p>
      <w:pPr>
        <w:spacing w:after="0" w:line="124" w:lineRule="exact"/>
        <w:rPr>
          <w:sz w:val="20"/>
          <w:szCs w:val="20"/>
          <w:color w:val="auto"/>
        </w:rPr>
      </w:pPr>
    </w:p>
    <w:p>
      <w:pPr>
        <w:jc w:val="both"/>
        <w:ind w:right="240" w:firstLine="456"/>
        <w:spacing w:after="0" w:line="288" w:lineRule="auto"/>
        <w:rPr>
          <w:sz w:val="20"/>
          <w:szCs w:val="20"/>
          <w:color w:val="auto"/>
        </w:rPr>
      </w:pPr>
      <w:r>
        <w:rPr>
          <w:rFonts w:ascii="Arial" w:cs="Arial" w:eastAsia="Arial" w:hAnsi="Arial"/>
          <w:sz w:val="16"/>
          <w:szCs w:val="16"/>
          <w:i w:val="1"/>
          <w:iCs w:val="1"/>
          <w:color w:val="auto"/>
        </w:rPr>
        <w:t xml:space="preserve">Interest Rate and Fees. </w:t>
      </w:r>
      <w:r>
        <w:rPr>
          <w:rFonts w:ascii="Arial" w:cs="Arial" w:eastAsia="Arial" w:hAnsi="Arial"/>
          <w:sz w:val="16"/>
          <w:szCs w:val="16"/>
          <w:color w:val="auto"/>
        </w:rPr>
        <w:t>Under the Credit Facility, funds are borrowed from or through certain lenders at the greater of the prevailing LIBOR rate and</w:t>
      </w:r>
      <w:r>
        <w:rPr>
          <w:rFonts w:ascii="Arial" w:cs="Arial" w:eastAsia="Arial" w:hAnsi="Arial"/>
          <w:sz w:val="16"/>
          <w:szCs w:val="16"/>
          <w:i w:val="1"/>
          <w:iCs w:val="1"/>
          <w:color w:val="auto"/>
        </w:rPr>
        <w:t xml:space="preserve"> </w:t>
      </w:r>
      <w:r>
        <w:rPr>
          <w:rFonts w:ascii="Arial" w:cs="Arial" w:eastAsia="Arial" w:hAnsi="Arial"/>
          <w:sz w:val="16"/>
          <w:szCs w:val="16"/>
          <w:color w:val="auto"/>
        </w:rPr>
        <w:t>2.00%, plus an applicable margin of 5.50%. At the Company’s option, funds may be borrowed based on an alternative base rate, which in no event will be less than 3.00%, and the applicable margin over such alternative base rate is 4.50%. In addition, the Company pays the lenders a commitment fee of</w:t>
      </w:r>
    </w:p>
    <w:p>
      <w:pPr>
        <w:ind w:right="140"/>
        <w:spacing w:after="0" w:line="323" w:lineRule="auto"/>
        <w:rPr>
          <w:sz w:val="20"/>
          <w:szCs w:val="20"/>
          <w:color w:val="auto"/>
        </w:rPr>
      </w:pPr>
      <w:r>
        <w:rPr>
          <w:rFonts w:ascii="Arial" w:cs="Arial" w:eastAsia="Arial" w:hAnsi="Arial"/>
          <w:sz w:val="16"/>
          <w:szCs w:val="16"/>
          <w:color w:val="auto"/>
        </w:rPr>
        <w:t>0.75% per year on the unused amount of the Credit Facility for the duration of the Revolving Period (defined below). Accrued interest and commitment fees are payable monthly. The Company was also obligated to pay certain other fees to the lenders in connection with the closing of the Credit Facility.</w:t>
      </w:r>
    </w:p>
    <w:p>
      <w:pPr>
        <w:spacing w:after="0" w:line="13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Revolving Period and Maturity Date. </w:t>
      </w:r>
      <w:r>
        <w:rPr>
          <w:rFonts w:ascii="Arial" w:cs="Arial" w:eastAsia="Arial" w:hAnsi="Arial"/>
          <w:sz w:val="18"/>
          <w:szCs w:val="18"/>
          <w:color w:val="auto"/>
        </w:rPr>
        <w:t>The Company may make and repay borrowings under the Credit Facility for a period of three years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of the Credit Facility (the “Revolving Period”). The Revolving Period may be terminated at an earlier time by the Company or, upon the occurrence of an event of default, by action of the lenders or automatically. All borrowings and other amounts payable under the Credit Facility are due and payable in full five years after the end of the Revolving Period.</w:t>
      </w:r>
    </w:p>
    <w:p>
      <w:pPr>
        <w:spacing w:after="0" w:line="187"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i w:val="1"/>
          <w:iCs w:val="1"/>
          <w:color w:val="auto"/>
        </w:rPr>
        <w:t xml:space="preserve">Collateral Tests. </w:t>
      </w:r>
      <w:r>
        <w:rPr>
          <w:rFonts w:ascii="Arial" w:cs="Arial" w:eastAsia="Arial" w:hAnsi="Arial"/>
          <w:sz w:val="16"/>
          <w:szCs w:val="16"/>
          <w:color w:val="auto"/>
        </w:rPr>
        <w:t>It is a condition precedent to any borrowing under the Credit Facility that the principal amount outstanding under the Credit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after giving effect to the proposed borrowings, not exceed the lesser of the Borrowing Base or the Facility Amount (the “Borrowing Base Test”). In addition to satisfying the Borrowing Base Test, the following tests must also be satisfied (together with Borrowing Base Test, the “Collateral Tests”):</w:t>
      </w:r>
    </w:p>
    <w:p>
      <w:pPr>
        <w:spacing w:after="0" w:line="52" w:lineRule="exact"/>
        <w:rPr>
          <w:sz w:val="20"/>
          <w:szCs w:val="20"/>
          <w:color w:val="auto"/>
        </w:rPr>
      </w:pPr>
    </w:p>
    <w:p>
      <w:pPr>
        <w:ind w:left="900" w:right="200" w:hanging="446"/>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Interest Coverage Ratio. </w:t>
      </w:r>
      <w:r>
        <w:rPr>
          <w:rFonts w:ascii="Arial" w:cs="Arial" w:eastAsia="Arial" w:hAnsi="Arial"/>
          <w:sz w:val="18"/>
          <w:szCs w:val="18"/>
          <w:color w:val="auto"/>
        </w:rPr>
        <w:t>The ratio (expressed as a percentage) of interest collections with respect to pledged loan assets, less certain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the Credit Facility, to accrued interest and commitment fees and any breakage costs payable to the lenders under the Credit Facility for the last 6 payment periods must equal at least 175.0%.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446"/>
        <w:spacing w:after="0" w:line="286"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Overcollateralization Ratio. </w:t>
      </w:r>
      <w:r>
        <w:rPr>
          <w:rFonts w:ascii="Arial" w:cs="Arial" w:eastAsia="Arial" w:hAnsi="Arial"/>
          <w:sz w:val="17"/>
          <w:szCs w:val="17"/>
          <w:color w:val="auto"/>
        </w:rPr>
        <w:t>The ratio (expressed as a percentage) of the aggregate Adjusted Borrowing Value of “eligible” pledged loan assets</w:t>
      </w:r>
      <w:r>
        <w:rPr>
          <w:rFonts w:ascii="Arial" w:cs="Arial" w:eastAsia="Arial" w:hAnsi="Arial"/>
          <w:sz w:val="17"/>
          <w:szCs w:val="17"/>
          <w:i w:val="1"/>
          <w:iCs w:val="1"/>
          <w:color w:val="auto"/>
        </w:rPr>
        <w:t xml:space="preserve"> </w:t>
      </w:r>
      <w:r>
        <w:rPr>
          <w:rFonts w:ascii="Arial" w:cs="Arial" w:eastAsia="Arial" w:hAnsi="Arial"/>
          <w:sz w:val="17"/>
          <w:szCs w:val="17"/>
          <w:color w:val="auto"/>
        </w:rPr>
        <w:t>plus the fair value of certain ineligible pledged loan assets and the CLO Notes (in each case, subject to certain adjustments) to outstanding borrowings under the Credit Facility plus the Unfunded Exposure Amount must equal at least 200.0%.</w:t>
      </w:r>
    </w:p>
    <w:p>
      <w:pPr>
        <w:spacing w:after="0" w:line="70" w:lineRule="exact"/>
        <w:rPr>
          <w:rFonts w:ascii="Arial" w:cs="Arial" w:eastAsia="Arial" w:hAnsi="Arial"/>
          <w:sz w:val="17"/>
          <w:szCs w:val="17"/>
          <w:color w:val="auto"/>
        </w:rPr>
      </w:pPr>
    </w:p>
    <w:p>
      <w:pPr>
        <w:ind w:left="900" w:right="320" w:hanging="446"/>
        <w:spacing w:after="0" w:line="286"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Weighted Average FMV Test. </w:t>
      </w:r>
      <w:r>
        <w:rPr>
          <w:rFonts w:ascii="Arial" w:cs="Arial" w:eastAsia="Arial" w:hAnsi="Arial"/>
          <w:sz w:val="17"/>
          <w:szCs w:val="17"/>
          <w:color w:val="auto"/>
        </w:rPr>
        <w:t>The aggregate adjusted or weighted value of “eligible” pledged loan assets as a percentage of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principal balance of “eligible” pledged loan assets must be equal to or greater than 72.0% and 80.0% during the one-year periods prior to the first and second anniversary of the closing date, respectively, and 85.0% at all times thereafter.</w:t>
      </w:r>
    </w:p>
    <w:p>
      <w:pPr>
        <w:spacing w:after="0" w:line="16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Credit Facility also requires payment of outstanding borrowings or replacement of pledged loan assets upon the Company’s breach of its representation and warranty that pledged loan assets included in the Borrowing Base are “eligible” loan assets. Such payments or replacements must equal the lower of the amount by which the Borrowing Base is overstated as a result of such breach or any deficiency under the Collateral Tests at the time of repayment or replacement. Compliance with the Collateral Tests is also a condition to the discretionary sale of pledged loan assets by the Company.</w:t>
      </w:r>
    </w:p>
    <w:p>
      <w:pPr>
        <w:spacing w:after="0" w:line="15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i w:val="1"/>
          <w:iCs w:val="1"/>
          <w:color w:val="auto"/>
        </w:rPr>
        <w:t xml:space="preserve">Priority of Payments. </w:t>
      </w:r>
      <w:r>
        <w:rPr>
          <w:rFonts w:ascii="Arial" w:cs="Arial" w:eastAsia="Arial" w:hAnsi="Arial"/>
          <w:sz w:val="17"/>
          <w:szCs w:val="17"/>
          <w:color w:val="auto"/>
        </w:rPr>
        <w:t>During the Revolving Period, the priority of payments provisions of the Credit Facility require, after payment of specified fees</w:t>
      </w:r>
      <w:r>
        <w:rPr>
          <w:rFonts w:ascii="Arial" w:cs="Arial" w:eastAsia="Arial" w:hAnsi="Arial"/>
          <w:sz w:val="17"/>
          <w:szCs w:val="17"/>
          <w:i w:val="1"/>
          <w:iCs w:val="1"/>
          <w:color w:val="auto"/>
        </w:rPr>
        <w:t xml:space="preserve"> </w:t>
      </w:r>
      <w:r>
        <w:rPr>
          <w:rFonts w:ascii="Arial" w:cs="Arial" w:eastAsia="Arial" w:hAnsi="Arial"/>
          <w:sz w:val="17"/>
          <w:szCs w:val="17"/>
          <w:color w:val="auto"/>
        </w:rPr>
        <w:t>and expenses and any necessary funding of the Unfunded Exposure Account, that collections of principal from the loan assets and, to the extent that these are insufficient, collections of interest from the loan assets, be applied on each payment date to payment of outstanding borrowings if the Borrowing Base Test, the Overcollateralization Ratio and the Interest Coverage Ratio would not otherwise be met. Similarly, following termination of the Revolving Period, collections of interest are required to be applied, after payment of certain fees and expenses, to cure any deficiencies in the Borrowing Base Test, the Interest Coverage Ratio and the Overcollateralization Ratio as of the relevant payment date.</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 xml:space="preserve">Reserve Account. </w:t>
      </w:r>
      <w:r>
        <w:rPr>
          <w:rFonts w:ascii="Arial" w:cs="Arial" w:eastAsia="Arial" w:hAnsi="Arial"/>
          <w:sz w:val="17"/>
          <w:szCs w:val="17"/>
          <w:color w:val="auto"/>
        </w:rPr>
        <w:t>The Credit Facility requires the Company to set aside an amount equal to the sum of accrued interest, commitment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fees due and payable on the next succeeding three payment dates (or corresponding to three payment periods). If for any monthly period during which fees and other payments accrue, the aggregate Adjusted Borrowing Value of “eligible” pledged loan assets which do not pay cash interest at least quarterly exceeds 15.0% of the aggregate Adjusted Borrowing Value of “eligible” pledged loan assets, the Company is required to set aside such interest and fees due and payable on the next succeeding six payment dates. Amounts in the reserve account can be applied solely to the payment of administrative agent fees, commitment fees, accrued and unpaid interest and any breakage costs payable to the lenders.</w:t>
      </w:r>
    </w:p>
    <w:p>
      <w:pPr>
        <w:spacing w:after="0" w:line="178"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i w:val="1"/>
          <w:iCs w:val="1"/>
          <w:color w:val="auto"/>
        </w:rPr>
        <w:t xml:space="preserve">Unfunded Exposure Account. </w:t>
      </w:r>
      <w:r>
        <w:rPr>
          <w:rFonts w:ascii="Arial" w:cs="Arial" w:eastAsia="Arial" w:hAnsi="Arial"/>
          <w:sz w:val="17"/>
          <w:szCs w:val="17"/>
          <w:color w:val="auto"/>
        </w:rPr>
        <w:t>With respect to revolver or delayed draw loan assets, the Company is required to set aside in a designated account (the</w:t>
      </w:r>
      <w:r>
        <w:rPr>
          <w:rFonts w:ascii="Arial" w:cs="Arial" w:eastAsia="Arial" w:hAnsi="Arial"/>
          <w:sz w:val="17"/>
          <w:szCs w:val="17"/>
          <w:i w:val="1"/>
          <w:iCs w:val="1"/>
          <w:color w:val="auto"/>
        </w:rPr>
        <w:t xml:space="preserve"> </w:t>
      </w:r>
      <w:r>
        <w:rPr>
          <w:rFonts w:ascii="Arial" w:cs="Arial" w:eastAsia="Arial" w:hAnsi="Arial"/>
          <w:sz w:val="17"/>
          <w:szCs w:val="17"/>
          <w:color w:val="auto"/>
        </w:rPr>
        <w:t>“Unfunded Exposure Account”) 100.0% of its outstanding and undrawn funding commitments with respect to such loan assets. The Unfunded Exposure Account is funded at the time the Company acquires a revolver or delayed draw loan asset and requests a related borrowing under the Credit Facility. The Unfunded Exposure Account is funded through a combination of proceeds of the requested borrowing and other Company funds, and if for any reason such amounts are insufficient, through application of the priority of payment provisions described above.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The priority of payments provision of the Credit Facility provides for the payment of certain operating expenses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out of collections on principal and interest during the Revolving Period and out of collections on interest following the termination of the Revolving Period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the priority established in such provision. The operating expenses payable pursuant to the priority of payment provisions is limited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$350,000 for each monthly payment date or $2.5 million for the immediately preceding period of twelve consecutive monthly payment dates. This ceiling can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increased by the lesser of 5.0% or the percentage increase in the fair market value of all the Company’s assets only on the first monthly payment date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 after each one-year anniversary following the closing of the Credit Facility. Upon the occurrence of a Manager Event (described below), the consent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is required in order to pay operating expenses through the priority of payments provision.</w:t>
      </w:r>
    </w:p>
    <w:p>
      <w:pPr>
        <w:spacing w:after="0" w:line="211"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i w:val="1"/>
          <w:iCs w:val="1"/>
          <w:color w:val="auto"/>
        </w:rPr>
        <w:t xml:space="preserve">Events of Default. </w:t>
      </w:r>
      <w:r>
        <w:rPr>
          <w:rFonts w:ascii="Arial" w:cs="Arial" w:eastAsia="Arial" w:hAnsi="Arial"/>
          <w:sz w:val="17"/>
          <w:szCs w:val="17"/>
          <w:color w:val="auto"/>
        </w:rPr>
        <w:t>The Credit Facility contains certain negative covenants, customary representations and warranties and affirmative covenants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events of default. The Credit Facility does not contain grace periods for breach by the Company of certain covenants, including, without limitation, preservation of existence, negative pledge, change of name or jurisdiction and separate legal entity status of the Company covenants and certain other customary covenants. Other events of default under the Credit Facility include, among other things, the following:</w:t>
      </w:r>
    </w:p>
    <w:p>
      <w:pPr>
        <w:spacing w:after="0" w:line="77"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Interest Coverage Ratio of less than 150.0%;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Overcollateralization Ratio of less than 175.0%;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filing of certain ERISA or tax liens;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occurrence of certain “Manager Events” such as:</w:t>
      </w:r>
    </w:p>
    <w:p>
      <w:pPr>
        <w:spacing w:after="0" w:line="130" w:lineRule="exact"/>
        <w:rPr>
          <w:rFonts w:ascii="Arial" w:cs="Arial" w:eastAsia="Arial" w:hAnsi="Arial"/>
          <w:sz w:val="18"/>
          <w:szCs w:val="18"/>
          <w:color w:val="auto"/>
        </w:rPr>
      </w:pPr>
    </w:p>
    <w:p>
      <w:pPr>
        <w:ind w:left="1480" w:right="200" w:hanging="446"/>
        <w:spacing w:after="0" w:line="308" w:lineRule="auto"/>
        <w:tabs>
          <w:tab w:leader="none" w:pos="14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failure by Saratoga Investment Advisors and its affiliates to maintain collectively, directly or indirectly, a cash equity investment in the Company in an amount equal to at least $5.0 million at any time prior to the third anniversary of the closing date;</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failure of the Management Agreement between Saratoga Investment Advisors and the Company to be in full force and effect;</w:t>
      </w:r>
    </w:p>
    <w:p>
      <w:pPr>
        <w:spacing w:after="0" w:line="142" w:lineRule="exact"/>
        <w:rPr>
          <w:rFonts w:ascii="Arial" w:cs="Arial" w:eastAsia="Arial" w:hAnsi="Arial"/>
          <w:sz w:val="17"/>
          <w:szCs w:val="17"/>
          <w:color w:val="auto"/>
        </w:rPr>
      </w:pPr>
    </w:p>
    <w:p>
      <w:pPr>
        <w:ind w:left="1480" w:right="160" w:hanging="446"/>
        <w:spacing w:after="0" w:line="312" w:lineRule="auto"/>
        <w:tabs>
          <w:tab w:leader="none" w:pos="14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indictment or conviction of Saratoga Investment Advisors or any “key person” for a felony offense, or any fraud, embezzlement or misappropriation of funds by Saratoga Investment Advisors or any “key person” and, in the case of “key persons,” without a reputable, experienced individual reasonably satisfactory to Madison Capital Funding appointed to replace such key person within 30 days;</w:t>
      </w:r>
    </w:p>
    <w:p>
      <w:pPr>
        <w:spacing w:after="0" w:line="52" w:lineRule="exact"/>
        <w:rPr>
          <w:rFonts w:ascii="Arial" w:cs="Arial" w:eastAsia="Arial" w:hAnsi="Arial"/>
          <w:sz w:val="16"/>
          <w:szCs w:val="16"/>
          <w:color w:val="auto"/>
        </w:rPr>
      </w:pPr>
    </w:p>
    <w:p>
      <w:pPr>
        <w:ind w:left="1480" w:right="40" w:hanging="446"/>
        <w:spacing w:after="0" w:line="264"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resignation, termination, disability or death of a “key person” or failure of any “key person” to provide active participation in Saratoga Investment Advisors’ daily activities, all without a reputable, experienced individual reasonably satisfactory to Madison Capital Funding appointed within 30 days; or</w:t>
      </w:r>
    </w:p>
    <w:p>
      <w:pPr>
        <w:spacing w:after="0" w:line="86"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occurrence of any event constituting “cause” under the Collateral Management Agreement between the Company and Saratoga CLO (the “CLO Management Agreement”), delivery of a notice under Section 12(c) of the CLO Management Agreement with respect to the removal of the Company as collateral manager or the Company ceases to act as collateral manager under the CLO Management Agreement.</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Conditions to Acquisitions and Pledges of Loan Assets. </w:t>
      </w:r>
      <w:r>
        <w:rPr>
          <w:rFonts w:ascii="Arial" w:cs="Arial" w:eastAsia="Arial" w:hAnsi="Arial"/>
          <w:sz w:val="18"/>
          <w:szCs w:val="18"/>
          <w:color w:val="auto"/>
        </w:rPr>
        <w:t>The Credit Facility imposes certain additional conditions to the acquisition and pledge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loan assets. Among other things, the Company may not acquire additional loan assets without the prior written consent of the administrative agent until such time that the administrative agent indicates in writing its satisfaction with Saratoga Investment Advisors’ policies, personnel and processes relating to the loan assets.</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i w:val="1"/>
          <w:iCs w:val="1"/>
          <w:color w:val="auto"/>
        </w:rPr>
        <w:t xml:space="preserve">Fees and Expenses. </w:t>
      </w:r>
      <w:r>
        <w:rPr>
          <w:rFonts w:ascii="Arial" w:cs="Arial" w:eastAsia="Arial" w:hAnsi="Arial"/>
          <w:sz w:val="17"/>
          <w:szCs w:val="17"/>
          <w:color w:val="auto"/>
        </w:rPr>
        <w:t>The Company paid certain fees and reimbursed Madison Capital Funding LLC for the aggregate amount of all documented,</w:t>
      </w:r>
      <w:r>
        <w:rPr>
          <w:rFonts w:ascii="Arial" w:cs="Arial" w:eastAsia="Arial" w:hAnsi="Arial"/>
          <w:sz w:val="17"/>
          <w:szCs w:val="17"/>
          <w:i w:val="1"/>
          <w:iCs w:val="1"/>
          <w:color w:val="auto"/>
        </w:rPr>
        <w:t xml:space="preserve"> </w:t>
      </w:r>
      <w:r>
        <w:rPr>
          <w:rFonts w:ascii="Arial" w:cs="Arial" w:eastAsia="Arial" w:hAnsi="Arial"/>
          <w:sz w:val="17"/>
          <w:szCs w:val="17"/>
          <w:color w:val="auto"/>
        </w:rPr>
        <w:t>out-of-pocket costs and expenses, including the reasonable fees and expenses of lawyers, incurred by Madison Capital Funding LLC in connection with the Credit Facility and the carrying out of any and all acts contemplated thereunder up to and as of the date of closing of the stock purchase transaction with Saratoga Investment Advisors and certain of its affiliates. These amounts totaled $2.0 million.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February 24, 2012, we amended our senior secured revolving credit facility with Madison Capital Funding LLC to, among other things:</w:t>
      </w:r>
    </w:p>
    <w:p>
      <w:pPr>
        <w:spacing w:after="0" w:line="142"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130" w:lineRule="exact"/>
        <w:rPr>
          <w:rFonts w:ascii="Arial" w:cs="Arial" w:eastAsia="Arial" w:hAnsi="Arial"/>
          <w:sz w:val="18"/>
          <w:szCs w:val="18"/>
          <w:color w:val="auto"/>
        </w:rPr>
      </w:pPr>
    </w:p>
    <w:p>
      <w:pPr>
        <w:ind w:left="900" w:right="30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extend the period during which we may make and repay borrowings under the Credit Facility from July 30, 2013 to February 24, 2015 (the “Revolving Period”). The Revolving Period may, upon the occurrence of an event of default, by action of the lenders or automatically, be terminated. All borrowings and other amounts payable under the Credit Facility are due and payable five years after the end of the Revolving Period; and</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remove the condition that we may not acquire additional loan assets without the prior written consent of the administrative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17, 2014, we entered into a second amendment to the Revolving Facility with Madison Capital Funding LLC to, among other things:</w:t>
      </w:r>
    </w:p>
    <w:p>
      <w:pPr>
        <w:spacing w:after="0" w:line="154"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extend the commitment termination date from February 24, 2015 to September 17,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extend the maturity date of the Revolving Facility from February 24, 2020 to September 17, 2022 (unless terminated sooner upon certain events);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reduce the applicable margin rate on base rate borrowings from 4.50% to 3.75%, and on LIBOR borrowings from 5.50% to 4.75%;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reduce the floor on base rate borrowings from 3.00% to 2.25%; and on LIBOR borrowings from 2.00% to 1.25%.</w:t>
      </w:r>
    </w:p>
    <w:p>
      <w:pPr>
        <w:spacing w:after="0" w:line="225"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As of February 28, 2017, we had no outstanding borrowings under the Credit Facility and $112.7 million SBA-guaranteed debentures outstanding (which are discussed below). As of February 29, 2016, we had no outstanding borrowings under the Credit Facility and $103.7 million SBA-guaranteed debentures outstanding. Our borrowing base under the Credit Facility at February 28, 2017 and February 29, 2016 was $24.7 million and $21.8 million, respectively.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 coverage ratio, as defined in the 1940 Act, was 271.0% as of February 28, 2017 and 302.5% as of February 29, 2016.</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SBA-guaranteed debentures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addition, we, through a wholly-owned subsidiary, sought and obtained a license from the SBA to operate an SBIC. In this regard, on March 28, 2012, our wholly-owned subsidiary, Saratoga Investment Corp. SBIC, LP, received a license from the SBA to operate as an SBIC under Section 301(c) of the Small Business Investment Act of 1958. SBICs are designated to stimulate the flow of private equity capital to eligible small businesses. Under SBA regulations, SBICs may make loans to eligible small businesses and invest in the equity securities of small businesses.</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SBIC license allows our SBIC subsidiary to obtain leverage by issuing SBA-guaranteed debentures.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on a semi-annual basis at a market-driven spread over U.S. Treasury Notes with 10-year maturities.</w:t>
      </w:r>
    </w:p>
    <w:p>
      <w:pPr>
        <w:spacing w:after="0" w:line="187"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SBA regulations currently limit the amount that our SBIC subsidiary may borrow to a maximum of $150.0 million when it has at least $75.0 million in regulatory capital, receives a capital commitment from the SBA and has been through an examination by the SBA subsequent to licensing. As of February 28, 2017, our SBIC subsidiary had $75.0 million in regulatory capital and $112.7 million SBA-guaranteed debentures outstanding.</w:t>
      </w:r>
    </w:p>
    <w:p>
      <w:pPr>
        <w:spacing w:after="0" w:line="166"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received exemptive relief from the SEC to permit us to exclude the debt of our SBIC subsidiary guaranteed by the SBA from the definition of senior securities in the 200.0% asset coverage test under the 1940 Act. This allows us increased flexibility under the 200.0% asset coverage test by permitting us to borrow up to $150.0 million more than we would otherwise be able to absent the receipt of this exemptive relief.</w:t>
      </w:r>
    </w:p>
    <w:p>
      <w:pPr>
        <w:spacing w:after="0" w:line="166"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On April 2, 2015, the SBA issued a “green light” letter inviting the Company to continue our application process to obtain a license to form and operate its second SBIC subsidiary. On September 27, 2016, the SBA informed us that as part of their continued review of our application for a second license, and in order to ensure that they were reviewing the most current information available, we would need to update all previously submitted materials and invited us to reapply. As a result of this request, with which we are in the process of complying, the existing “green light” letter that the SBA issued to us has expired. If approved in the future, a second SBIC license would provide us an incremental source of long-term capital by permitting us to issue up to $150.0 million of additional SBA-guaranteed debentures in addition to the $150.0 million already approved under the first license.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Unsecured notes</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May 2013, we issued $48.3 million in aggregate principal amount of our 2020 Notes for net proceeds of $46.1 million after deducting underwriting commissions of $1.9 million and offering costs of $0.3 million. The proceeds included the underwriters’ full exercise of their overallotment option. Interest on these 2020 Notes is paid quarterly in arrears on February 15, May 15, August 15 and November 15, at a rate of 7.50% per year, beginning August 15, 2013. The 2020 Notes mature on May 31, 2020 and since May 31, 2016, may be redeemed in whole or in part at any time or from time to time at our option. In connection with the issuance of the 2020 Notes, we agreed to the following covenants for the period of time during which the 2020 Notes are outstanding:</w:t>
      </w:r>
    </w:p>
    <w:p>
      <w:pPr>
        <w:spacing w:after="0" w:line="64" w:lineRule="exact"/>
        <w:rPr>
          <w:sz w:val="20"/>
          <w:szCs w:val="20"/>
          <w:color w:val="auto"/>
        </w:rPr>
      </w:pPr>
    </w:p>
    <w:p>
      <w:pPr>
        <w:ind w:left="900" w:right="34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not violate (whether or not we are subject to) Section 18(a)(1)(A) as modified by Section 61(a)(1) of the 1940 Act or any successor provisions, but giving effect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200.0% after such borrowings.</w:t>
      </w:r>
    </w:p>
    <w:p>
      <w:pPr>
        <w:spacing w:after="0" w:line="92" w:lineRule="exact"/>
        <w:rPr>
          <w:rFonts w:ascii="Arial" w:cs="Arial" w:eastAsia="Arial" w:hAnsi="Arial"/>
          <w:sz w:val="18"/>
          <w:szCs w:val="18"/>
          <w:color w:val="auto"/>
        </w:rPr>
      </w:pPr>
    </w:p>
    <w:p>
      <w:pPr>
        <w:ind w:left="900" w:hanging="446"/>
        <w:spacing w:after="0" w:line="25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not violate (regardless of whether we are subject to) Section 18(a)(1)(B) as modified by Section 61(a)(1) of the 1940 Act or any successor provisions, but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the BDC’s status as a regulated investment company under the Code. Currently these provisions generally prohibit us from declaring any cash dividend or distribution upon any class of our capital stock, or purchasing any such capital stock if our asset coverage, as defined in the 1940 Act, is below 200.0% at the time of the declaration of the dividend or distribution or the purchase and after deducting the amount of such dividend, distribution or purchase.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2020 Notes were redeemed in full on January 13, 2017 and are no longer listed on the NYSE.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On May 29, 2015, we entered into a Debt Distribution Agreement with Ladenburg Thalmann &amp; Co. through which we may offer for sale, from time to time, up to $20.0 million in aggregate principal amount of the 2020 Notes through an ATM offering. As of February 28, 2017, the Company sold 539,725 bonds with a principal of $13,493,125 at an average price of $25.31 for aggregate net proceeds of $13,385,766 (net of transaction costs).</w:t>
      </w:r>
    </w:p>
    <w:p>
      <w:pPr>
        <w:spacing w:after="0" w:line="16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December 21, 2016, we issued $74.5 million in aggregate principal amount of our 2023 Notes for net proceeds of $71.7 million after deducting underwriting commissions of approximately $2.3 million and offering costs of approximately $0.5 million. The issuance included the exercise of substantially all of the underwriters’ option to purchase an additional $9.8 million aggregate principal amount of 2023 Notes within 30 days. Interest on the 2023 Notes is paid quarterly in arrears on March 15, June 15, September 15 and December 15, at a rate of 6.75% per year, beginning March 30, 2017. The 2023 Notes mature on December 30, 2023, and commencing December 21, 2019, may be redeemed in whole or in part at any time or from time to time at our option. The net proceeds from the offering were used to repay all of the outstanding indebtedness under the 2020 Notes on January 13, 2017, which amounts to</w:t>
      </w:r>
    </w:p>
    <w:p>
      <w:pPr>
        <w:spacing w:after="0" w:line="5" w:lineRule="exact"/>
        <w:rPr>
          <w:sz w:val="20"/>
          <w:szCs w:val="20"/>
          <w:color w:val="auto"/>
        </w:rPr>
      </w:pPr>
    </w:p>
    <w:p>
      <w:pPr>
        <w:jc w:val="both"/>
        <w:ind w:right="460"/>
        <w:spacing w:after="0" w:line="302" w:lineRule="auto"/>
        <w:rPr>
          <w:sz w:val="20"/>
          <w:szCs w:val="20"/>
          <w:color w:val="auto"/>
        </w:rPr>
      </w:pPr>
      <w:r>
        <w:rPr>
          <w:rFonts w:ascii="Arial" w:cs="Arial" w:eastAsia="Arial" w:hAnsi="Arial"/>
          <w:sz w:val="16"/>
          <w:szCs w:val="16"/>
          <w:color w:val="auto"/>
        </w:rPr>
        <w:t>$61.8 million, and for general corporate purposes in accordance with our investment objective and strategies. The 2020 Notes were redeemed in full on January 13, 2017. The 2023 Notes are listed on the NYSE under the trading symbol “SAB” with a par value of $25.00 per share. In connection with the issuance of the 2023 Notes, we agreed to the following covenants for the period of time during which the notes are outstanding:</w:t>
      </w:r>
    </w:p>
    <w:p>
      <w:pPr>
        <w:spacing w:after="0" w:line="61" w:lineRule="exact"/>
        <w:rPr>
          <w:sz w:val="20"/>
          <w:szCs w:val="20"/>
          <w:color w:val="auto"/>
        </w:rPr>
      </w:pPr>
    </w:p>
    <w:p>
      <w:pPr>
        <w:ind w:left="900" w:right="32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will not violate (whether or not we are subject to) Section 18(a)(1)(A) as modified by Section 61(a)(1) of the 1940 Act or any successor provisions, but giving effect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92" w:lineRule="exact"/>
        <w:rPr>
          <w:rFonts w:ascii="Arial" w:cs="Arial" w:eastAsia="Arial" w:hAnsi="Arial"/>
          <w:sz w:val="18"/>
          <w:szCs w:val="18"/>
          <w:color w:val="auto"/>
        </w:rPr>
      </w:pPr>
    </w:p>
    <w:p>
      <w:pPr>
        <w:ind w:left="900" w:right="80" w:hanging="446"/>
        <w:spacing w:after="0" w:line="297"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at any time, we are not subject to the reporting requirements of Sections 13 or 15(d) of the Securities Exchange Act of 1934, or the Exchange Act, to file any periodic reports with the SEC, we agree to furnish to holders of the 2023 Notes and the Trustee, for the period of time during which the 2023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United States generally accepted accounting principles.</w:t>
      </w:r>
    </w:p>
    <w:p>
      <w:pPr>
        <w:spacing w:after="0" w:line="15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At February 28, 2017 and February 29, 2016, the fair value of investments, cash and cash equivalents and cash and cash equivalents, reserve accounts was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At February 28, 2017</w:t>
            </w:r>
          </w:p>
        </w:tc>
        <w:tc>
          <w:tcPr>
            <w:tcW w:w="100" w:type="dxa"/>
            <w:vAlign w:val="bottom"/>
          </w:tcPr>
          <w:p>
            <w:pPr>
              <w:spacing w:after="0"/>
              <w:rPr>
                <w:sz w:val="14"/>
                <w:szCs w:val="14"/>
                <w:color w:val="auto"/>
              </w:rPr>
            </w:pPr>
          </w:p>
        </w:tc>
        <w:tc>
          <w:tcPr>
            <w:tcW w:w="19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of</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Total</w:t>
            </w:r>
          </w:p>
        </w:tc>
        <w:tc>
          <w:tcPr>
            <w:tcW w:w="1180" w:type="dxa"/>
            <w:vAlign w:val="bottom"/>
            <w:gridSpan w:val="3"/>
            <w:vMerge w:val="continue"/>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5"/>
          </w:tcPr>
          <w:p>
            <w:pPr>
              <w:jc w:val="right"/>
              <w:ind w:right="10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9,307</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2,440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Cash and cash equivalents, reserve accounts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12,781</w:t>
            </w: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4,595</w:t>
            </w: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9,823</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First lien term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159,097</w:t>
            </w:r>
          </w:p>
        </w:tc>
        <w:tc>
          <w:tcPr>
            <w:tcW w:w="4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144,643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87,750</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88,178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15,450</w:t>
            </w: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12,828</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20,541</w:t>
            </w:r>
          </w:p>
        </w:tc>
        <w:tc>
          <w:tcPr>
            <w:tcW w:w="500" w:type="dxa"/>
            <w:vAlign w:val="bottom"/>
            <w:gridSpan w:val="2"/>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26,479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314,749</w:t>
            </w:r>
          </w:p>
        </w:tc>
        <w:tc>
          <w:tcPr>
            <w:tcW w:w="2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291,031</w:t>
            </w:r>
          </w:p>
        </w:tc>
        <w:tc>
          <w:tcPr>
            <w:tcW w:w="50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On September 24, 2014, we announced the approval of an open market share repurchase plan that allows it to repurchase up to 200,000 shares of our common stock at prices below our NAV as reported in its then most recently published consolidated financial statements, which was subsequently increased to 400,000 shares of our common stock. On October 5, 2016, our board of directors extended the open market share repurchase plan for another year to October 15, 2017 and increased the number of shares we are permitted to repurchase at prices below our NAV, as reported in its then most recently published consolidated financial statements, to 600,000 shares of our common stock. As of February 28, 2017, we purchased 218,491 shares of common stock, at the average price of $16.87 for approximately $3.7 million pursuant to this repurchase plan.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February 28, 2017, our board of directors declared a dividend of $0.46 per share, which was paid on March 28, 2017, to common stockholders of record as of March 15, 2017. Shareholders had the option to receive payment of the dividend in cash, or receive shares of common stock, pursuant our DRIP. Based on shareholder elections, the dividend consisted of approximately $2.0 million in cash and 29,096 newly issued shares of common stock, or 0.5% of our outstanding common stock prior to the dividend payment. The number of shares of common stock comprising the stock portion was calculated based on a price of $21.38 per share, which equaled the volume weighted average trading price per share of the common stock on March 15, 16, 17, 20, 21, 22, 23, 24, 27 and 28, 2017.</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January 12, 2017, our board of directors declared a dividend of $0.45 per share, which was paid on February 9, 2017, to common stockholders of record as of January 31, 2017. Shareholders had the option to receive payment of the dividend in cash, or receive shares of common stock, pursuant our DRIP. Based on shareholder elections, the dividend consisted of approximately $1.6 million in cash and 50,453 newly issued shares of common stock, or 0.9% of our outstanding common stock prior to the dividend payment. The number of shares of common stock comprising the stock portion was calculated based on a price of $20.25 per share, which equaled the volume weighted average trading price per share of the common stock on January 27, 30, 31 and February 1, 2, 3, 6, 7, 8 and 9, 2017.</w:t>
      </w:r>
    </w:p>
    <w:p>
      <w:pPr>
        <w:spacing w:after="0" w:line="193"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On October 5, 2016, our board of directors declared a dividend of $0.44 per share, which was paid on November 9, 2016, to common stockholders of record as of October 31, 2016. Shareholders had the option to receive payment of the dividend in cash, or receive shares of common stock, pursuant our DRIP. Based on shareholder elections, the dividend consisted of approximately $1.5 million in cash and 58,548 newly issued shares of common stock, or</w:t>
      </w:r>
    </w:p>
    <w:p>
      <w:pPr>
        <w:ind w:right="220"/>
        <w:spacing w:after="0" w:line="255" w:lineRule="auto"/>
        <w:rPr>
          <w:sz w:val="20"/>
          <w:szCs w:val="20"/>
          <w:color w:val="auto"/>
        </w:rPr>
      </w:pPr>
      <w:r>
        <w:rPr>
          <w:rFonts w:ascii="Arial" w:cs="Arial" w:eastAsia="Arial" w:hAnsi="Arial"/>
          <w:sz w:val="18"/>
          <w:szCs w:val="18"/>
          <w:color w:val="auto"/>
        </w:rPr>
        <w:t>1.0% of our outstanding common stock prior to the dividend payment. The number of shares of common stock comprising the stock portion was calculated based on a price of $17.12 per share, which equaled the volume weighted average trading price per share of the common stock on October 27, 28, 31 and November 1, 2, 3, 4, 7, 8 and 9, 2016.</w:t>
      </w:r>
    </w:p>
    <w:p>
      <w:pPr>
        <w:spacing w:after="0" w:line="1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August 8, 2016, our board of directors declared a special dividend of $0.20 per share, which was paid on September 5, 2016, to common stockholders of record as of August 24, 2016. Shareholders had the option to receive payment of the dividend in cash, or receive shares of common stock, pursuant our DRIP. Based on shareholder elections, the dividend consisted of approximately $0.7 million in cash and 24,786 newly issued shares of common stock, or 0.4% of our outstanding common stock prior to the dividend payment. The number of shares of common stock comprising the stock portion was calculated based on a price of $17.06 per share, which equaled the volume weighted average trading price per share of the common stock on August 22, 23, 24, 25, 26, 29, 30, 31 and September 1 and 2, 2016.</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July 7, 2016, our board of directors declared a dividend of $0.43 per share, which was paid on August 9, 2016, to common stockholders of record as of July 29, 2016. Shareholders had the option to receive payment of the dividend in cash, or receive shares of common stock, pursuant our DRIP. Based on shareholder elections, the dividend consisted of approximately $1.5 million in cash and 58,167 newly issued shares of common stock, or 1.0% of our outstanding common stock prior to the dividend payment. The number of shares of common stock comprising the stock portion was calculated based on a price of $16.32 per share, which equaled the volume weighted average trading price per share of the common stock on July 27, 28, 29 and August 1, 2, 3, 4, 5, 8 and 9, 2016.</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March 31, 2016, our board of directors declared a dividend of $0.41 per share, which was paid on April 27, 2016, to common stockholders of record as of April 15, 2016. Shareholders had the option to receive payment of the dividend in cash, or receive shares of common stock, pursuant our DRIP. Based on shareholder elections, the dividend consisted of approximately $1.5 million in cash and 56,728 newly issued shares of common stock, or 1.0% of our outstanding common stock prior to the dividend payment. The number of shares of common stock comprising the stock portion was calculated based on a price of $15.43 per share, which equaled the volume weighted average trading price per share of the common stock on April 14, 15, 18, 19, 20, 21, 22, 25, 26 and 27, 2016.</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January 12, 2016, our board of directors declared a dividend of $0.40 per share, which was paid on February 29, 2016, to common stockholders of record as of February 1, 2016. Shareholders had the option to receive payment of the dividend in cash, or receive shares of common stock, pursuant our DRIP. Based on shareholder elections, the dividend consisted of approximately $1.4 million in cash and 66,765 newly issued shares of common stock, or 1.2% of our outstanding common stock prior to the dividend payment. The number of shares of common stock comprising the stock portion was calculated based on a price of $13.11 per share, which equaled the volume weighted average trading price per share of the common stock on February 16, 17, 18, 19, 22, 23, 24, 25, 26 and 29, 2016.</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October 7, 2015, our board of directors declared a dividend of $0.36 per share, which was paid on November 30, 2015, to common stockholders of record as of November 2, 2015. Shareholders had the option to receive payment of the dividend in cash, or receive shares of common stock, pursuant our DRIP. Based on shareholder elections, the dividend consisted of approximately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$1.1 million in cash and 61,029 newly issued shares of common stock, or 1.1% of our outstanding common stock prior to the dividend payment. The number of shares of common stock comprising the stock portion was calculated based on a price of $14.53 per share, which equaled the volume weighted average trading price per share of the common stock on November 16, 17, 18, 19, 20, 23, 24, 25, 27 and 30, 2015.</w:t>
      </w:r>
    </w:p>
    <w:p>
      <w:pPr>
        <w:spacing w:after="0" w:line="16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July 8, 2015, our board of directors declared a dividend of $0.33 per share, which was paid on August 31, 2015, to common stockholders of record as of August 3, 2015. Shareholders had the option to receive payment of the dividend in cash, or receive shares of common stock, pursuant our DRIP. Based on shareholder elections, the dividend consisted of approximately $1.1 million in cash and 47,861 newly issued shares of common stock, or 0.9% of our outstanding common stock prior to the dividend payment. The number of shares of common stock comprising the stock portion was calculated based on a price of $15.28 per share, which equaled the volume weighted average trading price per share of the common stock on August 18, 19, 20, 21, 24, 25, 26, 27, 28 and 31, 2015.</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May 14, 2015, our board of directors declared a special dividend of $1.00 per share, which was paid on June 5, 2015, to common stockholders of record on as of May 26, 2015. Shareholders had the option to receive payment of the dividend in cash, or receive shares of common stock, pursuant our DRIP. Based on shareholder elections, the dividend consisted of approximately $3.4 million in cash and 126,230 newly issued shares of common stock, or 2.3% of our outstanding common stock prior to the dividend payment. The number of shares of common stock comprising the stock portion was calculated based on a price of $16.47 per share, which equaled the volume weighted average trading price per share of the common stock on May 22, 26, 27, 28, 29 and June 1, 2, 3, 4, and 5, 2015.</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April 9, 2015, our board of directors declared a dividend of $0.27 per share, which was paid on May 29, 2015, to common stockholders of record as of May 4, 2015. Shareholders had the option to receive payment of the dividend in cash, or receive shares of common stock, pursuant our DRIP. Based on shareholder elections, the dividend consisted of approximately $0.9 million in cash and 33,766 newly issued shares of common stock, or 0.6% of our outstanding common stock prior to the dividend payment. The number of shares of common stock comprising the stock portion was calculated based on a price of $16.78 per share, which equaled the volume weighted average trading price per share of the common stock on May 15, 18, 19, 20, 21, 22, 26, 27, 28 and 29, 2015.</w:t>
      </w:r>
    </w:p>
    <w:p>
      <w:pPr>
        <w:spacing w:after="0" w:line="193"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On September 24, 2014, our board of directors declared a dividend of $0.22 per share, which was paid on February 27, 2015. Shareholders have the option to receive payment of the dividend in cash, or receive shares of common stock, pursuant our DRIP. Based on shareholder elections, the dividend consisted of approximately $0.8 million in cash and 26,858 newly issued shares of common stock, or 0.5% of our outstanding common stock prior to the dividend payment. The number of shares of common stock comprising the stock portion was calculated based on a price of $14.97 per share, which equaled the volume weighted average trading price per share of the common stock on February 13, 17, 18, 19, 20, 23, 24, 25, 26 and 27, 2015.</w:t>
      </w:r>
    </w:p>
    <w:p>
      <w:pPr>
        <w:spacing w:after="0" w:line="15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Also on September 24, 2014, our board of directors declared a dividend of $0.18 per share, which was paid on November 28, 2014. Shareholders had the option to receive payment of the dividend in cash, or receive shares of common stock pursuant to our DRIP. Based on shareholder elections, the dividend consisted of approximately $0.6 million in cash and 22,283 newly issued shares of common stock, or 0.4% of our outstanding common stock prior to the dividend payment. The number of shares of common stock comprising the stock portion was calculated based on a price of $14.37 per share, which equaled the volume weighted average trading price per share of the common stock on November 14, 17, 18, 19, 20, 21, 24, 25, 26 and 28, 2014.</w:t>
      </w:r>
    </w:p>
    <w:p>
      <w:pPr>
        <w:spacing w:after="0" w:line="15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October 30, 2013, our board of directors declared a dividend of $2.65 per share, which was paid on December 27, 2013, to common stockholders of record as of November 13, 2013. Shareholders had the option to receive payment of the dividend in cash, shares of common stock, or a combination of cash and shares of common stock, provided that the aggregate cash payable to all shareholders was limited to approximately $2.5 million or $0.53 per share. This dividend was declared in reliance on certain private letter rulings issued by the IRS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approximately $2.5 million in cash and 649,500 shares of common stock, or 13.7%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$15.439 per share, which equaled the volume weighted average trading price per share of the common stock on December 11, 13, and 16, 2013.</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On November 9, 2012, our board of directors declared a dividend of $4.25 per share, which was paid on December 31, 2012, to common stockholders of record as of November 20,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88"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November 15, 2011, our board of directors declared a dividend of $3.00 per share, which was paid on December 30, 2011, to common stockholders of record as of November 25, 2011. Shareholders had the option to receive payment of the dividend in cash, shares of common stock, or a combination of cash and shares of common stock, provided that the aggregate cash payable to all shareholders was limited to $2.0 million or $0.60 per share.</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$13.117067 per share, which equaled the volume weighted average trading price per share of the common stock on December 20, 21 and 22, 2011.</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12, 2010, our board of directors declared a dividend of $4.40 per share to shareholders payable in cash or shares of our common stock, in accordance with the provisions of the IRS Revenue Procedure 2010-12, which allows a publicly-traded regulated investment company to satisfy its distribution requirements with a distribution paid partly in common stock provided that at least 10.0% of the distribution is payable in cash. The dividend was paid on December 29, 2010 to common shareholders of record on November 19, 2010.</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 on a price of $17.8049 per share, which equaled the volume weighted average trading price per share of the common stock on December 20, 21 and 22, 2010.</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On November 13, 2009, our board of directors declared a dividend of $18.25 per share, which was paid on December 31, 2009, to common stockholders of record as of November 25, 2009. Shareholders had the option to receive payment of the dividend in cash, shares of common stock, or a combination of cash and shares of common stock, provided that the aggregate cash payable to all shareholders was limited to $2.1 million or $0.25 per share.</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$2.1 million in cash and 864,872.5 shares of common stock, or 104.0% of our outstanding common stock prior to the dividend payment. The amount of cash elected to be received was greater than the cash limit of 13.7% of the aggregate dividend amount, thus resulting in the payment of a combination of cash and stock to shareholders who elected to receive cash. The number of shares of common stock comprising the stock portion was calculated based on a price of $1.5099 per share, which equaled the volume weighted average trading price per share of the common stock on December 24 and 28, 2009.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provide any assurance that these measures will provide sufficient sources of liquidity to support our operations and growth.</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February 28, 2017:</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99"/>
              </w:rPr>
              <w:t>Payment Due by Period</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2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Less Than</w:t>
            </w: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1 - 3</w:t>
            </w:r>
          </w:p>
        </w:tc>
        <w:tc>
          <w:tcPr>
            <w:tcW w:w="46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3 - 5</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4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 in thousands)</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187,111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$ 187,111</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Company’s off-balance sheet arrangements consisted of $2.0 million and $2.0 million of unfunded commitments to provide debt financing to its portfolio companies or to fund limited partnership interests as of February 28, 2017 and February 29, 2016,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statements of assets and liabilities and are not reflected in the Company’s consolidated statements of assets and liabilities.</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 summary of the composition of the unfunded commitments as of February 28, 2017 and February 29, 2016 is shown in the table below (dollars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85"/>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28,</w:t>
            </w:r>
          </w:p>
        </w:tc>
        <w:tc>
          <w:tcPr>
            <w:tcW w:w="14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February 29,</w:t>
            </w:r>
          </w:p>
        </w:tc>
        <w:tc>
          <w:tcPr>
            <w:tcW w:w="60" w:type="dxa"/>
            <w:vAlign w:val="bottom"/>
          </w:tcPr>
          <w:p>
            <w:pPr>
              <w:spacing w:after="0"/>
              <w:rPr>
                <w:sz w:val="10"/>
                <w:szCs w:val="10"/>
                <w:color w:val="auto"/>
              </w:rPr>
            </w:pPr>
          </w:p>
        </w:tc>
      </w:tr>
      <w:tr>
        <w:trPr>
          <w:trHeight w:val="171"/>
        </w:trPr>
        <w:tc>
          <w:tcPr>
            <w:tcW w:w="6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Avionte Holdings,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GreyHeller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Identity Automation Systems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6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On March 16, 2017, we entered into an equity distribution agreement with Ladenburg Thalmann &amp; Co. Inc., through which we may offer for sale, from time to time, up to $30.0 million of our common stock through an ATM offering. As of May 15, 2017, the Company sold 60,679 shares for gross proceeds of $1.4 million at an average price of $22.49 for aggregate net proceeds of $1.3 million (net of transaction costs).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business activities contain elements of market risk. We consider our principal market risk to be the fluctuation in interest rates. Managing this risk is essential to our business. Accordingly, we have systems and procedures designed to identify and analyze our risks, to establish appropriate policies and thresholds and to continually monitor this risk and thresholds by means of administrative and information technology systems and other policies and processes.</w:t>
      </w:r>
    </w:p>
    <w:p>
      <w:pPr>
        <w:spacing w:after="0" w:line="18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Interest rate risk is defined as the sensitivity of our current and future earnings to interest rate volatility, including relative changes in different interest rates,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leveraged loans, high yield bonds and other debt investments and the value of our investment portfolio.</w:t>
      </w:r>
    </w:p>
    <w:p>
      <w:pPr>
        <w:spacing w:after="0" w:line="158"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Our investment income is affected by fluctuations in various interest rates, including LIBOR and the prime rate. A large portion of our portfolio is, and we expect will continue to be, comprised of floating rate investments that utilize LIBOR. Our interest expense is affected by fluctuations in LIBOR only on our revolving credit facility. At February 28, 2017, we had $187.1 million of borrowings outstanding, of which none is floating.</w:t>
      </w:r>
    </w:p>
    <w:p>
      <w:pPr>
        <w:spacing w:after="0" w:line="166"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We have analyzed the potential impact of changes in interest rates on interest income from investments. Assuming that our investments as of February 28, 2017 were to remain constant for a full fiscal year and no actions were taken to alter the existing interest rate terms, a hypothetical change of 1.0% in interest rates would cause a corresponding increase of approximately $2.2 million to our interest income.</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credit quality, size and composition of the assets on the statements of assets and liabilities and other business developments that could magnify or diminish our sensitivity to interest rate changes, nor does it account for divergences in LIBOR and the commercial paper rate, which have historically moved in tandem but, in times of unusual credit dislocations, have experienced periods of divergence. Accordingly no assurances can be given that actual results would not materially differ from the potential outcome simulated by this estimate.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Our consolidated financial statements are annexed to this Annual Report beginning on page F-1. In addition, the Financial Statements of Saratoga Investment Corp. CLO 2013-1, Ltd. are annexed to this Annual Report beginning on page S-1.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(as defined in Rule 13a-15(e) and 15d-15(e) of the Securities Exchange Act of 1934). Based on that evaluation, our Chief Executive Officer and our Chief Financial Officer have concluded that our current disclosure controls and procedures are effective in facilitating timely decisions regarding required disclosure of any material information relating to us that is required to be disclosed by us in the reports we file or submit under the Securities Exchange Act of 1934.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(as defined in Rules 13a-15(f) and 15d-15(f) of the Exchange Act). Our internal control over financial reporting is a process designed to provide reasonable assurance regarding the reliability of financial reporting and the preparation of our financial statements for external reporting purposes in accordance with U.S.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the transactions are recorded as necessary to permit preparation of financial statements in accordance with U.S. GAAP, and that the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polices or procedures may deteriorate.</w:t>
      </w:r>
    </w:p>
    <w:p>
      <w:pPr>
        <w:spacing w:after="0" w:line="183"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Under the supervision and with participation of our Chief Executive Officer and Chief Financial Officer, the Company conducted an evaluation of the effectiveness of internal control over financial reporting based on the criteria established in Internal Control—Integrated Framework (2013) issued by the Committee of Sponsoring Organizations of the Treadway Commission (COSO). Based on the Company’s evaluation under the framework in Internal Control —Integrated Framework (2013), management concluded that the Company’s internal control over financial reporting was effective as of February 28, 2017.</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 13a-15(f) of Exchange Act) that occurred during our most recently completed fiscal year that have materially affected, or are reasonably likely to materially affect, the Company’s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Officer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 sets forth the names, ages and positions held by each of our directors, followed by a brief biography of each individual, including the business experience of each individual during the past five years and the specific qualifications that led to the conclusion that each individual should serve as a director.</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06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360" w:type="dxa"/>
            <w:vAlign w:val="bottom"/>
          </w:tcPr>
          <w:p>
            <w:pPr>
              <w:spacing w:after="0"/>
              <w:rPr>
                <w:sz w:val="14"/>
                <w:szCs w:val="14"/>
                <w:color w:val="auto"/>
              </w:rPr>
            </w:pPr>
          </w:p>
        </w:tc>
        <w:tc>
          <w:tcPr>
            <w:tcW w:w="374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Position</w:t>
            </w:r>
          </w:p>
        </w:tc>
        <w:tc>
          <w:tcPr>
            <w:tcW w:w="300" w:type="dxa"/>
            <w:vAlign w:val="bottom"/>
            <w:vMerge w:val="restart"/>
          </w:tcPr>
          <w:p>
            <w:pPr>
              <w:spacing w:after="0"/>
              <w:rPr>
                <w:sz w:val="14"/>
                <w:szCs w:val="1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Director</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40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7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Since</w:t>
            </w:r>
          </w:p>
        </w:tc>
        <w:tc>
          <w:tcPr>
            <w:tcW w:w="3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Expires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rPr>
              <w:t>Christian L. Oberbeck</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57</w:t>
            </w:r>
          </w:p>
        </w:tc>
        <w:tc>
          <w:tcPr>
            <w:tcW w:w="440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Chairman of the Board and Chief Executive</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0" w:type="dxa"/>
            <w:vAlign w:val="bottom"/>
            <w:gridSpan w:val="3"/>
          </w:tcPr>
          <w:p>
            <w:pPr>
              <w:ind w:left="360"/>
              <w:spacing w:after="0"/>
              <w:rPr>
                <w:sz w:val="20"/>
                <w:szCs w:val="20"/>
                <w:color w:val="auto"/>
              </w:rPr>
            </w:pPr>
            <w:r>
              <w:rPr>
                <w:rFonts w:ascii="Arial" w:cs="Arial" w:eastAsia="Arial" w:hAnsi="Arial"/>
                <w:sz w:val="18"/>
                <w:szCs w:val="18"/>
                <w:color w:val="auto"/>
              </w:rPr>
              <w:t>Officer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8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Grisius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President and Director</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3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Looney</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Director</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Charles S. Whitman III</w:t>
            </w:r>
          </w:p>
        </w:tc>
        <w:tc>
          <w:tcPr>
            <w:tcW w:w="240" w:type="dxa"/>
            <w:vAlign w:val="bottom"/>
          </w:tcPr>
          <w:p>
            <w:pPr>
              <w:jc w:val="right"/>
              <w:spacing w:after="0"/>
              <w:rPr>
                <w:sz w:val="20"/>
                <w:szCs w:val="20"/>
                <w:color w:val="auto"/>
              </w:rPr>
            </w:pPr>
            <w:r>
              <w:rPr>
                <w:rFonts w:ascii="Arial" w:cs="Arial" w:eastAsia="Arial" w:hAnsi="Arial"/>
                <w:sz w:val="18"/>
                <w:szCs w:val="18"/>
                <w:color w:val="auto"/>
              </w:rPr>
              <w:t>75</w:t>
            </w:r>
          </w:p>
        </w:tc>
        <w:tc>
          <w:tcPr>
            <w:tcW w:w="44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Cabell Williams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Director</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b w:val="1"/>
          <w:bCs w:val="1"/>
          <w:i w:val="1"/>
          <w:iCs w:val="1"/>
          <w:color w:val="auto"/>
        </w:rPr>
        <w:t>Christian L. Oberbeck</w:t>
      </w:r>
      <w:r>
        <w:rPr>
          <w:rFonts w:ascii="Arial" w:cs="Arial" w:eastAsia="Arial" w:hAnsi="Arial"/>
          <w:sz w:val="16"/>
          <w:szCs w:val="16"/>
          <w:color w:val="auto"/>
        </w:rPr>
        <w:t>—Mr. Oberbeck has over 29 years of experience in leveraged finance, from distressed debt to private equity, and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involved in originating, structuring, negotiating, consummating, managing and monitoring investments in these businesses. Mr. Oberbeck is the Managing Partner of Saratoga Partners, a middle market private equity investment firm, and has served on its investment committee since 1995. Mr. Oberbeck is also the Managing Member of Saratoga Investment Advisors, LLC, the Company’s investment adviser, and the Chief Executive Officer of the Company.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Mr. Oberbeck also served as our President until February 2014.</w:t>
      </w:r>
    </w:p>
    <w:p>
      <w:pPr>
        <w:spacing w:after="0" w:line="21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Prior to assuming management responsibility for Saratoga Partners in 2008, Mr. Oberbeck has co-managed Saratoga Partners since 1995, when he joined Dillon Read and Saratoga Partners from Castle Harlan, Inc., a corporate buyout firm which he had joined at its founding in 1987 and was a Managing Director, leading successful investments in manufacturing and financial services companies. Prior to that, he worked in the Corporate Development Group of Arthur Young and in corporate finance at Blyth Eastman Paine Webber. Mr. Oberbeck has been a director of numerous middle market companies.</w:t>
      </w:r>
    </w:p>
    <w:p>
      <w:pPr>
        <w:spacing w:after="0" w:line="15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Mr. Oberbeck graduated from Brown University in 1982 with a BS in Physics and a BA in Mathematics. In 1985, he earned an MBA from Columbia University. Mr. Oberbeck’s qualifications as a director include his extensive experience in the investment and finance industry, as well as his intimate knowledge of the Company’s operations, gained through his service as an executive officer.</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Michael J. Grisius</w:t>
      </w:r>
      <w:r>
        <w:rPr>
          <w:rFonts w:ascii="Arial" w:cs="Arial" w:eastAsia="Arial" w:hAnsi="Arial"/>
          <w:sz w:val="18"/>
          <w:szCs w:val="18"/>
          <w:color w:val="auto"/>
        </w:rPr>
        <w:t>—Mr. Grisius has over 26 years of experience in leveraged finance, investment management and financial services. He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originated, structured, negotiated, consummated, managed and monitored numerous successful investments in mezzanine debt, private equity, senior debt, structured products and commercial real estate debt. Mr. Grisius is Chief Investment Officer and a Managing Director of Saratoga Investment Advisors, LLC, the Company’s investment adviser, and was appointed President of the Company in February 2013. Mr. Grisius joined Saratoga Investment Advisors, LLC in July 2011.</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Prior to joining Saratoga Investment Advisors, Mr. Grisius served as Managing Director at Allied Capital Corporation, where he was an investment professional for 16 years. At Allied Capital Corporation, Mr. Grisius held several senior positions including co-head of Mezzanine Finance and member of its Management Committee and its Investment Committee. In 2008, Mr. Grisius was appointed co-chairman of the Allied Capital Corporation’s Investment Committee. He also had responsibility for structuring and managing Unitranche Fund, LLC. During his tenure at Allied, Mr. Grisius built and led teams that made investments in subordinated debt, control equity and real estate mortgage debt. Mr. Grisius has served on the board of directors of numerous middle market companies. Prior to joining Allied Capital Corp., Mr. Grisius worked in leveraged finance at Chemical Bank from 1989 to 1992 and held senior accountant and consultant positions with KPMG LLP from 1985 to 1988.</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Mr. Grisius graduated with a BS from Georgetown University in 1985 and earned an MBA from Cornell University’s Johnson Graduate School of Management in 1990. Mr. Grisius’ qualifications as a director include his broad experience in leverage finance, investment management, private equity and financial services.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i w:val="1"/>
          <w:iCs w:val="1"/>
          <w:color w:val="auto"/>
        </w:rPr>
        <w:t>Steven M. Looney</w:t>
      </w:r>
      <w:r>
        <w:rPr>
          <w:rFonts w:ascii="Arial" w:cs="Arial" w:eastAsia="Arial" w:hAnsi="Arial"/>
          <w:sz w:val="17"/>
          <w:szCs w:val="17"/>
          <w:color w:val="auto"/>
        </w:rPr>
        <w:t>—Mr. Looney is a Managing Director of Peale Davies &amp; Co. Inc., a consulting firm with particular expertise in financial process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 outsourcing, and is a CPA and an attorney. Mr. Looney also serves as a consultant and director to numerous companies in the healthcare, manufacturing and technology services industries. Between 2000 and 2005, he served as Senior Vice President and Chief Financial Officer of PCCI, Inc., a private IT staffing and outsourcing firm. Between 1992 and 2000, Mr. Looney worked at WH Industries as Chief Financial and Administrative Officer. Mr. Looney also serves as a director of Excellent Education for Everyone, a nonprofit organization. Mr. Looney graduated summa cum laude from the University of Washington with a B.A. degree in Accounting and received a J.D. from the University of Washington School of Law where he was a member of the law review. Mr. Looney’s qualifications as director include his experience as a Managing Director of Peale Davies &amp; Co. Inc. and as Chief Financial and Administrative Officer of WH Industries, as well as his financial, accounting and legal expertise.</w:t>
      </w:r>
    </w:p>
    <w:p>
      <w:pPr>
        <w:spacing w:after="0" w:line="179"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b w:val="1"/>
          <w:bCs w:val="1"/>
          <w:i w:val="1"/>
          <w:iCs w:val="1"/>
          <w:color w:val="auto"/>
        </w:rPr>
        <w:t>Charles S. Whitman III</w:t>
      </w:r>
      <w:r>
        <w:rPr>
          <w:rFonts w:ascii="Arial" w:cs="Arial" w:eastAsia="Arial" w:hAnsi="Arial"/>
          <w:sz w:val="16"/>
          <w:szCs w:val="16"/>
          <w:color w:val="auto"/>
        </w:rPr>
        <w:t>—Mr. Whitman is senior counsel (retired) at Davis Polk &amp; Wardwell LLP. Mr. Whitman was a partner in Davis Polk’s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Department for 28 years, representing clients in a broad range of corporate finance matters, including shelf registrations, securities compliance for financial institutions, foreign asset privatizations, and mergers and acquisitions. From 1971 to 1973, Mr. Whitman served as Executive Assistant to three successive Chairmen of the SEC. Mr. Whitman graduated from Harvard College and graduated magna cum laude from Harvard Law School with a LL.B. Mr. Whitman also received an LL.M. from Cambridge University in England. Mr. Whitman’s qualifications as director include his 28 years of experience representing clients, including AT&amp;T, Exxon Mobil, General Motors and BP, in securities matters as a partner in Davis Polk’s corporate department.</w:t>
      </w:r>
    </w:p>
    <w:p>
      <w:pPr>
        <w:spacing w:after="0" w:line="16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G. Cabell Williams</w:t>
      </w:r>
      <w:r>
        <w:rPr>
          <w:rFonts w:ascii="Arial" w:cs="Arial" w:eastAsia="Arial" w:hAnsi="Arial"/>
          <w:sz w:val="17"/>
          <w:szCs w:val="17"/>
          <w:color w:val="auto"/>
        </w:rPr>
        <w:t>—Mr. Williams has served as the Managing General Partner of Williams and Gallagher, a private equity partnership located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Chevy Chase, Maryland since 2004. Mr. Williams is also a Senior Manager, Director of Farragut Capital Partners which is a Chevy Chase, Maryland based Mezzanine Fund. Since 2011, Mr. Williams has also served as a partner of Farragut Capital Partners, an investment firm based in Fairfax, VA. In 2004, Mr. Williams concluded a 23 year career at Allied Capital Corporation, a business development company based in Washington, DC, which was acquired by Ares Capital Corporation in 2010. While at Allied, Mr. Williams held a variety of positions, including President, COO and finally Managing Director following Allied’s merger with its affiliates in 1998. From 1991 to 2004, Mr. Williams either led or co-managed the firm’s Private Equity Group. For the nine years prior to 1999, Mr. Williams led Allied’s Mezzanine investment activities. For 15 years, Mr. Williams served on Allied’s Investment Committee where he was responsible for reviewing and approving all of the firm’s investments. Prior to 1991, Mr. Williams ran Allied’s Minority Small Business Investment Company. He also founded Allied Capital Commercial Corporation, a real estate investment vehicle. Mr. Williams has served on the board of directors of various public and private companies. Mr. Williams attended The Landon School, and graduated from Mercersburg Academy and Rollins College, receiving a B.S. in Business Administration from the latter. Mr. Williams’ qualifications as director include his 28 years of experience managing investment activities at Allied Capital, where he served in a variety of positions, including President, COO and Managing Director.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Who Is Not Also a Director</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following table sets forth the name, age and position held by our executive officer who is not also a director, followed by a brief biography, including the business experience during the past five years.</w:t>
      </w:r>
    </w:p>
    <w:p>
      <w:pPr>
        <w:spacing w:after="0" w:line="189" w:lineRule="exact"/>
        <w:rPr>
          <w:sz w:val="20"/>
          <w:szCs w:val="20"/>
          <w:color w:val="auto"/>
        </w:rPr>
      </w:pPr>
    </w:p>
    <w:p>
      <w:pPr>
        <w:ind w:left="1380"/>
        <w:spacing w:after="0"/>
        <w:tabs>
          <w:tab w:leader="none" w:pos="5740" w:val="left"/>
          <w:tab w:leader="none" w:pos="788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Age</w:t>
      </w:r>
      <w:r>
        <w:rPr>
          <w:sz w:val="20"/>
          <w:szCs w:val="20"/>
          <w:color w:val="auto"/>
        </w:rPr>
        <w:tab/>
      </w:r>
      <w:r>
        <w:rPr>
          <w:rFonts w:ascii="Arial" w:cs="Arial" w:eastAsia="Arial" w:hAnsi="Arial"/>
          <w:sz w:val="12"/>
          <w:szCs w:val="12"/>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15240</wp:posOffset>
            </wp:positionV>
            <wp:extent cx="550545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5"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Executive Officer</w:t>
      </w:r>
    </w:p>
    <w:p>
      <w:pPr>
        <w:spacing w:after="0" w:line="7" w:lineRule="exact"/>
        <w:rPr>
          <w:sz w:val="20"/>
          <w:szCs w:val="20"/>
          <w:color w:val="auto"/>
        </w:rPr>
      </w:pPr>
    </w:p>
    <w:p>
      <w:pPr>
        <w:ind w:left="1380"/>
        <w:spacing w:after="0"/>
        <w:tabs>
          <w:tab w:leader="none" w:pos="5760" w:val="left"/>
          <w:tab w:leader="none" w:pos="6240" w:val="left"/>
        </w:tabs>
        <w:rPr>
          <w:sz w:val="20"/>
          <w:szCs w:val="20"/>
          <w:color w:val="auto"/>
        </w:rPr>
      </w:pPr>
      <w:r>
        <w:rPr>
          <w:rFonts w:ascii="Arial" w:cs="Arial" w:eastAsia="Arial" w:hAnsi="Arial"/>
          <w:sz w:val="18"/>
          <w:szCs w:val="18"/>
          <w:color w:val="auto"/>
        </w:rPr>
        <w:t>Henri J. Steenkamp</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Chief Financial Officer, Chief Compliance</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Officer, Treasurer and Secretary</w:t>
      </w:r>
    </w:p>
    <w:p>
      <w:pPr>
        <w:spacing w:after="0" w:line="211"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b w:val="1"/>
          <w:bCs w:val="1"/>
          <w:i w:val="1"/>
          <w:iCs w:val="1"/>
          <w:color w:val="auto"/>
        </w:rPr>
        <w:t>Henri J. Steenkamp</w:t>
      </w:r>
      <w:r>
        <w:rPr>
          <w:rFonts w:ascii="Arial" w:cs="Arial" w:eastAsia="Arial" w:hAnsi="Arial"/>
          <w:sz w:val="17"/>
          <w:szCs w:val="17"/>
          <w:color w:val="auto"/>
        </w:rPr>
        <w:t>—Mr. Steenkamp, 41 years old, had served as the Chief Financial Officer of MF Global Holdings Ltd., a broker in commodities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derivatives, from April 2011. Prior to that, Mr. Steenkamp held the position of Chief Accounting Officer and Global Controller at MF Global for four years. He joined MF Global, then Man Financial, in 2006 as Vice President of External Reporting and Accounting Policy. After MF Global filed for bankruptcy protection in October 2011, he continued to serve as Chief Financial Officer through January 2013.</w:t>
      </w:r>
    </w:p>
    <w:p>
      <w:pPr>
        <w:spacing w:after="0" w:line="17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Before joining MF Global, Mr. Steenkamp spent eight years with PricewaterhouseCoopers (“PwC”), including four years in Transaction Services in its New York office, managing a variety of capital-raising transactions on a global basis. His focus was also on the SEC registration and public company filing process, including technical accounting. He spent four years with PwC in South Africa, where he served as an auditor primarily for SEC registrants and assisted South African companies as they went public in the U.S. Mr. Steenkamp is a chartered accountant and holds an honors degree in Finance.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Section 16(a) of the Securities Exchange Act of 1934 requires our directors and executive officers, and persons who own 10.0% or more of our voting stock, to file reports of ownership and changes in ownership of our equity securities with the SEC. Directors, executive officers and 10.0% or more holders are required by SEC regulations to furnish us with copies of all Section 16(a) forms they file. Based solely on a review of the copies of those forms furnished to us, or written representations that no such forms were required, we believe that our directors, executive officers and 10.0% or more beneficial owners complied with all Section 16(a) filing requirements during the year ended February 28, 2017, with the following exception. On March 14, 2016, Saratoga Investment Advisors transferred 49,218 shares of our common stock to Michael J. Grisius, our President and a member of the board of directors. Christian L. Oberbeck, our Chief Executive Officer and Chairman of the board of directors, controls Saratoga Investment Advisors. In connection with that transfer, both of Messrs. Oberbeck and Grisius filed a Form 4 on March 17, 2016, one day after the deadline. The untimely filing was inadvertent.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We have adopted a Code of Business Conduct and Ethics which applies to, among others, our executive officers, including our principal executive officer and principal financial officer, as well as every officer, director and employee of the Company. Requests for copies should be sent in writing to Saratoga Investment Corp., 535 Madison Avenue, New York, New York 10022. The Company’s Code of Business Conduct and Ethics is also available on our website at </w:t>
      </w:r>
      <w:r>
        <w:rPr>
          <w:rFonts w:ascii="Arial" w:cs="Arial" w:eastAsia="Arial" w:hAnsi="Arial"/>
          <w:sz w:val="18"/>
          <w:szCs w:val="18"/>
          <w:i w:val="1"/>
          <w:iCs w:val="1"/>
          <w:color w:val="auto"/>
        </w:rPr>
        <w:t>www.saratogainvestmentcorp.com.</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If we make any substantive amendment to, or grant a waiver from, a provision of our Code of Business Conduct and Ethics, we will promptly disclose the nature of the amendment or waiver on our website at </w:t>
      </w:r>
      <w:r>
        <w:rPr>
          <w:rFonts w:ascii="Arial" w:cs="Arial" w:eastAsia="Arial" w:hAnsi="Arial"/>
          <w:sz w:val="18"/>
          <w:szCs w:val="18"/>
          <w:i w:val="1"/>
          <w:iCs w:val="1"/>
          <w:color w:val="auto"/>
        </w:rPr>
        <w:t>www.saratogainvestmentcorp.com.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Directors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There have been no material changes to the procedures by which stockholders may recommend nominees to our board of directors implemented since the filing of our Proxy Statement for our 2016 Annual Meeting of Stockholders.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current members of the audit committee are Steven M. Looney (Chairman), Charles S. Whitman III and G. Cabell Williams. The board of directors has determined that Mr. Looney is an “audit committee financial expert” as defined under Item 407 of Regulation S-K of the Securities Exchange Act of 1934 and that each of Messrs. Whitman and Williams are “financially literate” as required by NYSE corporate governance standards. All of these members are independent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Currently, none of our executive officers are compensated by us. We currently have no employees, and each of our executive officers is also an employee of Saratoga Investment Advisors. Services necessary for our business are provided by individuals who are employees of Saratoga Investment Advisors, pursuant to the terms of the Management Agreement and an administration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independent directors receive an annual fee of $40,000. They also receive $2,500 plus reimbursement of reasonable out-of-pocket expenses incurred in connection with attending each board meeting and receive $1,000 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 “interested persons.”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concerning total compensation earned by or paid to each of our directors during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0" w:type="dxa"/>
            <w:vAlign w:val="bottom"/>
            <w:gridSpan w:val="3"/>
          </w:tcPr>
          <w:p>
            <w:pPr>
              <w:jc w:val="right"/>
              <w:spacing w:after="0"/>
              <w:rPr>
                <w:sz w:val="20"/>
                <w:szCs w:val="20"/>
                <w:color w:val="auto"/>
              </w:rPr>
            </w:pPr>
            <w:r>
              <w:rPr>
                <w:rFonts w:ascii="Arial" w:cs="Arial" w:eastAsia="Arial" w:hAnsi="Arial"/>
                <w:sz w:val="14"/>
                <w:szCs w:val="14"/>
                <w:b w:val="1"/>
                <w:bCs w:val="1"/>
                <w:color w:val="auto"/>
              </w:rPr>
              <w:t>Fees Earned or</w:t>
            </w:r>
          </w:p>
        </w:tc>
        <w:tc>
          <w:tcPr>
            <w:tcW w:w="780" w:type="dxa"/>
            <w:vAlign w:val="bottom"/>
          </w:tcPr>
          <w:p>
            <w:pPr>
              <w:spacing w:after="0"/>
              <w:rPr>
                <w:sz w:val="14"/>
                <w:szCs w:val="14"/>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4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9"/>
              </w:rPr>
              <w:t>Paid in Cash</w:t>
            </w:r>
          </w:p>
        </w:tc>
        <w:tc>
          <w:tcPr>
            <w:tcW w:w="7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w:t>
            </w:r>
          </w:p>
        </w:tc>
        <w:tc>
          <w:tcPr>
            <w:tcW w:w="2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Christian L. Oberbeck(1)</w:t>
            </w:r>
          </w:p>
        </w:tc>
        <w:tc>
          <w:tcPr>
            <w:tcW w:w="25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Michael J. Grisius(1)</w:t>
            </w:r>
          </w:p>
        </w:tc>
        <w:tc>
          <w:tcPr>
            <w:tcW w:w="2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Independent Directors</w:t>
            </w: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Steven M. Looney</w:t>
            </w:r>
          </w:p>
        </w:tc>
        <w:tc>
          <w:tcPr>
            <w:tcW w:w="2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Charles S. Whitman III</w:t>
            </w: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 Cabell Williams</w:t>
            </w:r>
          </w:p>
        </w:tc>
        <w:tc>
          <w:tcPr>
            <w:tcW w:w="2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compensation was paid to directors who are interested persons of us as defined in the 1940 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current members of the compensation committee are G. Cabell Williams (Chairman), Steven M. Looney and Charles S. Whitman III. All of these members are independent directors. The compensation committee is responsible for overseeing the Company’s compensation policies generally and making recommendations to the board of directors with respect to incentive compensation and equity-based plans of the Company that are subject to board of directors approval, evaluating executive officer performance and reviewing the Company’s management succession plan, overseeing and setting compensation for the Company’s directors and, as applicable, its executive officers and, as applicable, preparing the report on executive officer compensation that SEC rules require to be included in our Annual Report on Form 10-K. Currently, none of our executive officers are compensated by the Company and as such the compensation committee is not required to produce a report on executive officer compensation for inclusion in our Annual Report on Form 10-K.</w:t>
      </w:r>
    </w:p>
    <w:p>
      <w:pPr>
        <w:spacing w:after="0" w:line="167"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During fiscal year 2017, none of the Company’s executive officers served on the board of directors (or a compensation committee thereof or other board committee performing equivalent functions) of any entities that had one or more executive officers serve on the compensation committee or on the board of directors. No current or past executive officers or employees of the Company or its affiliates serve on the compensation committee.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following table sets forth, as of May 15, 2017, the beneficial ownership of each current director, the nominees for director, the Company’s executive officers, each person known to us to beneficially own 5.0% or more of the outstanding shares of our common stock, and the executive officers and directors as a group.</w:t>
      </w:r>
    </w:p>
    <w:p>
      <w:pPr>
        <w:spacing w:after="0" w:line="18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percentage ownership is based on 5,884,375 shares of common stock outstanding as of May 15, 2017. Shares of common stock that are subject to warrants or other convertible securities currently exercisable or exercisable within 60 days thereof, are deemed outstanding for the purposes of computing the percentage ownership of the person holding these options or convertible securities, but are not deemed outstanding for computing the percentage ownership of any other person. Beneficial ownership is determined under the rules of the SEC and generally includes voting or investment power with respect to securities. To our knowledge, unless otherwise indicated in the footnotes to this table, the persons and entities named in the table have sole voting and sole investment power with respect to all shares beneficially owned. Unless otherwise indicated by footnote, the address for each listed individual is Saratoga Investment Corp., 535 Madison Avenue, New York, New York 10022.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20" w:type="dxa"/>
            <w:vAlign w:val="bottom"/>
            <w:gridSpan w:val="3"/>
          </w:tcPr>
          <w:p>
            <w:pPr>
              <w:jc w:val="center"/>
              <w:ind w:left="312"/>
              <w:spacing w:after="0"/>
              <w:rPr>
                <w:sz w:val="20"/>
                <w:szCs w:val="20"/>
                <w:color w:val="auto"/>
              </w:rPr>
            </w:pPr>
            <w:r>
              <w:rPr>
                <w:rFonts w:ascii="Arial" w:cs="Arial" w:eastAsia="Arial" w:hAnsi="Arial"/>
                <w:sz w:val="14"/>
                <w:szCs w:val="14"/>
                <w:b w:val="1"/>
                <w:bCs w:val="1"/>
                <w:color w:val="auto"/>
                <w:w w:val="91"/>
              </w:rPr>
              <w:t>Number of Shares of</w:t>
            </w:r>
          </w:p>
        </w:tc>
        <w:tc>
          <w:tcPr>
            <w:tcW w:w="12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Name of Beneficial Owners</w:t>
            </w:r>
          </w:p>
        </w:tc>
        <w:tc>
          <w:tcPr>
            <w:tcW w:w="980" w:type="dxa"/>
            <w:vAlign w:val="bottom"/>
          </w:tcPr>
          <w:p>
            <w:pPr>
              <w:spacing w:after="0"/>
              <w:rPr>
                <w:sz w:val="12"/>
                <w:szCs w:val="12"/>
                <w:color w:val="auto"/>
              </w:rPr>
            </w:pPr>
          </w:p>
        </w:tc>
        <w:tc>
          <w:tcPr>
            <w:tcW w:w="18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Beneficially Owned</w:t>
            </w:r>
          </w:p>
        </w:tc>
        <w:tc>
          <w:tcPr>
            <w:tcW w:w="3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7"/>
              </w:rPr>
              <w:t>Interested Directors</w:t>
            </w:r>
          </w:p>
        </w:tc>
        <w:tc>
          <w:tcPr>
            <w:tcW w:w="29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Christian L. Oberbeck</w:t>
            </w:r>
          </w:p>
        </w:tc>
        <w:tc>
          <w:tcPr>
            <w:tcW w:w="2820" w:type="dxa"/>
            <w:vAlign w:val="bottom"/>
            <w:gridSpan w:val="3"/>
          </w:tcPr>
          <w:p>
            <w:pPr>
              <w:jc w:val="right"/>
              <w:ind w:right="360"/>
              <w:spacing w:after="0"/>
              <w:rPr>
                <w:sz w:val="20"/>
                <w:szCs w:val="20"/>
                <w:color w:val="auto"/>
              </w:rPr>
            </w:pPr>
            <w:r>
              <w:rPr>
                <w:rFonts w:ascii="Arial" w:cs="Arial" w:eastAsia="Arial" w:hAnsi="Arial"/>
                <w:sz w:val="18"/>
                <w:szCs w:val="18"/>
                <w:color w:val="auto"/>
              </w:rPr>
              <w:t>1,710,236(1)</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Grisius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146,752</w:t>
            </w:r>
          </w:p>
        </w:tc>
        <w:tc>
          <w:tcPr>
            <w:tcW w:w="5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Henri J. Steenkamp</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Looney</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Charles S. Whitman III</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2,397</w:t>
            </w:r>
          </w:p>
        </w:tc>
        <w:tc>
          <w:tcPr>
            <w:tcW w:w="5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Cabell Williams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40,211</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80" w:type="dxa"/>
            <w:vAlign w:val="bottom"/>
            <w:gridSpan w:val="3"/>
          </w:tcPr>
          <w:p>
            <w:pPr>
              <w:ind w:left="220"/>
              <w:spacing w:after="0"/>
              <w:rPr>
                <w:sz w:val="20"/>
                <w:szCs w:val="20"/>
                <w:color w:val="auto"/>
              </w:rPr>
            </w:pPr>
            <w:r>
              <w:rPr>
                <w:rFonts w:ascii="Arial" w:cs="Arial" w:eastAsia="Arial" w:hAnsi="Arial"/>
                <w:sz w:val="18"/>
                <w:szCs w:val="18"/>
                <w:b w:val="1"/>
                <w:bCs w:val="1"/>
                <w:color w:val="auto"/>
              </w:rPr>
              <w:t>All Directors and Executive Officers as a Group</w:t>
            </w:r>
          </w:p>
        </w:tc>
        <w:tc>
          <w:tcPr>
            <w:tcW w:w="98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1,907,922</w:t>
            </w:r>
          </w:p>
        </w:tc>
        <w:tc>
          <w:tcPr>
            <w:tcW w:w="56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Owners of 5% or more of our common stock</w:t>
            </w:r>
          </w:p>
        </w:tc>
        <w:tc>
          <w:tcPr>
            <w:tcW w:w="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Black Diamond Capital Management, L.L.C.(2)</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642,922</w:t>
            </w:r>
          </w:p>
        </w:tc>
        <w:tc>
          <w:tcPr>
            <w:tcW w:w="56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Elizabeth Oberbeck(3)</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744,183</w:t>
            </w:r>
          </w:p>
        </w:tc>
        <w:tc>
          <w:tcPr>
            <w:tcW w:w="5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Thomas V. Inglesby</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342,127</w:t>
            </w:r>
          </w:p>
        </w:tc>
        <w:tc>
          <w:tcPr>
            <w:tcW w:w="560" w:type="dxa"/>
            <w:vAlign w:val="bottom"/>
          </w:tcPr>
          <w:p>
            <w:pPr>
              <w:spacing w:after="0"/>
              <w:rPr>
                <w:sz w:val="20"/>
                <w:szCs w:val="20"/>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21"/>
        </w:trPr>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880" w:type="dxa"/>
            <w:vAlign w:val="bottom"/>
            <w:gridSpan w:val="3"/>
          </w:tcPr>
          <w:p>
            <w:pPr>
              <w:spacing w:after="0"/>
              <w:rPr>
                <w:sz w:val="10"/>
                <w:szCs w:val="10"/>
                <w:color w:val="auto"/>
              </w:rPr>
            </w:pPr>
          </w:p>
        </w:tc>
        <w:tc>
          <w:tcPr>
            <w:tcW w:w="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760" w:type="dxa"/>
            <w:vAlign w:val="bottom"/>
            <w:gridSpan w:val="4"/>
          </w:tcPr>
          <w:p>
            <w:pPr>
              <w:ind w:left="180"/>
              <w:spacing w:after="0"/>
              <w:rPr>
                <w:sz w:val="20"/>
                <w:szCs w:val="20"/>
                <w:color w:val="auto"/>
              </w:rPr>
            </w:pPr>
            <w:r>
              <w:rPr>
                <w:rFonts w:ascii="Arial" w:cs="Arial" w:eastAsia="Arial" w:hAnsi="Arial"/>
                <w:sz w:val="18"/>
                <w:szCs w:val="18"/>
                <w:color w:val="auto"/>
              </w:rPr>
              <w:t>Less than 1.0%</w:t>
            </w:r>
          </w:p>
        </w:tc>
        <w:tc>
          <w:tcPr>
            <w:tcW w:w="9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Mr. Oberbeck and Mr. Inglesby are affiliates who make up 34.9% of the ownership of SAR.</w:t>
      </w:r>
    </w:p>
    <w:p>
      <w:pPr>
        <w:spacing w:after="0" w:line="131" w:lineRule="exact"/>
        <w:rPr>
          <w:sz w:val="20"/>
          <w:szCs w:val="20"/>
          <w:color w:val="auto"/>
        </w:rPr>
      </w:pPr>
    </w:p>
    <w:p>
      <w:pPr>
        <w:ind w:left="460" w:right="80" w:hanging="452"/>
        <w:spacing w:after="0" w:line="256"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623,541 shares of common stock directly held by Mr. Oberbeck, 122,188 shares of common stock held by Saratoga Investment Advisors, which Mr. Oberbeck controls, and 220,324 shares of common stock held by CLO Partners LLC, an entity wholly owned by Mr. Oberbeck and 744,183 shares of common stock directly held by Elizabeth Oberbeck. See footnote 3 below.</w:t>
      </w:r>
    </w:p>
    <w:p>
      <w:pPr>
        <w:ind w:left="460" w:right="780" w:hanging="452"/>
        <w:spacing w:after="0" w:line="281"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information included in Amendment No. 6 to Schedule 13G filed by Black Diamond Capital Management, L.L.C. with the SEC on February 2, 2017. The address of Black Diamond Capital Management, L.L.C. is One Sound Shore Drive, Suite 200, Greenwich, CT 06830</w:t>
      </w:r>
    </w:p>
    <w:p>
      <w:pPr>
        <w:spacing w:after="0" w:line="1" w:lineRule="exact"/>
        <w:rPr>
          <w:rFonts w:ascii="Arial" w:cs="Arial" w:eastAsia="Arial" w:hAnsi="Arial"/>
          <w:sz w:val="16"/>
          <w:szCs w:val="16"/>
          <w:color w:val="auto"/>
        </w:rPr>
      </w:pPr>
    </w:p>
    <w:p>
      <w:pPr>
        <w:jc w:val="both"/>
        <w:ind w:left="460" w:right="60" w:hanging="452"/>
        <w:spacing w:after="0" w:line="281"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information included in Amendment No. 3 to Schedule 13D filed jointly by Christian L. Oberbeck, Elizabeth Oberbeck, Saratoga Investment Advisors and CLO Partners LLC on November 4, 2014. Pursuant to an Agreement Relating to Shares of Common Stock of Saratoga Investment Corp. (the “Transfer Agreement”), Christian L. Oberbeck transferred 744,183 shares of common stock beneficially owned by him to Elizabeth Oberbeck.</w:t>
      </w:r>
    </w:p>
    <w:p>
      <w:pPr>
        <w:spacing w:after="0" w:line="2" w:lineRule="exact"/>
        <w:rPr>
          <w:rFonts w:ascii="Arial" w:cs="Arial" w:eastAsia="Arial" w:hAnsi="Arial"/>
          <w:sz w:val="16"/>
          <w:szCs w:val="16"/>
          <w:color w:val="auto"/>
        </w:rPr>
      </w:pPr>
    </w:p>
    <w:p>
      <w:pPr>
        <w:ind w:left="460"/>
        <w:spacing w:after="0" w:line="252" w:lineRule="auto"/>
        <w:rPr>
          <w:rFonts w:ascii="Arial" w:cs="Arial" w:eastAsia="Arial" w:hAnsi="Arial"/>
          <w:sz w:val="16"/>
          <w:szCs w:val="16"/>
          <w:color w:val="auto"/>
        </w:rPr>
      </w:pPr>
      <w:r>
        <w:rPr>
          <w:rFonts w:ascii="Arial" w:cs="Arial" w:eastAsia="Arial" w:hAnsi="Arial"/>
          <w:sz w:val="18"/>
          <w:szCs w:val="18"/>
          <w:color w:val="auto"/>
        </w:rPr>
        <w:t>Elizabeth Oberbeck has full ownership rights with respect to the shares, including without limitation, the right to (A) receive any cash and/or stock dividends and distributions paid on or with respect to the shares and (B) sell the shares in accordance with the provisions of the Transfer Agreement and receive all proceeds therefrom. However, pursuant to the terms of the Transfer Agreement, Christian L. Oberbeck has retained the right to vote the shares, except that Elizabeth Oberbeck has retained the right to vote the shares on all matters submitted to shareholders with respect to any matter that could give rise to dissenters or other rights of an objecting shareholder under Maryland General Corporation Law. The Transfer Agreement also contains a right of first refusal that requires Elizabeth Oberbeck to offer Christian L. Oberbeck the opportunity to purchase any shares of Common Stock owned by her prior to her intended sale of the shares. Any such purchases may be made either directly by Mr. Oberbeck or through entities affiliated with him.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500"/>
        <w:spacing w:after="0" w:line="378"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Transactions with Related Persons</w:t>
      </w:r>
    </w:p>
    <w:p>
      <w:pPr>
        <w:ind w:right="20" w:firstLine="456"/>
        <w:spacing w:after="0" w:line="257" w:lineRule="auto"/>
        <w:rPr>
          <w:sz w:val="20"/>
          <w:szCs w:val="20"/>
          <w:color w:val="auto"/>
        </w:rPr>
      </w:pPr>
      <w:r>
        <w:rPr>
          <w:rFonts w:ascii="Arial" w:cs="Arial" w:eastAsia="Arial" w:hAnsi="Arial"/>
          <w:sz w:val="18"/>
          <w:szCs w:val="18"/>
          <w:color w:val="auto"/>
        </w:rPr>
        <w:t>We have entered into a Management Agreement with Saratoga Investment Advisors, LLC. We have also entered into a license agreement with Saratoga Investment Advisors, LLC, pursuant to which Saratoga Investment Advisors has agreed to grant us a non-exclusive, royalty-free license to use the name “Saratoga.” In addition, pursuant to the terms of the administration agreement, Saratoga Investment Advisors, LLC provides us with the office facilities and administrative services necessary to conduct our day-to-day operations. Mr. Oberbeck, our chief executive officer, is the primary investor in and controls Saratoga Investment Advisors, LLC.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Audit Committee of our board is required to review and approve any transactions with related persons (as such term is defined in Item 404 of Regulation 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accordance with rules of the New York Stock Exchange (the “NYSE”), the board of directors annually determines the independence of each director. No director is considered independent unless the board of directors has determined that he or she has no material relationship with the Company. The Company monitors the status of its directors and officers through the activities of the Company’s Nominating and Corporate Governance Committee and through a questionnaire to be completed by each director no less frequently than annually, with updates periodically if information provided in the most recent questionnaire has changed.</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order to evaluate the materiality of any such relationship, the board of directors uses the definition of director independence set forth in the NYSE Listed Company Manual. Section 303A.00 of the NYSE Listed Company Manual provides that business development companies, or BDCs, such as the Company, are required to comply with all of the provisions of Section 303A applicable to domestic issuers other than Sections 303A.02, the section that defines director independence.</w:t>
      </w:r>
    </w:p>
    <w:p>
      <w:pPr>
        <w:spacing w:after="0" w:line="18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Section 303A.00 provides that a director of a BDC shall be considered to be independent if he or she is not an “interested person” of the Company, as defined in Section 2(a)(19) of the 1940 Act. Section 2(a)(19) of the 1940 Act defines an “interested person” to include, among other things, any person who has, or within the last two years had, a material business or professional relationship with the Company.</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board of directors has determined that each of the directors is independent and has no relationship with the Company, except as a director and stockholder of the Company, with the exception of Messrs. Oberbeck and Grisius who are interested persons of the Company due to their positions as officers of the Company and its investment adviser.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the years ended February 28, 2017 and February 29, 2016, the Company incurred the following fees for services provided by Ernst &amp; Young LLP, including expenses: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92"/>
              </w:rPr>
              <w:t>Fiscal Year Ended</w:t>
            </w:r>
          </w:p>
        </w:tc>
        <w:tc>
          <w:tcPr>
            <w:tcW w:w="8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Fiscal Year Ended</w:t>
            </w:r>
          </w:p>
        </w:tc>
      </w:tr>
      <w:tr>
        <w:trPr>
          <w:trHeight w:val="171"/>
        </w:trPr>
        <w:tc>
          <w:tcPr>
            <w:tcW w:w="3440" w:type="dxa"/>
            <w:vAlign w:val="bottom"/>
          </w:tcPr>
          <w:p>
            <w:pPr>
              <w:spacing w:after="0"/>
              <w:rPr>
                <w:sz w:val="14"/>
                <w:szCs w:val="14"/>
                <w:color w:val="auto"/>
              </w:rPr>
            </w:pPr>
          </w:p>
        </w:tc>
        <w:tc>
          <w:tcPr>
            <w:tcW w:w="3200" w:type="dxa"/>
            <w:vAlign w:val="bottom"/>
            <w:gridSpan w:val="3"/>
          </w:tcPr>
          <w:p>
            <w:pPr>
              <w:ind w:left="2060"/>
              <w:spacing w:after="0"/>
              <w:rPr>
                <w:sz w:val="20"/>
                <w:szCs w:val="20"/>
                <w:color w:val="auto"/>
              </w:rPr>
            </w:pPr>
            <w:r>
              <w:rPr>
                <w:rFonts w:ascii="Arial" w:cs="Arial" w:eastAsia="Arial" w:hAnsi="Arial"/>
                <w:sz w:val="14"/>
                <w:szCs w:val="14"/>
                <w:b w:val="1"/>
                <w:bCs w:val="1"/>
                <w:color w:val="auto"/>
                <w:w w:val="94"/>
              </w:rPr>
              <w:t>February 28, 2017</w:t>
            </w:r>
          </w:p>
        </w:tc>
        <w:tc>
          <w:tcPr>
            <w:tcW w:w="2040" w:type="dxa"/>
            <w:vAlign w:val="bottom"/>
            <w:gridSpan w:val="4"/>
          </w:tcPr>
          <w:p>
            <w:pPr>
              <w:ind w:left="840"/>
              <w:spacing w:after="0"/>
              <w:rPr>
                <w:sz w:val="20"/>
                <w:szCs w:val="20"/>
                <w:color w:val="auto"/>
              </w:rPr>
            </w:pPr>
            <w:r>
              <w:rPr>
                <w:rFonts w:ascii="Arial" w:cs="Arial" w:eastAsia="Arial" w:hAnsi="Arial"/>
                <w:sz w:val="14"/>
                <w:szCs w:val="14"/>
                <w:b w:val="1"/>
                <w:bCs w:val="1"/>
                <w:color w:val="auto"/>
                <w:w w:val="99"/>
              </w:rPr>
              <w:t>February 29, 2016</w:t>
            </w: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0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617,595</w:t>
            </w:r>
          </w:p>
        </w:tc>
        <w:tc>
          <w:tcPr>
            <w:tcW w:w="8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642,080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Audit Related Fees</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27,000</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27,000</w:t>
            </w:r>
          </w:p>
        </w:tc>
        <w:tc>
          <w:tcPr>
            <w:tcW w:w="6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70,870</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38,870</w:t>
            </w:r>
          </w:p>
        </w:tc>
        <w:tc>
          <w:tcPr>
            <w:tcW w:w="60" w:type="dxa"/>
            <w:vAlign w:val="bottom"/>
            <w:shd w:val="clear" w:color="auto" w:fill="CCEEFF"/>
          </w:tcPr>
          <w:p>
            <w:pPr>
              <w:spacing w:after="0"/>
              <w:rPr>
                <w:sz w:val="18"/>
                <w:szCs w:val="18"/>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All Other Fees</w:t>
            </w:r>
          </w:p>
        </w:tc>
        <w:tc>
          <w:tcPr>
            <w:tcW w:w="2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Fees</w:t>
            </w:r>
          </w:p>
        </w:tc>
        <w:tc>
          <w:tcPr>
            <w:tcW w:w="238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715,465</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707,950</w:t>
            </w:r>
          </w:p>
        </w:tc>
        <w:tc>
          <w:tcPr>
            <w:tcW w:w="60" w:type="dxa"/>
            <w:vAlign w:val="bottom"/>
            <w:shd w:val="clear" w:color="auto" w:fill="CCEEFF"/>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include fees for services that normally would be provided by the accountant in connection with statutory and regulatory filings</w:t>
      </w:r>
      <w:r>
        <w:rPr>
          <w:rFonts w:ascii="Arial" w:cs="Arial" w:eastAsia="Arial" w:hAnsi="Arial"/>
          <w:sz w:val="18"/>
          <w:szCs w:val="18"/>
          <w:i w:val="1"/>
          <w:iCs w:val="1"/>
          <w:color w:val="auto"/>
        </w:rPr>
        <w:t xml:space="preserve"> </w:t>
      </w:r>
      <w:r>
        <w:rPr>
          <w:rFonts w:ascii="Arial" w:cs="Arial" w:eastAsia="Arial" w:hAnsi="Arial"/>
          <w:sz w:val="18"/>
          <w:szCs w:val="18"/>
          <w:color w:val="auto"/>
        </w:rPr>
        <w:t>or engagements and that generally only the independent accountant can provide. In addition to fees for the audit of our annual consolidated financial statements, the audit of the effectiveness of our internal control over financial reporting and the review of our quarterly consolidated financial statements in accordance with generally accepted auditing standards, this category contains fees for comfort letters, statutory audits, consents, and assistance with and review of documents filed with the SEC.</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i w:val="1"/>
          <w:iCs w:val="1"/>
          <w:color w:val="auto"/>
        </w:rPr>
        <w:t xml:space="preserve">Audit Related Fees. </w:t>
      </w:r>
      <w:r>
        <w:rPr>
          <w:rFonts w:ascii="Arial" w:cs="Arial" w:eastAsia="Arial" w:hAnsi="Arial"/>
          <w:sz w:val="18"/>
          <w:szCs w:val="18"/>
          <w:color w:val="auto"/>
        </w:rPr>
        <w:t>Audit related fees are assurance related services that traditionally are performed by the independent accountant, such as attest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that are not required by statute or regulation.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include services in conjunction with preparation of the Company’s tax return.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Fees for other services would include fees for products and services other than the services reported above.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It is the policy of the audit committee to pre-approve all audit, review or attest engagements and permissible non-audit services to be performed by our independent registered public accounting firm.</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CONSOLIDATED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or incorporated by reference as part of this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consolidated financial statements of the Company are filed herewith:</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Statements of Assets and Liabilities as of February 28, 2017 and February 29, 2016</w:t>
      </w:r>
    </w:p>
    <w:p>
      <w:pPr>
        <w:spacing w:after="0" w:line="117" w:lineRule="exact"/>
        <w:rPr>
          <w:sz w:val="20"/>
          <w:szCs w:val="20"/>
          <w:color w:val="auto"/>
        </w:rPr>
      </w:pPr>
    </w:p>
    <w:p>
      <w:pPr>
        <w:ind w:left="920" w:right="1700"/>
        <w:spacing w:after="0" w:line="375" w:lineRule="auto"/>
        <w:rPr>
          <w:sz w:val="20"/>
          <w:szCs w:val="20"/>
          <w:color w:val="auto"/>
        </w:rPr>
      </w:pPr>
      <w:r>
        <w:rPr>
          <w:rFonts w:ascii="Arial" w:cs="Arial" w:eastAsia="Arial" w:hAnsi="Arial"/>
          <w:sz w:val="18"/>
          <w:szCs w:val="18"/>
          <w:color w:val="auto"/>
        </w:rPr>
        <w:t>Consolidated Statements of Operations for the years ended February 28, 2017, February 29, 2016 and February 28, 2015 Consolidated Schedules of Investments as of February 28, 2017 and February 29, 2016</w:t>
      </w:r>
    </w:p>
    <w:p>
      <w:pPr>
        <w:spacing w:after="0" w:line="1" w:lineRule="exact"/>
        <w:rPr>
          <w:sz w:val="20"/>
          <w:szCs w:val="20"/>
          <w:color w:val="auto"/>
        </w:rPr>
      </w:pPr>
    </w:p>
    <w:p>
      <w:pPr>
        <w:ind w:left="920" w:right="880"/>
        <w:spacing w:after="0" w:line="389" w:lineRule="auto"/>
        <w:rPr>
          <w:sz w:val="20"/>
          <w:szCs w:val="20"/>
          <w:color w:val="auto"/>
        </w:rPr>
      </w:pPr>
      <w:r>
        <w:rPr>
          <w:rFonts w:ascii="Arial" w:cs="Arial" w:eastAsia="Arial" w:hAnsi="Arial"/>
          <w:sz w:val="18"/>
          <w:szCs w:val="18"/>
          <w:color w:val="auto"/>
        </w:rPr>
        <w:t>Consolidated Statements of Changes in Net Assets for the years ended February 28, 2017, February 29, 2016 and February 28, 2015 Consolidated Statements of Cash Flows for the years ended February 28, 2017, February 29, 2016 and February 28, 2015 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 is made to the Index to Other Financial Statements on page S-1.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 required to be filed by Item 601 of Regulation 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20"/>
          </w:cols>
          <w:pgMar w:left="24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90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42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3.1(a)</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1"/>
              </w:rPr>
              <w:t>Articles of Incorporation of Saratoga Investment Corp. (incorporated by reference to Saratoga Investment Corp.’s Form 10-Q for the quarterly</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rPr>
              <w:t>period ended May 31, 2007, File No. 001-33376).</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3.1(b)</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1"/>
              </w:rPr>
              <w:t>Articles of Amendment of Saratoga Investment Corp. (incorporated by reference to Saratoga Investment Corp.’s Current Report on Form 8-K</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rPr>
              <w:t>filed August 3,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3.1(c)</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1"/>
              </w:rPr>
              <w:t>Articles of Amendment of Saratoga Investment Corp. (incorporated by reference to Saratoga Investment Corp.’s Current Report on Form 8-K</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rPr>
              <w:t>filed August 13,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2"/>
              </w:rPr>
              <w:t>Amended and Restated Bylaws of Saratoga Investment Corp. (incorporated by reference to Saratoga Investment Corp.’s Current Report on</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rPr>
              <w:t>Form 8-K filed on March 5, 2008).</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4"/>
              </w:rPr>
              <w:t>Specimen certificate of Saratoga Investment Corp.’s common stock, par value $0.001 per share. (incorporated by reference to Saratoga</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rPr>
              <w:t>Investment Corp.’s Registration Statement on Form N-2, File No. 333-169135, filed on September 1,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4"/>
              </w:rPr>
              <w:t>Registration Rights Agreement dated July 30, 2010 between GSC Investment Corp., GSC CDO III L.L.C., and the investors party thereto</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rPr>
              <w:t>(incorporated by reference to Saratoga Investment Corp.’s Current Report on Form 8-K filed on August 3,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2"/>
              </w:rPr>
              <w:t>Dividend Reinvestment Plan (incorporated by reference to Saratoga Investment Corp.’s Current Report on Form 8-K filed on September 24,</w:t>
            </w:r>
          </w:p>
        </w:tc>
      </w:tr>
      <w:tr>
        <w:trPr>
          <w:trHeight w:val="230"/>
        </w:trPr>
        <w:tc>
          <w:tcPr>
            <w:tcW w:w="520" w:type="dxa"/>
            <w:vAlign w:val="bottom"/>
          </w:tcPr>
          <w:p>
            <w:pPr>
              <w:spacing w:after="0"/>
              <w:rPr>
                <w:sz w:val="20"/>
                <w:szCs w:val="20"/>
                <w:color w:val="auto"/>
              </w:rPr>
            </w:pPr>
          </w:p>
        </w:tc>
        <w:tc>
          <w:tcPr>
            <w:tcW w:w="5420" w:type="dxa"/>
            <w:vAlign w:val="bottom"/>
          </w:tcPr>
          <w:p>
            <w:pPr>
              <w:ind w:left="640"/>
              <w:spacing w:after="0"/>
              <w:rPr>
                <w:sz w:val="20"/>
                <w:szCs w:val="20"/>
                <w:color w:val="auto"/>
              </w:rPr>
            </w:pPr>
            <w:r>
              <w:rPr>
                <w:rFonts w:ascii="Arial" w:cs="Arial" w:eastAsia="Arial" w:hAnsi="Arial"/>
                <w:sz w:val="18"/>
                <w:szCs w:val="18"/>
                <w:color w:val="auto"/>
              </w:rPr>
              <w:t>2014).</w:t>
            </w:r>
          </w:p>
        </w:tc>
        <w:tc>
          <w:tcPr>
            <w:tcW w:w="72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4"/>
              </w:rPr>
              <w:t>Form of Indenture by and between the Company and U.S. Bank National Association, as trustee (incorporated by reference to Saratoga</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3"/>
              </w:rPr>
              <w:t>Investment Corp.’s Pre-Effective Amendment No. 1 to the Registration Statement on Form N-2, File No. 333-186323 filed April 30,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4"/>
              </w:rPr>
              <w:t>Form of First Supplemental Indenture between the Company and U.S. Bank National Association (incorporated by reference to Saratoga</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3"/>
              </w:rPr>
              <w:t>Investment Corp.’s Pre-Effective Amendment No. 1 to the Registration Statement on Form N-2, File No. 333-186323 filed April 30, 2013).</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rPr>
              <w:t>Form of Note (incorporated by reference to Exhibit 4.5 hereto, and Exhibit A therein).</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8"/>
              </w:rPr>
              <w:t>Form of Second Supplemental Indenture between the Company and U.S. Bank National Association (incorporated by reference to</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2"/>
              </w:rPr>
              <w:t>Amendment No. 2 to Saratoga Investment Corp.’s Registration Statement on Form N-2, File No. 333-214182, filed on December 12, 2016).</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rPr>
              <w:t>Form of Global Note (incorporated by reference to Exhibit 4.7 hereto, and Exhibit A therein).</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0"/>
              </w:rPr>
              <w:t>Form of Articles Supplementary Establishing and Fixing the Rights and Preferences of Preferred Stock (incorporated by reference to Saratoga</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3"/>
              </w:rPr>
              <w:t>Investment Corp.’s registration statement on Form N-2 Pre-Effective Amendment No. 1, File No. 333-196526, filed on December 5,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2"/>
              </w:rPr>
              <w:t>Investment Advisory and Management Agreement dated July 30, 2010 between GSC Investment Corp. and Saratoga Investment Advisors,</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rPr>
              <w:t>LLC (incorporated by reference to Saratoga Investment Corp.’s Current Report on Form 8-K filed on August 3,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2"/>
              </w:rPr>
              <w:t>Custodian Agreement dated March 21, 2007 between GSC Investment LLC and U.S. Bank National Association (incorporated by reference</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rPr>
              <w:t>to Saratoga Investment Corp.’s Form 10-Q for the quarterly period ended May 31, 2007).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4"/>
              </w:rPr>
              <w:t>Administration Agreement dated July 30, 2010 between GSC Investment Corp. and Saratoga Investment Advisors, LLC (incorporated by</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rPr>
              <w:t>reference to Saratoga Investment Corp.’s Current Report on Form 8-K filed on August 3,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0"/>
              </w:rPr>
              <w:t>Trademark License Agreement dated July 30, 2010 between Saratoga Investment Advisors, LLC and GSC Investment Corp. (incorporated by</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rPr>
              <w:t>reference to Saratoga Investment Corp.’s Current Report on Form 8-K filed on August 3,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1"/>
              </w:rPr>
              <w:t>Credit, Security and Management Agreement dated July 30, 2010 by and among GSC Investment Funding LLC, Saratoga Investment Corp.,</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7"/>
              </w:rPr>
              <w:t>Saratoga Investment Advisors, LLC, Madison Capital Funding LLC and U.S. Bank National Association (incorporated by reference to</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rPr>
              <w:t>Saratoga Investment Corp.’s Current Report on Form 8-K filed on August 3,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7"/>
              </w:rPr>
              <w:t>Form of Indemnification Agreement between Saratoga Investment Corp. and each officer and director of Saratoga Investment Corp.</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640"/>
              <w:spacing w:after="0"/>
              <w:rPr>
                <w:sz w:val="20"/>
                <w:szCs w:val="20"/>
                <w:color w:val="auto"/>
              </w:rPr>
            </w:pPr>
            <w:r>
              <w:rPr>
                <w:rFonts w:ascii="Arial" w:cs="Arial" w:eastAsia="Arial" w:hAnsi="Arial"/>
                <w:sz w:val="18"/>
                <w:szCs w:val="18"/>
                <w:color w:val="auto"/>
                <w:w w:val="93"/>
              </w:rPr>
              <w:t>(incorporated by reference to Amendment No. 2 to Saratoga Investment Corp.’s Registration Statement on Form N-2 filed on January 12,</w:t>
            </w:r>
          </w:p>
        </w:tc>
      </w:tr>
      <w:tr>
        <w:trPr>
          <w:trHeight w:val="230"/>
        </w:trPr>
        <w:tc>
          <w:tcPr>
            <w:tcW w:w="520" w:type="dxa"/>
            <w:vAlign w:val="bottom"/>
          </w:tcPr>
          <w:p>
            <w:pPr>
              <w:spacing w:after="0"/>
              <w:rPr>
                <w:sz w:val="20"/>
                <w:szCs w:val="20"/>
                <w:color w:val="auto"/>
              </w:rPr>
            </w:pPr>
          </w:p>
        </w:tc>
        <w:tc>
          <w:tcPr>
            <w:tcW w:w="5420" w:type="dxa"/>
            <w:vAlign w:val="bottom"/>
          </w:tcPr>
          <w:p>
            <w:pPr>
              <w:ind w:left="640"/>
              <w:spacing w:after="0"/>
              <w:rPr>
                <w:sz w:val="20"/>
                <w:szCs w:val="20"/>
                <w:color w:val="auto"/>
              </w:rPr>
            </w:pPr>
            <w:r>
              <w:rPr>
                <w:rFonts w:ascii="Arial" w:cs="Arial" w:eastAsia="Arial" w:hAnsi="Arial"/>
                <w:sz w:val="18"/>
                <w:szCs w:val="18"/>
                <w:color w:val="auto"/>
              </w:rPr>
              <w:t>2007).</w:t>
            </w:r>
          </w:p>
        </w:tc>
        <w:tc>
          <w:tcPr>
            <w:tcW w:w="72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365"/>
        </w:trPr>
        <w:tc>
          <w:tcPr>
            <w:tcW w:w="520" w:type="dxa"/>
            <w:vAlign w:val="bottom"/>
          </w:tcPr>
          <w:p>
            <w:pPr>
              <w:spacing w:after="0"/>
              <w:rPr>
                <w:sz w:val="24"/>
                <w:szCs w:val="24"/>
                <w:color w:val="auto"/>
              </w:rPr>
            </w:pPr>
          </w:p>
        </w:tc>
        <w:tc>
          <w:tcPr>
            <w:tcW w:w="5420" w:type="dxa"/>
            <w:vAlign w:val="bottom"/>
          </w:tcPr>
          <w:p>
            <w:pPr>
              <w:ind w:left="5100"/>
              <w:spacing w:after="0"/>
              <w:rPr>
                <w:sz w:val="20"/>
                <w:szCs w:val="20"/>
                <w:color w:val="auto"/>
              </w:rPr>
            </w:pPr>
            <w:r>
              <w:rPr>
                <w:rFonts w:ascii="Arial" w:cs="Arial" w:eastAsia="Arial" w:hAnsi="Arial"/>
                <w:sz w:val="18"/>
                <w:szCs w:val="18"/>
                <w:color w:val="auto"/>
              </w:rPr>
              <w:t>91</w:t>
            </w:r>
          </w:p>
        </w:tc>
        <w:tc>
          <w:tcPr>
            <w:tcW w:w="72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6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300" w:type="dxa"/>
            <w:vAlign w:val="bottom"/>
          </w:tcPr>
          <w:p>
            <w:pPr>
              <w:spacing w:after="0"/>
              <w:rPr>
                <w:sz w:val="16"/>
                <w:szCs w:val="16"/>
                <w:color w:val="auto"/>
              </w:rPr>
            </w:pPr>
          </w:p>
        </w:tc>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Amendment No. 1 to Credit, Security and Management Agreement dated February 24, 2012 by and among Saratoga Investment Funding LLC,</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9"/>
              </w:rPr>
              <w:t>Saratoga Investment Corp., Saratoga Investment Advisors, LLC, Madison Capital Funding LLC and U.S. Bank National Association</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(incorporated by reference to Saratoga Investment Corp.’s Current Report on Form 8-K filed on February 29, 2012).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Indenture, dated as of January 22, 2008, among GSC Investment Corp. CLO 2007, Ltd., GSC Investment Corp. CLO 2007, Inc. and U.S. Bank</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National Association (incorporated by reference to Saratoga Investment Corp.’s Registration Statement on Form N-2, File No. 333-186323, filed</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on April 30,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0"/>
              </w:rPr>
              <w:t>Indenture, dated as of October 17, 2013, among Saratoga Investment Corp. CLO 2013-1, Ltd., Saratoga Investment Corp. CLO 2013-1, Inc. and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9"/>
              </w:rPr>
              <w:t>U.S. Bank National Association (incorporated by reference to Saratoga Investment Corp.’s Registration Statement on Form N-2, File</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No. 333-196526, filed on December 5,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Amended and Restated Indenture, dated as of November 15, 2016, among Saratoga Investment Corp. CLO 2013-1, Ltd., Saratoga Investment</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Corp. CLO 2013-1, Inc. and U.S. Bank National Association. (incorporated by reference to Saratoga Investment Corp.’s Registration Statement</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on Form N-2, File No. 333-216344, filed on February 28, 2017).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Amended and Restated Collateral Management Agreement, dated October 17, 2013, by and between Saratoga Investment Corp. and Saratoga</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6"/>
              </w:rPr>
              <w:t>Investment Corp. CLO 2013-1, Ltd. (incorporated by reference to Saratoga Investment Corp.’s Registration Statement on Form N-2, File</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No. 333-196526, filed on December 5,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10.12</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Investment Advisory and Management Agreement dated July 30, 2010 between Saratoga Investment Corp. and Saratoga Investment Advisors,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0"/>
              </w:rPr>
              <w:t>LLC (incorporated by reference to Saratoga Investment Corp.’s Registration Statement on Form N-2, File No. 333-196526, filed on December 5,</w:t>
            </w:r>
          </w:p>
        </w:tc>
      </w:tr>
      <w:tr>
        <w:trPr>
          <w:trHeight w:val="230"/>
        </w:trPr>
        <w:tc>
          <w:tcPr>
            <w:tcW w:w="520" w:type="dxa"/>
            <w:vAlign w:val="bottom"/>
          </w:tcPr>
          <w:p>
            <w:pPr>
              <w:spacing w:after="0"/>
              <w:rPr>
                <w:sz w:val="20"/>
                <w:szCs w:val="20"/>
                <w:color w:val="auto"/>
              </w:rPr>
            </w:pPr>
          </w:p>
        </w:tc>
        <w:tc>
          <w:tcPr>
            <w:tcW w:w="5300" w:type="dxa"/>
            <w:vAlign w:val="bottom"/>
          </w:tcPr>
          <w:p>
            <w:pPr>
              <w:ind w:left="440"/>
              <w:spacing w:after="0"/>
              <w:rPr>
                <w:sz w:val="20"/>
                <w:szCs w:val="20"/>
                <w:color w:val="auto"/>
              </w:rPr>
            </w:pPr>
            <w:r>
              <w:rPr>
                <w:rFonts w:ascii="Arial" w:cs="Arial" w:eastAsia="Arial" w:hAnsi="Arial"/>
                <w:sz w:val="18"/>
                <w:szCs w:val="18"/>
                <w:color w:val="auto"/>
              </w:rPr>
              <w:t>2014).</w:t>
            </w:r>
          </w:p>
        </w:tc>
        <w:tc>
          <w:tcPr>
            <w:tcW w:w="7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10.13</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0"/>
              </w:rPr>
              <w:t>Amendment No. 2 to Credit, Security and Management Agreement dated September 17, 2014 by and among Saratoga Investment Funding LLC,</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9"/>
              </w:rPr>
              <w:t>Saratoga Investment Corp., Saratoga Investment Advisors, LLC, Madison Capital Funding LLC and U.S. Bank National Association</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(incorporated by reference to Saratoga Investment Corp.’s Current Report on Form 8-K filed on September 18, 2014).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Computation of Per Share Earnings (included in Note 12 to the consolidated financial statements contained in this report).</w:t>
            </w:r>
          </w:p>
        </w:tc>
      </w:tr>
    </w:tbl>
    <w:p>
      <w:pPr>
        <w:spacing w:after="0" w:line="94" w:lineRule="exact"/>
        <w:rPr>
          <w:sz w:val="20"/>
          <w:szCs w:val="20"/>
          <w:color w:val="auto"/>
        </w:rPr>
      </w:pPr>
    </w:p>
    <w:p>
      <w:pPr>
        <w:ind w:left="960" w:right="540" w:hanging="952"/>
        <w:spacing w:after="0" w:line="277"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Code of Ethics of the Company adopted under Rule 17j-1 (incorporated by reference to Amendment No.7 to Saratoga Investment Corp.’s Registration Statement on Form N-2, File No. 333-138051, filed on March 22, 2007).</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21.1</w:t>
            </w:r>
          </w:p>
        </w:tc>
        <w:tc>
          <w:tcPr>
            <w:tcW w:w="10620" w:type="dxa"/>
            <w:vAlign w:val="bottom"/>
          </w:tcPr>
          <w:p>
            <w:pPr>
              <w:ind w:left="280"/>
              <w:spacing w:after="0"/>
              <w:rPr>
                <w:sz w:val="20"/>
                <w:szCs w:val="20"/>
                <w:color w:val="auto"/>
              </w:rPr>
            </w:pPr>
            <w:r>
              <w:rPr>
                <w:rFonts w:ascii="Arial" w:cs="Arial" w:eastAsia="Arial" w:hAnsi="Arial"/>
                <w:sz w:val="18"/>
                <w:szCs w:val="18"/>
                <w:color w:val="auto"/>
                <w:w w:val="92"/>
              </w:rPr>
              <w:t>List of Subsidiaries and jurisdiction of incorporation/organization: Saratoga Investment Funding LLC—Delaware; Saratoga Investment Corp.</w:t>
            </w:r>
          </w:p>
        </w:tc>
      </w:tr>
      <w:tr>
        <w:trPr>
          <w:trHeight w:val="230"/>
        </w:trPr>
        <w:tc>
          <w:tcPr>
            <w:tcW w:w="680" w:type="dxa"/>
            <w:vAlign w:val="bottom"/>
          </w:tcPr>
          <w:p>
            <w:pPr>
              <w:spacing w:after="0"/>
              <w:rPr>
                <w:sz w:val="20"/>
                <w:szCs w:val="20"/>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SBIC, LP—Delaware; and Saratoga Investment Corp. GP, LLC—Delaware.</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Chief Executive Officer Certification Pursuant to Rule 13a-14(a) of the Securities Exchange Act of 1934, as adopted pursuant to Section 302 of</w:t>
            </w:r>
          </w:p>
        </w:tc>
      </w:tr>
      <w:tr>
        <w:trPr>
          <w:trHeight w:val="230"/>
        </w:trPr>
        <w:tc>
          <w:tcPr>
            <w:tcW w:w="680" w:type="dxa"/>
            <w:vAlign w:val="bottom"/>
          </w:tcPr>
          <w:p>
            <w:pPr>
              <w:spacing w:after="0"/>
              <w:rPr>
                <w:sz w:val="20"/>
                <w:szCs w:val="20"/>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the Sarbanes-Oxley Act of 2002.</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280"/>
              <w:spacing w:after="0"/>
              <w:rPr>
                <w:sz w:val="20"/>
                <w:szCs w:val="20"/>
                <w:color w:val="auto"/>
              </w:rPr>
            </w:pPr>
            <w:r>
              <w:rPr>
                <w:rFonts w:ascii="Arial" w:cs="Arial" w:eastAsia="Arial" w:hAnsi="Arial"/>
                <w:sz w:val="18"/>
                <w:szCs w:val="18"/>
                <w:color w:val="auto"/>
                <w:w w:val="96"/>
              </w:rPr>
              <w:t>Chief Financial Officer Certification Pursuant to Rule 13a-14(a) of the Securities Act of 1934, as adopted pursuant to Section 302 of the</w:t>
            </w:r>
          </w:p>
        </w:tc>
      </w:tr>
      <w:tr>
        <w:trPr>
          <w:trHeight w:val="230"/>
        </w:trPr>
        <w:tc>
          <w:tcPr>
            <w:tcW w:w="680" w:type="dxa"/>
            <w:vAlign w:val="bottom"/>
          </w:tcPr>
          <w:p>
            <w:pPr>
              <w:spacing w:after="0"/>
              <w:rPr>
                <w:sz w:val="20"/>
                <w:szCs w:val="20"/>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Sarbanes-Oxley Act of 2002.</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10620" w:type="dxa"/>
            <w:vAlign w:val="bottom"/>
          </w:tcPr>
          <w:p>
            <w:pPr>
              <w:ind w:left="28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2"/>
          </w:tcPr>
          <w:p>
            <w:pPr>
              <w:ind w:left="2220"/>
              <w:spacing w:after="0"/>
              <w:rPr>
                <w:sz w:val="20"/>
                <w:szCs w:val="20"/>
                <w:color w:val="auto"/>
              </w:rPr>
            </w:pPr>
            <w:r>
              <w:rPr>
                <w:rFonts w:ascii="Arial" w:cs="Arial" w:eastAsia="Arial" w:hAnsi="Arial"/>
                <w:sz w:val="18"/>
                <w:szCs w:val="18"/>
                <w:color w:val="auto"/>
              </w:rPr>
              <w:t>SARATOGA INVESTMENT CORP.</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May 16, 2017</w:t>
            </w:r>
          </w:p>
        </w:tc>
        <w:tc>
          <w:tcPr>
            <w:tcW w:w="2600" w:type="dxa"/>
            <w:vAlign w:val="bottom"/>
          </w:tcPr>
          <w:p>
            <w:pPr>
              <w:ind w:left="22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CHRISTIAN L. OBERBECK</w:t>
            </w:r>
          </w:p>
        </w:tc>
      </w:tr>
      <w:tr>
        <w:trPr>
          <w:trHeight w:val="209"/>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Christian L. Oberbeck</w:t>
            </w:r>
          </w:p>
        </w:tc>
      </w:tr>
      <w:tr>
        <w:trPr>
          <w:trHeight w:val="230"/>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w:t>
            </w:r>
          </w:p>
        </w:tc>
      </w:tr>
      <w:tr>
        <w:trPr>
          <w:trHeight w:val="432"/>
        </w:trPr>
        <w:tc>
          <w:tcPr>
            <w:tcW w:w="3680" w:type="dxa"/>
            <w:vAlign w:val="bottom"/>
          </w:tcPr>
          <w:p>
            <w:pPr>
              <w:spacing w:after="0"/>
              <w:rPr>
                <w:sz w:val="24"/>
                <w:szCs w:val="24"/>
                <w:color w:val="auto"/>
              </w:rPr>
            </w:pPr>
          </w:p>
        </w:tc>
        <w:tc>
          <w:tcPr>
            <w:tcW w:w="2600" w:type="dxa"/>
            <w:vAlign w:val="bottom"/>
          </w:tcPr>
          <w:p>
            <w:pPr>
              <w:ind w:left="22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HENRI J. STEENKAMP</w:t>
            </w:r>
          </w:p>
        </w:tc>
      </w:tr>
      <w:tr>
        <w:trPr>
          <w:trHeight w:val="224"/>
        </w:trPr>
        <w:tc>
          <w:tcPr>
            <w:tcW w:w="36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9"/>
              </w:rPr>
              <w:t>Henri J. Steenkamp</w:t>
            </w:r>
          </w:p>
        </w:tc>
      </w:tr>
    </w:tbl>
    <w:p>
      <w:pPr>
        <w:ind w:left="6900"/>
        <w:spacing w:after="0"/>
        <w:rPr>
          <w:sz w:val="20"/>
          <w:szCs w:val="20"/>
          <w:color w:val="auto"/>
        </w:rPr>
      </w:pPr>
      <w:r>
        <w:rPr>
          <w:rFonts w:ascii="Arial" w:cs="Arial" w:eastAsia="Arial" w:hAnsi="Arial"/>
          <w:sz w:val="18"/>
          <w:szCs w:val="18"/>
          <w:i w:val="1"/>
          <w:iCs w:val="1"/>
          <w:color w:val="auto"/>
        </w:rPr>
        <w:t>Chief Financial Officer and Chief Compliance Officer</w:t>
      </w:r>
    </w:p>
    <w:p>
      <w:pPr>
        <w:spacing w:after="0" w:line="2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KNOW ALL PERSONS BY THESE PRESENT, that each person whose signature appears below hereby constitutes and appoints Christian L. Oberbeck and Henri J. Steenkamp, and each of them (with full power to each of them to act alone), his true and lawful attorneys-in-fact and agents, with full power of substitution and resubstitution, for him and in his name, place, and stead, in any and all capacities, to sign this report and any and all amendments thereto, and to file the same,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8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50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CHRISTIAN L. OBERBECK</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Chairman of the Board of Directors, Chief Executive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16,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1"/>
              </w:rPr>
              <w:t>Christian L. Oberbeck</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MICHAEL J. GRISIUS</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16,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Michael J. Grisius</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HENRI J. STEENKAMP</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Chief Financial Officer (Principal Accounting Officer and Principal</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16,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8"/>
              </w:rPr>
              <w:t>Henri J. Steenkamp</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Financial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STEVEN M. LOONEY</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16,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0"/>
              </w:rPr>
              <w:t>Steven M. Looney</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CHARLES S. WHITMAN III</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16,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3"/>
              </w:rPr>
              <w:t>Charles S. Whitman III</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 CABELL WILLIAMS</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May 16,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4"/>
              </w:rPr>
              <w:t>Cabell Williams</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4280" w:type="dxa"/>
            <w:vAlign w:val="bottom"/>
          </w:tcPr>
          <w:p>
            <w:pPr>
              <w:spacing w:after="0"/>
              <w:rPr>
                <w:sz w:val="24"/>
                <w:szCs w:val="24"/>
                <w:color w:val="auto"/>
              </w:rPr>
            </w:pPr>
          </w:p>
        </w:tc>
        <w:tc>
          <w:tcPr>
            <w:tcW w:w="5180" w:type="dxa"/>
            <w:vAlign w:val="bottom"/>
            <w:gridSpan w:val="2"/>
          </w:tcPr>
          <w:p>
            <w:pPr>
              <w:jc w:val="right"/>
              <w:ind w:right="3572"/>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320" w:type="dxa"/>
            <w:vAlign w:val="bottom"/>
            <w:gridSpan w:val="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0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7160" w:type="dxa"/>
            <w:vAlign w:val="bottom"/>
            <w:gridSpan w:val="7"/>
          </w:tcPr>
          <w:p>
            <w:pPr>
              <w:jc w:val="center"/>
              <w:ind w:right="2040"/>
              <w:spacing w:after="0"/>
              <w:rPr>
                <w:sz w:val="20"/>
                <w:szCs w:val="20"/>
                <w:color w:val="auto"/>
              </w:rPr>
            </w:pPr>
            <w:r>
              <w:rPr>
                <w:rFonts w:ascii="Arial" w:cs="Arial" w:eastAsia="Arial" w:hAnsi="Arial"/>
                <w:sz w:val="18"/>
                <w:szCs w:val="18"/>
                <w:b w:val="1"/>
                <w:bCs w:val="1"/>
                <w:color w:val="auto"/>
              </w:rPr>
              <w:t>INDEX TO CONSOLIDATED FINANCIAL STATEMENTS</w:t>
            </w:r>
          </w:p>
        </w:tc>
        <w:tc>
          <w:tcPr>
            <w:tcW w:w="1040" w:type="dxa"/>
            <w:vAlign w:val="bottom"/>
          </w:tcPr>
          <w:p>
            <w:pPr>
              <w:spacing w:after="0"/>
              <w:rPr>
                <w:sz w:val="24"/>
                <w:szCs w:val="24"/>
                <w:color w:val="auto"/>
              </w:rPr>
            </w:pPr>
          </w:p>
        </w:tc>
      </w:tr>
      <w:tr>
        <w:trPr>
          <w:trHeight w:val="419"/>
        </w:trPr>
        <w:tc>
          <w:tcPr>
            <w:tcW w:w="10320" w:type="dxa"/>
            <w:vAlign w:val="bottom"/>
            <w:gridSpan w:val="9"/>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Report of Independent Registered Public Accounting Firm</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320" w:type="dxa"/>
            <w:vAlign w:val="bottom"/>
            <w:gridSpan w:val="9"/>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Consolidated Statements of Assets and Liabilities as of February 28, 2017 and February 29, 2016</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320" w:type="dxa"/>
            <w:vAlign w:val="bottom"/>
            <w:gridSpan w:val="9"/>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Consolidated Statements of Operations for the years ended February 28, 2017, February 29, 2016 and February 28, 2015</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87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Consolidated Schedules of Investments as of February 28, 2017 and February 29, 2016</w:t>
              </w:r>
            </w:hyperlink>
          </w:p>
        </w:tc>
        <w:tc>
          <w:tcPr>
            <w:tcW w:w="1580" w:type="dxa"/>
            <w:vAlign w:val="bottom"/>
            <w:gridSpan w:val="3"/>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95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Consolidated Statements of Changes in Net Assets for the years ended February 28, 2017, February 29, 2016 and February 28, 2015</w:t>
              </w:r>
            </w:hyperlink>
          </w:p>
        </w:tc>
        <w:tc>
          <w:tcPr>
            <w:tcW w:w="7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196"/>
        </w:trPr>
        <w:tc>
          <w:tcPr>
            <w:tcW w:w="10320" w:type="dxa"/>
            <w:vAlign w:val="bottom"/>
            <w:gridSpan w:val="9"/>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Consolidated Statements of Cash Flows for the years ended February 28, 2017, February 29, 2016 and February 28, 2015</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196"/>
        </w:trPr>
        <w:tc>
          <w:tcPr>
            <w:tcW w:w="88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Notes to Consolidated Financial Statements</w:t>
              </w:r>
            </w:hyperlink>
          </w:p>
        </w:tc>
        <w:tc>
          <w:tcPr>
            <w:tcW w:w="1520" w:type="dxa"/>
            <w:vAlign w:val="bottom"/>
            <w:gridSpan w:val="2"/>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w:t>
            </w:r>
          </w:p>
        </w:tc>
      </w:tr>
      <w:tr>
        <w:trPr>
          <w:trHeight w:val="237"/>
        </w:trPr>
        <w:tc>
          <w:tcPr>
            <w:tcW w:w="1360" w:type="dxa"/>
            <w:vAlign w:val="bottom"/>
            <w:tcBorders>
              <w:top w:val="single" w:sz="8" w:color="0000EE"/>
            </w:tcBorders>
          </w:tcPr>
          <w:p>
            <w:pPr>
              <w:spacing w:after="0"/>
              <w:rPr>
                <w:sz w:val="20"/>
                <w:szCs w:val="20"/>
                <w:color w:val="auto"/>
              </w:rPr>
            </w:pPr>
          </w:p>
        </w:tc>
        <w:tc>
          <w:tcPr>
            <w:tcW w:w="1800" w:type="dxa"/>
            <w:vAlign w:val="bottom"/>
            <w:tcBorders>
              <w:top w:val="single" w:sz="8" w:color="0000EE"/>
            </w:tcBorders>
          </w:tcPr>
          <w:p>
            <w:pPr>
              <w:spacing w:after="0"/>
              <w:rPr>
                <w:sz w:val="20"/>
                <w:szCs w:val="20"/>
                <w:color w:val="auto"/>
              </w:rPr>
            </w:pPr>
          </w:p>
        </w:tc>
        <w:tc>
          <w:tcPr>
            <w:tcW w:w="10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100" w:type="dxa"/>
            <w:vAlign w:val="bottom"/>
            <w:gridSpan w:val="6"/>
          </w:tcPr>
          <w:p>
            <w:pPr>
              <w:jc w:val="center"/>
              <w:ind w:right="3120"/>
              <w:spacing w:after="0"/>
              <w:rPr>
                <w:sz w:val="20"/>
                <w:szCs w:val="20"/>
                <w:color w:val="auto"/>
              </w:rPr>
            </w:pPr>
            <w:r>
              <w:rPr>
                <w:rFonts w:ascii="Arial" w:cs="Arial" w:eastAsia="Arial" w:hAnsi="Arial"/>
                <w:sz w:val="18"/>
                <w:szCs w:val="18"/>
                <w:color w:val="auto"/>
                <w:w w:val="96"/>
              </w:rPr>
              <w:t>F-1</w:t>
            </w:r>
          </w:p>
        </w:tc>
        <w:tc>
          <w:tcPr>
            <w:tcW w:w="1040" w:type="dxa"/>
            <w:vAlign w:val="bottom"/>
          </w:tcPr>
          <w:p>
            <w:pPr>
              <w:spacing w:after="0"/>
              <w:rPr>
                <w:sz w:val="24"/>
                <w:szCs w:val="24"/>
                <w:color w:val="auto"/>
              </w:rPr>
            </w:pPr>
          </w:p>
        </w:tc>
      </w:tr>
    </w:tbl>
    <w:p>
      <w:pPr>
        <w:sectPr>
          <w:pgSz w:w="11900" w:h="16838" w:orient="portrait"/>
          <w:cols w:equalWidth="0" w:num="1">
            <w:col w:w="11360"/>
          </w:cols>
          <w:pgMar w:left="240" w:top="446"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Saratoga Investment Corp.</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have audited the accompanying consolidated statements of assets and liabilities of Saratoga Investment Corp. (the “Company”), including the consolidated schedules of investments, as of February 28, 2017 and February 29, 2016, and the related consolidated statements of operations, changes in net assets, and cash flows for the years ended February 28, 2017, February 29, 2016 and February 28, 2015. These consolidated financial statements are the responsibility of the Company’s management. Our responsibility is to express an opinion on these consolidated financial statements based on our audits.</w:t>
      </w:r>
    </w:p>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entity’s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entity’s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Our procedures included confirmation of investments owned as of February 28, 2017, by correspondence with the custodian, debt agents and lenders. We believe that our audits provide a reasonable basis for our opinion.</w:t>
      </w:r>
    </w:p>
    <w:p>
      <w:pPr>
        <w:spacing w:after="0" w:line="16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Saratoga Investment Corp. at February 28, 2017 and February 29, 2016, and the consolidated results of their operations, changes in their net assets and their cash flows for the years ended February 28, 2017, February 29, 2016 and February 28, 2015, in conformity with U.S. generally accepted accounting principles.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16,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368"/>
              <w:spacing w:after="0" w:line="119" w:lineRule="exact"/>
              <w:rPr>
                <w:sz w:val="20"/>
                <w:szCs w:val="20"/>
                <w:color w:val="auto"/>
              </w:rPr>
            </w:pPr>
            <w:r>
              <w:rPr>
                <w:rFonts w:ascii="Arial" w:cs="Arial" w:eastAsia="Arial" w:hAnsi="Arial"/>
                <w:sz w:val="13"/>
                <w:szCs w:val="13"/>
                <w:b w:val="1"/>
                <w:bCs w:val="1"/>
                <w:color w:val="auto"/>
              </w:rPr>
              <w:t>February 28,</w:t>
            </w:r>
          </w:p>
        </w:tc>
        <w:tc>
          <w:tcPr>
            <w:tcW w:w="80" w:type="dxa"/>
            <w:vAlign w:val="bottom"/>
          </w:tcPr>
          <w:p>
            <w:pPr>
              <w:spacing w:after="0"/>
              <w:rPr>
                <w:sz w:val="10"/>
                <w:szCs w:val="10"/>
                <w:color w:val="auto"/>
              </w:rPr>
            </w:pPr>
          </w:p>
        </w:tc>
        <w:tc>
          <w:tcPr>
            <w:tcW w:w="920" w:type="dxa"/>
            <w:vAlign w:val="bottom"/>
          </w:tcPr>
          <w:p>
            <w:pPr>
              <w:jc w:val="right"/>
              <w:ind w:right="11"/>
              <w:spacing w:after="0" w:line="119" w:lineRule="exact"/>
              <w:rPr>
                <w:sz w:val="20"/>
                <w:szCs w:val="20"/>
                <w:color w:val="auto"/>
              </w:rPr>
            </w:pPr>
            <w:r>
              <w:rPr>
                <w:rFonts w:ascii="Arial" w:cs="Arial" w:eastAsia="Arial" w:hAnsi="Arial"/>
                <w:sz w:val="13"/>
                <w:szCs w:val="13"/>
                <w:b w:val="1"/>
                <w:bCs w:val="1"/>
                <w:color w:val="auto"/>
              </w:rPr>
              <w:t>February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Non-control/Non-affiliate investments (amortized cost of $251,198,896 and $268,145,090, respectively)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242,531,514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271,168,186</w:t>
            </w:r>
          </w:p>
        </w:tc>
        <w:tc>
          <w:tcPr>
            <w:tcW w:w="0" w:type="dxa"/>
            <w:vAlign w:val="bottom"/>
          </w:tcPr>
          <w:p>
            <w:pPr>
              <w:spacing w:after="0"/>
              <w:rPr>
                <w:sz w:val="1"/>
                <w:szCs w:val="1"/>
                <w:color w:val="auto"/>
              </w:rPr>
            </w:pPr>
          </w:p>
        </w:tc>
      </w:tr>
      <w:tr>
        <w:trPr>
          <w:trHeight w:val="223"/>
        </w:trPr>
        <w:tc>
          <w:tcPr>
            <w:tcW w:w="8660" w:type="dxa"/>
            <w:vAlign w:val="bottom"/>
          </w:tcPr>
          <w:p>
            <w:pPr>
              <w:ind w:left="360"/>
              <w:spacing w:after="0"/>
              <w:rPr>
                <w:sz w:val="20"/>
                <w:szCs w:val="20"/>
                <w:color w:val="auto"/>
              </w:rPr>
            </w:pPr>
            <w:r>
              <w:rPr>
                <w:rFonts w:ascii="Arial" w:cs="Arial" w:eastAsia="Arial" w:hAnsi="Arial"/>
                <w:sz w:val="18"/>
                <w:szCs w:val="18"/>
                <w:color w:val="auto"/>
              </w:rPr>
              <w:t>Control investments (cost of $49,283,536 and $13,030,751, respectively)</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68"/>
              <w:spacing w:after="0"/>
              <w:rPr>
                <w:sz w:val="20"/>
                <w:szCs w:val="20"/>
                <w:color w:val="auto"/>
              </w:rPr>
            </w:pPr>
            <w:r>
              <w:rPr>
                <w:rFonts w:ascii="Arial" w:cs="Arial" w:eastAsia="Arial" w:hAnsi="Arial"/>
                <w:sz w:val="18"/>
                <w:szCs w:val="18"/>
                <w:color w:val="auto"/>
                <w:w w:val="97"/>
              </w:rPr>
              <w:t>50,129,799</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12,827,980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 (amortized cost of $300,482,432 and $281,175,841, respectively)</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292,661,313</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283,996,166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9,306,543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2,440,277</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reserve accounts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7"/>
              </w:rPr>
              <w:t>12,781,425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4,594,506</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Interest receivable (net of reserve of $157,560 and $728,519, respectively)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3,294,450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3,195,919</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receivable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170,016</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183,346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350,368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unsettled trades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253,041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3"/>
        </w:trPr>
        <w:tc>
          <w:tcPr>
            <w:tcW w:w="86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318,651,224</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295,047,252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revolving credit facility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(437,183)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(515,906)</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SBA debentures payable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112,660,000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103,660,000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SBA debentures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(2,508,280)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(2,493,303)</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Notes payable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8"/>
              <w:spacing w:after="0"/>
              <w:rPr>
                <w:sz w:val="20"/>
                <w:szCs w:val="20"/>
                <w:color w:val="auto"/>
              </w:rPr>
            </w:pPr>
            <w:r>
              <w:rPr>
                <w:rFonts w:ascii="Arial" w:cs="Arial" w:eastAsia="Arial" w:hAnsi="Arial"/>
                <w:sz w:val="18"/>
                <w:szCs w:val="18"/>
                <w:color w:val="auto"/>
                <w:w w:val="97"/>
              </w:rPr>
              <w:t>74,450,500</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61,793,125</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notes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(2,689,511)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(1,694,586)</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Dividend payable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875,599</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and incentive fees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5,814,692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5,593,956</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852,987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855,873</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fees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2,764,237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1,552,069</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Payable for repurchases of common stock</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20,957</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51,500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31,500</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Due to manager</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397,505</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191,356,447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169,897,377</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color w:val="auto"/>
              </w:rPr>
              <w:t>Commitments and contingencies (See Note 8)</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60" w:type="dxa"/>
            <w:vAlign w:val="bottom"/>
          </w:tcPr>
          <w:p>
            <w:pPr>
              <w:spacing w:after="0" w:line="201" w:lineRule="exact"/>
              <w:rPr>
                <w:sz w:val="20"/>
                <w:szCs w:val="20"/>
                <w:color w:val="auto"/>
              </w:rPr>
            </w:pPr>
            <w:r>
              <w:rPr>
                <w:rFonts w:ascii="Arial" w:cs="Arial" w:eastAsia="Arial" w:hAnsi="Arial"/>
                <w:sz w:val="18"/>
                <w:szCs w:val="18"/>
                <w:color w:val="auto"/>
                <w:w w:val="92"/>
              </w:rPr>
              <w:t>Common stock, par value $.001, 100,000,000 common shares authorized, 5,794,600 and 5,672,227 common shares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180"/>
              <w:spacing w:after="0"/>
              <w:rPr>
                <w:sz w:val="20"/>
                <w:szCs w:val="20"/>
                <w:color w:val="auto"/>
              </w:rPr>
            </w:pPr>
            <w:r>
              <w:rPr>
                <w:rFonts w:ascii="Arial" w:cs="Arial" w:eastAsia="Arial" w:hAnsi="Arial"/>
                <w:sz w:val="18"/>
                <w:szCs w:val="18"/>
                <w:color w:val="auto"/>
              </w:rPr>
              <w:t>issued and outstanding, respectively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5,795</w:t>
            </w:r>
          </w:p>
        </w:tc>
        <w:tc>
          <w:tcPr>
            <w:tcW w:w="3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190,483,931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188,714,329</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Distribution in excess of net investment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8"/>
                <w:szCs w:val="18"/>
                <w:color w:val="auto"/>
                <w:w w:val="92"/>
              </w:rPr>
              <w:t>(27,737,348)</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(26,217,902)</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from investments and derivatives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92"/>
              </w:rPr>
              <w:t>(27,636,482)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(40,172,549)</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Accumulated net unrealized appreciation (depreciation) on investments and derivatives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8"/>
                <w:szCs w:val="18"/>
                <w:color w:val="auto"/>
              </w:rPr>
              <w:t>(7,821,119)</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2,820,325</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assets</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127,294,777</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125,149,875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 liabilities and net assets</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318,651,224</w:t>
            </w:r>
          </w:p>
        </w:tc>
        <w:tc>
          <w:tcPr>
            <w:tcW w:w="3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295,047,252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For the year</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For the year</w:t>
            </w:r>
          </w:p>
        </w:tc>
        <w:tc>
          <w:tcPr>
            <w:tcW w:w="12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ended</w:t>
            </w: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February 29,</w:t>
            </w:r>
          </w:p>
        </w:tc>
        <w:tc>
          <w:tcPr>
            <w:tcW w:w="1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26,413,986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23,165,823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20,790,324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Payment-in-kind interest income from Non-control/Non-affiliate investments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652,847</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1,039,398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1,186,657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2,281,397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2,665,648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2,707,230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Total interest income</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29,348,230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26,870,869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24,684,211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31,151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Management fee income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1,499,001</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1,494,779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1,520,205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2,278,770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1,679,602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1,167,144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Total investment income</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33,157,152</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30,050,670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27,375,361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Interest and debt financing expenses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9,888,127</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8,456,467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7,375,022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4,898,657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4,528,589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4,156,955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Professional fees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1,243,400</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1,336,214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1,301,713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1,366,667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1,175,000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2,947,543</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2,232,188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2,547,773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275,787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330,867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Directors fees and expenses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235,422</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204,000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210,761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1,121,594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Excise tax expense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44,770</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113,808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293,653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19,780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22,041,747</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19,372,338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17,701,511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1,454,595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9,660,810</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10,678,332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9,673,850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realized gain from investments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12,368,115</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226,252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3,276,450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(10,641,444)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740,974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(1,942,936)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Net gain on investments</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1,726,671</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967,226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1,333,514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11,387,481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11,645,558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11,007,364</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AVERAGE—BASIC AND DILUTED EARNINGS PER COMMON SHARE</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5,740,450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5,582,453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5,385,049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2017</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gridSpan w:val="3"/>
            <w:vMerge w:val="restart"/>
          </w:tcPr>
          <w:p>
            <w:pPr>
              <w:ind w:left="1260"/>
              <w:spacing w:after="0"/>
              <w:rPr>
                <w:sz w:val="20"/>
                <w:szCs w:val="20"/>
                <w:color w:val="auto"/>
              </w:rPr>
            </w:pPr>
            <w:r>
              <w:rPr>
                <w:rFonts w:ascii="Arial" w:cs="Arial" w:eastAsia="Arial" w:hAnsi="Arial"/>
                <w:sz w:val="14"/>
                <w:szCs w:val="14"/>
                <w:b w:val="1"/>
                <w:bCs w:val="1"/>
                <w:color w:val="auto"/>
              </w:rPr>
              <w:t>Company</w:t>
            </w:r>
          </w:p>
        </w:tc>
        <w:tc>
          <w:tcPr>
            <w:tcW w:w="160" w:type="dxa"/>
            <w:vAlign w:val="bottom"/>
          </w:tcPr>
          <w:p>
            <w:pPr>
              <w:spacing w:after="0"/>
              <w:rPr>
                <w:sz w:val="14"/>
                <w:szCs w:val="14"/>
                <w:color w:val="auto"/>
              </w:rPr>
            </w:pPr>
          </w:p>
        </w:tc>
        <w:tc>
          <w:tcPr>
            <w:tcW w:w="18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Industry</w:t>
            </w:r>
          </w:p>
        </w:tc>
        <w:tc>
          <w:tcPr>
            <w:tcW w:w="160" w:type="dxa"/>
            <w:vAlign w:val="bottom"/>
          </w:tcPr>
          <w:p>
            <w:pPr>
              <w:spacing w:after="0"/>
              <w:rPr>
                <w:sz w:val="14"/>
                <w:szCs w:val="14"/>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Investment Interest Rate</w:t>
            </w:r>
          </w:p>
        </w:tc>
        <w:tc>
          <w:tcPr>
            <w:tcW w:w="18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Maturity</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Value (c)</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80" w:type="dxa"/>
            <w:vAlign w:val="bottom"/>
            <w:vMerge w:val="restart"/>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87"/>
              </w:rPr>
              <w:t>investments—190.5%</w:t>
            </w:r>
          </w:p>
        </w:tc>
        <w:tc>
          <w:tcPr>
            <w:tcW w:w="160" w:type="dxa"/>
            <w:vAlign w:val="bottom"/>
            <w:shd w:val="clear" w:color="auto" w:fill="CCEEFF"/>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86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Non-control/Non-affiliated</w:t>
            </w:r>
          </w:p>
        </w:tc>
        <w:tc>
          <w:tcPr>
            <w:tcW w:w="128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gridSpan w:val="3"/>
            <w:shd w:val="clear" w:color="auto" w:fill="CCEEFF"/>
          </w:tcPr>
          <w:p>
            <w:pPr>
              <w:ind w:left="140"/>
              <w:spacing w:after="0"/>
              <w:rPr>
                <w:sz w:val="20"/>
                <w:szCs w:val="20"/>
                <w:color w:val="auto"/>
              </w:rPr>
            </w:pPr>
            <w:r>
              <w:rPr>
                <w:rFonts w:ascii="Arial" w:cs="Arial" w:eastAsia="Arial" w:hAnsi="Arial"/>
                <w:sz w:val="14"/>
                <w:szCs w:val="14"/>
                <w:b w:val="1"/>
                <w:bCs w:val="1"/>
                <w:color w:val="auto"/>
              </w:rPr>
              <w:t>(b)</w:t>
            </w:r>
          </w:p>
        </w:tc>
        <w:tc>
          <w:tcPr>
            <w:tcW w:w="1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tcPr>
          <w:p>
            <w:pPr>
              <w:spacing w:after="0" w:line="130" w:lineRule="exact"/>
              <w:rPr>
                <w:sz w:val="20"/>
                <w:szCs w:val="20"/>
                <w:color w:val="auto"/>
              </w:rPr>
            </w:pPr>
            <w:r>
              <w:rPr>
                <w:rFonts w:ascii="Arial" w:cs="Arial" w:eastAsia="Arial" w:hAnsi="Arial"/>
                <w:sz w:val="14"/>
                <w:szCs w:val="14"/>
                <w:color w:val="auto"/>
              </w:rPr>
              <w:t>Apex Holdings Software Technologies, LLC</w:t>
            </w:r>
          </w:p>
        </w:tc>
        <w:tc>
          <w:tcPr>
            <w:tcW w:w="20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First Lien Term Loan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(L+8.00%), 9.05% Cash,</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40" w:type="dxa"/>
            <w:vAlign w:val="bottom"/>
            <w:gridSpan w:val="2"/>
          </w:tcPr>
          <w:p>
            <w:pPr>
              <w:ind w:left="160"/>
              <w:spacing w:after="0"/>
              <w:rPr>
                <w:sz w:val="20"/>
                <w:szCs w:val="20"/>
                <w:color w:val="auto"/>
              </w:rPr>
            </w:pPr>
            <w:r>
              <w:rPr>
                <w:rFonts w:ascii="Arial" w:cs="Arial" w:eastAsia="Arial" w:hAnsi="Arial"/>
                <w:sz w:val="14"/>
                <w:szCs w:val="14"/>
                <w:color w:val="auto"/>
              </w:rPr>
              <w:t>9/21/2021</w:t>
            </w:r>
          </w:p>
        </w:tc>
        <w:tc>
          <w:tcPr>
            <w:tcW w:w="1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18,000,000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17,857,818</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17,843,400</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Avionte Holdings, LLC (g)</w:t>
            </w:r>
          </w:p>
        </w:tc>
        <w:tc>
          <w:tcPr>
            <w:tcW w:w="20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Business Services</w:t>
            </w:r>
          </w:p>
        </w:tc>
        <w:tc>
          <w:tcPr>
            <w:tcW w:w="20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251,000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tcPr>
          <w:p>
            <w:pPr>
              <w:spacing w:after="0" w:line="130" w:lineRule="exact"/>
              <w:rPr>
                <w:sz w:val="20"/>
                <w:szCs w:val="20"/>
                <w:color w:val="auto"/>
              </w:rPr>
            </w:pPr>
            <w:r>
              <w:rPr>
                <w:rFonts w:ascii="Arial" w:cs="Arial" w:eastAsia="Arial" w:hAnsi="Arial"/>
                <w:sz w:val="14"/>
                <w:szCs w:val="14"/>
                <w:color w:val="auto"/>
              </w:rPr>
              <w:t>BMC Software, Inc. (d)</w:t>
            </w:r>
          </w:p>
        </w:tc>
        <w:tc>
          <w:tcPr>
            <w:tcW w:w="20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Syndicated Loan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(L+4.00%), 5.05% Cash,</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40" w:type="dxa"/>
            <w:vAlign w:val="bottom"/>
            <w:gridSpan w:val="2"/>
          </w:tcPr>
          <w:p>
            <w:pPr>
              <w:ind w:left="160"/>
              <w:spacing w:after="0"/>
              <w:rPr>
                <w:sz w:val="20"/>
                <w:szCs w:val="20"/>
                <w:color w:val="auto"/>
              </w:rPr>
            </w:pPr>
            <w:r>
              <w:rPr>
                <w:rFonts w:ascii="Arial" w:cs="Arial" w:eastAsia="Arial" w:hAnsi="Arial"/>
                <w:sz w:val="14"/>
                <w:szCs w:val="14"/>
                <w:color w:val="auto"/>
              </w:rPr>
              <w:t>9/10/2020</w:t>
            </w:r>
          </w:p>
        </w:tc>
        <w:tc>
          <w:tcPr>
            <w:tcW w:w="1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5,611,666</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5,582,551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5,639,163</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Courion Corporation</w:t>
            </w:r>
          </w:p>
        </w:tc>
        <w:tc>
          <w:tcPr>
            <w:tcW w:w="20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Second Lien Term Loan</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0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(L+10.00%), 11.05% Cash,</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6/1/2021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14,879,353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14,230,500</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tcPr>
          <w:p>
            <w:pPr>
              <w:spacing w:after="0" w:line="130" w:lineRule="exact"/>
              <w:rPr>
                <w:sz w:val="20"/>
                <w:szCs w:val="20"/>
                <w:color w:val="auto"/>
              </w:rPr>
            </w:pPr>
            <w:r>
              <w:rPr>
                <w:rFonts w:ascii="Arial" w:cs="Arial" w:eastAsia="Arial" w:hAnsi="Arial"/>
                <w:sz w:val="14"/>
                <w:szCs w:val="14"/>
                <w:color w:val="auto"/>
              </w:rPr>
              <w:t>Emily Street Enterprises, L.L.C.</w:t>
            </w:r>
          </w:p>
        </w:tc>
        <w:tc>
          <w:tcPr>
            <w:tcW w:w="20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Senior Secured Note</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(L+8.50%), 10.00%</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0" w:type="dxa"/>
            <w:vAlign w:val="bottom"/>
            <w:gridSpan w:val="3"/>
          </w:tcPr>
          <w:p>
            <w:pPr>
              <w:ind w:left="160"/>
              <w:spacing w:after="0"/>
              <w:rPr>
                <w:sz w:val="20"/>
                <w:szCs w:val="20"/>
                <w:color w:val="auto"/>
              </w:rPr>
            </w:pPr>
            <w:r>
              <w:rPr>
                <w:rFonts w:ascii="Arial" w:cs="Arial" w:eastAsia="Arial" w:hAnsi="Arial"/>
                <w:sz w:val="14"/>
                <w:szCs w:val="14"/>
                <w:color w:val="auto"/>
              </w:rPr>
              <w:t>Cash, 1/23/2020</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3,300,000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3,282,213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3,316,500</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Emily Street Enterprises, L.L.C. (g)</w:t>
            </w:r>
          </w:p>
        </w:tc>
        <w:tc>
          <w:tcPr>
            <w:tcW w:w="20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Warrant Membership</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Interests Expires 12/28/2022</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49,318</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394,544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tcPr>
          <w:p>
            <w:pPr>
              <w:spacing w:after="0" w:line="130" w:lineRule="exact"/>
              <w:rPr>
                <w:sz w:val="20"/>
                <w:szCs w:val="20"/>
                <w:color w:val="auto"/>
              </w:rPr>
            </w:pPr>
            <w:r>
              <w:rPr>
                <w:rFonts w:ascii="Arial" w:cs="Arial" w:eastAsia="Arial" w:hAnsi="Arial"/>
                <w:sz w:val="14"/>
                <w:szCs w:val="14"/>
                <w:color w:val="auto"/>
              </w:rPr>
              <w:t>Erwin, Inc.</w:t>
            </w:r>
          </w:p>
        </w:tc>
        <w:tc>
          <w:tcPr>
            <w:tcW w:w="20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Second Lien Term Loan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(L+11.50%), 12.55%</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(11.50% Cash/1.00% PIK),</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40" w:type="dxa"/>
            <w:vAlign w:val="bottom"/>
            <w:gridSpan w:val="2"/>
          </w:tcPr>
          <w:p>
            <w:pPr>
              <w:ind w:left="160"/>
              <w:spacing w:after="0"/>
              <w:rPr>
                <w:sz w:val="20"/>
                <w:szCs w:val="20"/>
                <w:color w:val="auto"/>
              </w:rPr>
            </w:pPr>
            <w:r>
              <w:rPr>
                <w:rFonts w:ascii="Arial" w:cs="Arial" w:eastAsia="Arial" w:hAnsi="Arial"/>
                <w:sz w:val="14"/>
                <w:szCs w:val="14"/>
                <w:color w:val="auto"/>
              </w:rPr>
              <w:t>8/28/2021</w:t>
            </w:r>
          </w:p>
        </w:tc>
        <w:tc>
          <w:tcPr>
            <w:tcW w:w="1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13,111,929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13,000,581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13,111,929</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GreyHeller LLC</w:t>
            </w:r>
          </w:p>
        </w:tc>
        <w:tc>
          <w:tcPr>
            <w:tcW w:w="20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First Lien Term Loan</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0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(L+11.00%), 12.05% Cash,</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11/16/2021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6,933,141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6,930,000</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tcPr>
          <w:p>
            <w:pPr>
              <w:spacing w:after="0" w:line="130" w:lineRule="exact"/>
              <w:rPr>
                <w:sz w:val="20"/>
                <w:szCs w:val="20"/>
                <w:color w:val="auto"/>
              </w:rPr>
            </w:pPr>
            <w:r>
              <w:rPr>
                <w:rFonts w:ascii="Arial" w:cs="Arial" w:eastAsia="Arial" w:hAnsi="Arial"/>
                <w:sz w:val="14"/>
                <w:szCs w:val="14"/>
                <w:color w:val="auto"/>
              </w:rPr>
              <w:t>GreyHeller LLC (i), (j)</w:t>
            </w:r>
          </w:p>
        </w:tc>
        <w:tc>
          <w:tcPr>
            <w:tcW w:w="20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Delayed Draw Term Loan B</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(L+11.00%), 12.05% Cash,</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40" w:type="dxa"/>
            <w:vAlign w:val="bottom"/>
            <w:gridSpan w:val="2"/>
          </w:tcPr>
          <w:p>
            <w:pPr>
              <w:ind w:left="160"/>
              <w:spacing w:after="0"/>
              <w:rPr>
                <w:sz w:val="20"/>
                <w:szCs w:val="20"/>
                <w:color w:val="auto"/>
              </w:rPr>
            </w:pPr>
            <w:r>
              <w:rPr>
                <w:rFonts w:ascii="Arial" w:cs="Arial" w:eastAsia="Arial" w:hAnsi="Arial"/>
                <w:sz w:val="14"/>
                <w:szCs w:val="14"/>
                <w:color w:val="auto"/>
              </w:rPr>
              <w:t>11/16/2021</w:t>
            </w:r>
          </w:p>
        </w:tc>
        <w:tc>
          <w:tcPr>
            <w:tcW w:w="1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GreyHeller LLC (g)</w:t>
            </w:r>
          </w:p>
        </w:tc>
        <w:tc>
          <w:tcPr>
            <w:tcW w:w="20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Business Services</w:t>
            </w:r>
          </w:p>
        </w:tc>
        <w:tc>
          <w:tcPr>
            <w:tcW w:w="20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850,000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850,000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850,000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tcPr>
          <w:p>
            <w:pPr>
              <w:spacing w:after="0" w:line="130" w:lineRule="exact"/>
              <w:rPr>
                <w:sz w:val="20"/>
                <w:szCs w:val="20"/>
                <w:color w:val="auto"/>
              </w:rPr>
            </w:pPr>
            <w:r>
              <w:rPr>
                <w:rFonts w:ascii="Arial" w:cs="Arial" w:eastAsia="Arial" w:hAnsi="Arial"/>
                <w:sz w:val="14"/>
                <w:szCs w:val="14"/>
                <w:color w:val="auto"/>
              </w:rPr>
              <w:t>Help/Systems Holdings, Inc.(Help/Systems, LLC)</w:t>
            </w:r>
          </w:p>
        </w:tc>
        <w:tc>
          <w:tcPr>
            <w:tcW w:w="20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First Lien Term Loan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(L+5.25%), 6.30% Cash,</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40" w:type="dxa"/>
            <w:vAlign w:val="bottom"/>
            <w:gridSpan w:val="2"/>
          </w:tcPr>
          <w:p>
            <w:pPr>
              <w:ind w:left="160"/>
              <w:spacing w:after="0"/>
              <w:rPr>
                <w:sz w:val="20"/>
                <w:szCs w:val="20"/>
                <w:color w:val="auto"/>
              </w:rPr>
            </w:pPr>
            <w:r>
              <w:rPr>
                <w:rFonts w:ascii="Arial" w:cs="Arial" w:eastAsia="Arial" w:hAnsi="Arial"/>
                <w:sz w:val="14"/>
                <w:szCs w:val="14"/>
                <w:color w:val="auto"/>
              </w:rPr>
              <w:t>10/8/2021</w:t>
            </w:r>
          </w:p>
        </w:tc>
        <w:tc>
          <w:tcPr>
            <w:tcW w:w="1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5,947,481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5,857,960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5,947,481</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Help/Systems Holdings, Inc.(Help/Systems, LLC)</w:t>
            </w:r>
          </w:p>
        </w:tc>
        <w:tc>
          <w:tcPr>
            <w:tcW w:w="20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Second Lien Term Loan</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0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(L+9.50%), 10.55% Cash,</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10/8/2022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2,922,606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2,926,800</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tcPr>
          <w:p>
            <w:pPr>
              <w:spacing w:after="0" w:line="130" w:lineRule="exact"/>
              <w:rPr>
                <w:sz w:val="20"/>
                <w:szCs w:val="20"/>
                <w:color w:val="auto"/>
              </w:rPr>
            </w:pPr>
            <w:r>
              <w:rPr>
                <w:rFonts w:ascii="Arial" w:cs="Arial" w:eastAsia="Arial" w:hAnsi="Arial"/>
                <w:sz w:val="14"/>
                <w:szCs w:val="14"/>
                <w:color w:val="auto"/>
              </w:rPr>
              <w:t>Identity Automation Systems</w:t>
            </w:r>
          </w:p>
        </w:tc>
        <w:tc>
          <w:tcPr>
            <w:tcW w:w="20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Convertible Promissory</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Note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13.50% (6.75% Cash/6.75%</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0" w:type="dxa"/>
            <w:vAlign w:val="bottom"/>
            <w:gridSpan w:val="3"/>
          </w:tcPr>
          <w:p>
            <w:pPr>
              <w:ind w:left="160"/>
              <w:spacing w:after="0"/>
              <w:rPr>
                <w:sz w:val="20"/>
                <w:szCs w:val="20"/>
                <w:color w:val="auto"/>
              </w:rPr>
            </w:pPr>
            <w:r>
              <w:rPr>
                <w:rFonts w:ascii="Arial" w:cs="Arial" w:eastAsia="Arial" w:hAnsi="Arial"/>
                <w:sz w:val="14"/>
                <w:szCs w:val="14"/>
                <w:color w:val="auto"/>
              </w:rPr>
              <w:t>PIK), 8/18/2018</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611,517</w:t>
            </w:r>
          </w:p>
        </w:tc>
        <w:tc>
          <w:tcPr>
            <w:tcW w:w="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611,517</w:t>
            </w: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611,517</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Identity Automation Systems (g)</w:t>
            </w:r>
          </w:p>
        </w:tc>
        <w:tc>
          <w:tcPr>
            <w:tcW w:w="20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Stock Class A</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Units</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232,616</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232,616</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386,143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tcPr>
          <w:p>
            <w:pPr>
              <w:spacing w:after="0" w:line="130" w:lineRule="exact"/>
              <w:rPr>
                <w:sz w:val="20"/>
                <w:szCs w:val="20"/>
                <w:color w:val="auto"/>
              </w:rPr>
            </w:pPr>
            <w:r>
              <w:rPr>
                <w:rFonts w:ascii="Arial" w:cs="Arial" w:eastAsia="Arial" w:hAnsi="Arial"/>
                <w:sz w:val="14"/>
                <w:szCs w:val="14"/>
                <w:color w:val="auto"/>
              </w:rPr>
              <w:t>Identity Automation Systems</w:t>
            </w:r>
          </w:p>
        </w:tc>
        <w:tc>
          <w:tcPr>
            <w:tcW w:w="20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First Lien Term Loan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(L+9.25%), 10.30% (9.25%</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Cash/1.75% PIK)</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40" w:type="dxa"/>
            <w:vAlign w:val="bottom"/>
            <w:gridSpan w:val="2"/>
          </w:tcPr>
          <w:p>
            <w:pPr>
              <w:ind w:left="160"/>
              <w:spacing w:after="0"/>
              <w:rPr>
                <w:sz w:val="20"/>
                <w:szCs w:val="20"/>
                <w:color w:val="auto"/>
              </w:rPr>
            </w:pPr>
            <w:r>
              <w:rPr>
                <w:rFonts w:ascii="Arial" w:cs="Arial" w:eastAsia="Arial" w:hAnsi="Arial"/>
                <w:sz w:val="14"/>
                <w:szCs w:val="14"/>
                <w:color w:val="auto"/>
              </w:rPr>
              <w:t>12/18/2020</w:t>
            </w:r>
          </w:p>
        </w:tc>
        <w:tc>
          <w:tcPr>
            <w:tcW w:w="1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10,293,791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10,223,741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10,293,791</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Knowland Technology Holdings, L.L.C.</w:t>
            </w:r>
          </w:p>
        </w:tc>
        <w:tc>
          <w:tcPr>
            <w:tcW w:w="20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First Lien Term Loan</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0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(L+8.75%), 9.80% Cash,</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7/20/2021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17,777,730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17,692,307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17,777,730</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tcPr>
          <w:p>
            <w:pPr>
              <w:spacing w:after="0" w:line="130" w:lineRule="exact"/>
              <w:rPr>
                <w:sz w:val="20"/>
                <w:szCs w:val="20"/>
                <w:color w:val="auto"/>
              </w:rPr>
            </w:pPr>
            <w:r>
              <w:rPr>
                <w:rFonts w:ascii="Arial" w:cs="Arial" w:eastAsia="Arial" w:hAnsi="Arial"/>
                <w:sz w:val="14"/>
                <w:szCs w:val="14"/>
                <w:color w:val="auto"/>
              </w:rPr>
              <w:t>Microsystems Company</w:t>
            </w:r>
          </w:p>
        </w:tc>
        <w:tc>
          <w:tcPr>
            <w:tcW w:w="20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Second Lien Term Loan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(L+10.00%), 11.05% Cash,</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40" w:type="dxa"/>
            <w:vAlign w:val="bottom"/>
            <w:gridSpan w:val="2"/>
          </w:tcPr>
          <w:p>
            <w:pPr>
              <w:ind w:left="160"/>
              <w:spacing w:after="0"/>
              <w:rPr>
                <w:sz w:val="20"/>
                <w:szCs w:val="20"/>
                <w:color w:val="auto"/>
              </w:rPr>
            </w:pPr>
            <w:r>
              <w:rPr>
                <w:rFonts w:ascii="Arial" w:cs="Arial" w:eastAsia="Arial" w:hAnsi="Arial"/>
                <w:sz w:val="14"/>
                <w:szCs w:val="14"/>
                <w:color w:val="auto"/>
              </w:rPr>
              <w:t>7/1/2022</w:t>
            </w:r>
          </w:p>
        </w:tc>
        <w:tc>
          <w:tcPr>
            <w:tcW w:w="1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8,000,000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7,927,489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7,964,800</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National Waste Partner</w:t>
            </w:r>
          </w:p>
        </w:tc>
        <w:tc>
          <w:tcPr>
            <w:tcW w:w="20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First Lien Term Loan</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10.00% Cash, 2/13/2022</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9,000,000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8,910,000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8,910,000</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tcPr>
          <w:p>
            <w:pPr>
              <w:spacing w:after="0" w:line="130" w:lineRule="exact"/>
              <w:rPr>
                <w:sz w:val="20"/>
                <w:szCs w:val="20"/>
                <w:color w:val="auto"/>
              </w:rPr>
            </w:pPr>
            <w:r>
              <w:rPr>
                <w:rFonts w:ascii="Arial" w:cs="Arial" w:eastAsia="Arial" w:hAnsi="Arial"/>
                <w:sz w:val="14"/>
                <w:szCs w:val="14"/>
                <w:color w:val="auto"/>
              </w:rPr>
              <w:t>Vector Controls Holding Co., LLC (d)</w:t>
            </w:r>
          </w:p>
        </w:tc>
        <w:tc>
          <w:tcPr>
            <w:tcW w:w="20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First Lien Term Loan,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14.00% (12.00%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0" w:type="dxa"/>
            <w:vAlign w:val="bottom"/>
            <w:gridSpan w:val="3"/>
          </w:tcPr>
          <w:p>
            <w:pPr>
              <w:ind w:left="160"/>
              <w:spacing w:after="0"/>
              <w:rPr>
                <w:sz w:val="20"/>
                <w:szCs w:val="20"/>
                <w:color w:val="auto"/>
              </w:rPr>
            </w:pPr>
            <w:r>
              <w:rPr>
                <w:rFonts w:ascii="Arial" w:cs="Arial" w:eastAsia="Arial" w:hAnsi="Arial"/>
                <w:sz w:val="14"/>
                <w:szCs w:val="14"/>
                <w:color w:val="auto"/>
              </w:rPr>
              <w:t>Cash/2.00% PIK), 3/6/2018</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8,819,270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8,778,186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8,819,270</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Vector Controls Holding Co., LLC (d), (g)</w:t>
            </w:r>
          </w:p>
        </w:tc>
        <w:tc>
          <w:tcPr>
            <w:tcW w:w="20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Warrants to Purchase</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0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Limited Liability Company</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Interests, Expires 5/31/2025</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327,200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Total Business Services</w:t>
            </w: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126,042,079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126,531,768</w:t>
            </w:r>
          </w:p>
        </w:tc>
        <w:tc>
          <w:tcPr>
            <w:tcW w:w="22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 (g)</w:t>
            </w:r>
          </w:p>
        </w:tc>
        <w:tc>
          <w:tcPr>
            <w:tcW w:w="20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Consumer Products</w:t>
            </w:r>
          </w:p>
        </w:tc>
        <w:tc>
          <w:tcPr>
            <w:tcW w:w="20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210,456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1,791,242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29,241</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tcPr>
          <w:p>
            <w:pPr>
              <w:spacing w:after="0" w:line="130" w:lineRule="exact"/>
              <w:rPr>
                <w:sz w:val="20"/>
                <w:szCs w:val="20"/>
                <w:color w:val="auto"/>
              </w:rPr>
            </w:pPr>
            <w:r>
              <w:rPr>
                <w:rFonts w:ascii="Arial" w:cs="Arial" w:eastAsia="Arial" w:hAnsi="Arial"/>
                <w:sz w:val="14"/>
                <w:szCs w:val="14"/>
                <w:color w:val="auto"/>
              </w:rPr>
              <w:t>Targus Holdings, Inc. (d)</w:t>
            </w:r>
          </w:p>
        </w:tc>
        <w:tc>
          <w:tcPr>
            <w:tcW w:w="20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Consumer Products</w:t>
            </w:r>
          </w:p>
        </w:tc>
        <w:tc>
          <w:tcPr>
            <w:tcW w:w="200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Second Lien Term Loan A-2</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0" w:type="dxa"/>
            <w:vAlign w:val="bottom"/>
            <w:gridSpan w:val="3"/>
          </w:tcPr>
          <w:p>
            <w:pPr>
              <w:ind w:left="160"/>
              <w:spacing w:after="0"/>
              <w:rPr>
                <w:sz w:val="20"/>
                <w:szCs w:val="20"/>
                <w:color w:val="auto"/>
              </w:rPr>
            </w:pPr>
            <w:r>
              <w:rPr>
                <w:rFonts w:ascii="Arial" w:cs="Arial" w:eastAsia="Arial" w:hAnsi="Arial"/>
                <w:sz w:val="14"/>
                <w:szCs w:val="14"/>
                <w:color w:val="auto"/>
              </w:rPr>
              <w:t>15.00% PIK, 12/31/2019</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234,630</w:t>
            </w:r>
          </w:p>
        </w:tc>
        <w:tc>
          <w:tcPr>
            <w:tcW w:w="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234,630</w:t>
            </w: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234,630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Targus Holdings, Inc. (d)</w:t>
            </w:r>
          </w:p>
        </w:tc>
        <w:tc>
          <w:tcPr>
            <w:tcW w:w="20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Consumer Products</w:t>
            </w:r>
          </w:p>
        </w:tc>
        <w:tc>
          <w:tcPr>
            <w:tcW w:w="200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Second Lien Term Loan B</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15.00% PIK, 12/31/2019</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703,889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703,889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703,889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Total Consumer Products</w:t>
            </w: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2,729,761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967,760</w:t>
            </w:r>
          </w:p>
        </w:tc>
        <w:tc>
          <w:tcPr>
            <w:tcW w:w="220" w:type="dxa"/>
            <w:vAlign w:val="bottom"/>
            <w:vMerge w:val="continue"/>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My Alarm Center, LLC</w:t>
            </w:r>
          </w:p>
        </w:tc>
        <w:tc>
          <w:tcPr>
            <w:tcW w:w="20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Consumer Services</w:t>
            </w:r>
          </w:p>
        </w:tc>
        <w:tc>
          <w:tcPr>
            <w:tcW w:w="200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Second Lien Term Loan</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0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(L+11.00%), 12.05% Cash,</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7/9/2019</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9,375,000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9,359,492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7,061,250</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20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Consumer Services</w:t>
            </w:r>
          </w:p>
        </w:tc>
        <w:tc>
          <w:tcPr>
            <w:tcW w:w="200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First Lien Term Loan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(L+5.25%), 6.50% Cash,</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40" w:type="dxa"/>
            <w:vAlign w:val="bottom"/>
            <w:gridSpan w:val="2"/>
          </w:tcPr>
          <w:p>
            <w:pPr>
              <w:ind w:left="160"/>
              <w:spacing w:after="0"/>
              <w:rPr>
                <w:sz w:val="20"/>
                <w:szCs w:val="20"/>
                <w:color w:val="auto"/>
              </w:rPr>
            </w:pPr>
            <w:r>
              <w:rPr>
                <w:rFonts w:ascii="Arial" w:cs="Arial" w:eastAsia="Arial" w:hAnsi="Arial"/>
                <w:sz w:val="14"/>
                <w:szCs w:val="14"/>
                <w:color w:val="auto"/>
              </w:rPr>
              <w:t>7/1/2019</w:t>
            </w:r>
          </w:p>
        </w:tc>
        <w:tc>
          <w:tcPr>
            <w:tcW w:w="1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2,687,143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2,672,435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2,687,143</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20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Consumer Services</w:t>
            </w:r>
          </w:p>
        </w:tc>
        <w:tc>
          <w:tcPr>
            <w:tcW w:w="200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Second Lien Term Loan</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0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(L+9.00%), 10.25% Cash,</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7/1/2020</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11,000,000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10,966,188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11,000,000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Total Consumer Services</w:t>
            </w: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22,998,115</w:t>
            </w:r>
          </w:p>
        </w:tc>
        <w:tc>
          <w:tcPr>
            <w:tcW w:w="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20,748,393</w:t>
            </w:r>
          </w:p>
        </w:tc>
        <w:tc>
          <w:tcPr>
            <w:tcW w:w="22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 Acquisition Corp., L.L.C. (d), (g)</w:t>
            </w:r>
          </w:p>
        </w:tc>
        <w:tc>
          <w:tcPr>
            <w:tcW w:w="20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Education</w:t>
            </w:r>
          </w:p>
        </w:tc>
        <w:tc>
          <w:tcPr>
            <w:tcW w:w="20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Class A Common Stock</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544,761</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30,241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tcPr>
          <w:p>
            <w:pPr>
              <w:spacing w:after="0" w:line="130" w:lineRule="exact"/>
              <w:rPr>
                <w:sz w:val="20"/>
                <w:szCs w:val="20"/>
                <w:color w:val="auto"/>
              </w:rPr>
            </w:pPr>
            <w:r>
              <w:rPr>
                <w:rFonts w:ascii="Arial" w:cs="Arial" w:eastAsia="Arial" w:hAnsi="Arial"/>
                <w:sz w:val="14"/>
                <w:szCs w:val="14"/>
                <w:color w:val="auto"/>
              </w:rPr>
              <w:t>M/C Acquisition Corp., L.L.C. (d)</w:t>
            </w:r>
          </w:p>
        </w:tc>
        <w:tc>
          <w:tcPr>
            <w:tcW w:w="20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Education</w:t>
            </w:r>
          </w:p>
        </w:tc>
        <w:tc>
          <w:tcPr>
            <w:tcW w:w="200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First Lien Term Loan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0" w:type="dxa"/>
            <w:vAlign w:val="bottom"/>
            <w:gridSpan w:val="3"/>
          </w:tcPr>
          <w:p>
            <w:pPr>
              <w:ind w:left="160"/>
              <w:spacing w:after="0"/>
              <w:rPr>
                <w:sz w:val="20"/>
                <w:szCs w:val="20"/>
                <w:color w:val="auto"/>
              </w:rPr>
            </w:pPr>
            <w:r>
              <w:rPr>
                <w:rFonts w:ascii="Arial" w:cs="Arial" w:eastAsia="Arial" w:hAnsi="Arial"/>
                <w:sz w:val="14"/>
                <w:szCs w:val="14"/>
                <w:color w:val="auto"/>
              </w:rPr>
              <w:t>1.0% Cash, 3/31/2018</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2,321,073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1,193,790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8,087</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Texas Teachers of Tomorrow, LLC (g), (h)</w:t>
            </w:r>
          </w:p>
        </w:tc>
        <w:tc>
          <w:tcPr>
            <w:tcW w:w="20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Education</w:t>
            </w:r>
          </w:p>
        </w:tc>
        <w:tc>
          <w:tcPr>
            <w:tcW w:w="20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750,000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919,680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3"/>
          </w:tcPr>
          <w:p>
            <w:pPr>
              <w:spacing w:after="0" w:line="130" w:lineRule="exact"/>
              <w:rPr>
                <w:sz w:val="20"/>
                <w:szCs w:val="20"/>
                <w:color w:val="auto"/>
              </w:rPr>
            </w:pPr>
            <w:r>
              <w:rPr>
                <w:rFonts w:ascii="Arial" w:cs="Arial" w:eastAsia="Arial" w:hAnsi="Arial"/>
                <w:sz w:val="14"/>
                <w:szCs w:val="14"/>
                <w:color w:val="auto"/>
              </w:rPr>
              <w:t>Texas Teachers of Tomorrow, LLC</w:t>
            </w:r>
          </w:p>
        </w:tc>
        <w:tc>
          <w:tcPr>
            <w:tcW w:w="20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Education</w:t>
            </w:r>
          </w:p>
        </w:tc>
        <w:tc>
          <w:tcPr>
            <w:tcW w:w="200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Second Lien Term Loan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(L+9.75%), 10.80% Cash,</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40" w:type="dxa"/>
            <w:vAlign w:val="bottom"/>
            <w:gridSpan w:val="2"/>
          </w:tcPr>
          <w:p>
            <w:pPr>
              <w:ind w:left="160"/>
              <w:spacing w:after="0"/>
              <w:rPr>
                <w:sz w:val="20"/>
                <w:szCs w:val="20"/>
                <w:color w:val="auto"/>
              </w:rPr>
            </w:pPr>
            <w:r>
              <w:rPr>
                <w:rFonts w:ascii="Arial" w:cs="Arial" w:eastAsia="Arial" w:hAnsi="Arial"/>
                <w:sz w:val="14"/>
                <w:szCs w:val="14"/>
                <w:color w:val="auto"/>
              </w:rPr>
              <w:t>6/2/2021</w:t>
            </w:r>
          </w:p>
        </w:tc>
        <w:tc>
          <w:tcPr>
            <w:tcW w:w="1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9,918,572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10,000,000</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Total Education</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11,892,603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10,927,767</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37"/>
        </w:trPr>
        <w:tc>
          <w:tcPr>
            <w:tcW w:w="3160" w:type="dxa"/>
            <w:vAlign w:val="bottom"/>
            <w:gridSpan w:val="4"/>
          </w:tcPr>
          <w:p>
            <w:pPr>
              <w:spacing w:after="0" w:line="137" w:lineRule="exact"/>
              <w:rPr>
                <w:sz w:val="20"/>
                <w:szCs w:val="20"/>
                <w:color w:val="auto"/>
              </w:rPr>
            </w:pPr>
            <w:r>
              <w:rPr>
                <w:rFonts w:ascii="Arial" w:cs="Arial" w:eastAsia="Arial" w:hAnsi="Arial"/>
                <w:sz w:val="14"/>
                <w:szCs w:val="14"/>
                <w:color w:val="auto"/>
              </w:rPr>
              <w:t>TM Restaurant Group L.L.C. (g)</w:t>
            </w:r>
          </w:p>
        </w:tc>
        <w:tc>
          <w:tcPr>
            <w:tcW w:w="2040" w:type="dxa"/>
            <w:vAlign w:val="bottom"/>
            <w:gridSpan w:val="2"/>
          </w:tcPr>
          <w:p>
            <w:pPr>
              <w:ind w:left="160"/>
              <w:spacing w:after="0" w:line="137" w:lineRule="exact"/>
              <w:rPr>
                <w:sz w:val="20"/>
                <w:szCs w:val="20"/>
                <w:color w:val="auto"/>
              </w:rPr>
            </w:pPr>
            <w:r>
              <w:rPr>
                <w:rFonts w:ascii="Arial" w:cs="Arial" w:eastAsia="Arial" w:hAnsi="Arial"/>
                <w:sz w:val="14"/>
                <w:szCs w:val="14"/>
                <w:color w:val="auto"/>
              </w:rPr>
              <w:t>Food and Beverage</w:t>
            </w:r>
          </w:p>
        </w:tc>
        <w:tc>
          <w:tcPr>
            <w:tcW w:w="2000" w:type="dxa"/>
            <w:vAlign w:val="bottom"/>
            <w:gridSpan w:val="3"/>
          </w:tcPr>
          <w:p>
            <w:pPr>
              <w:ind w:left="160"/>
              <w:spacing w:after="0" w:line="137" w:lineRule="exact"/>
              <w:rPr>
                <w:sz w:val="20"/>
                <w:szCs w:val="20"/>
                <w:color w:val="auto"/>
              </w:rPr>
            </w:pPr>
            <w:r>
              <w:rPr>
                <w:rFonts w:ascii="Arial" w:cs="Arial" w:eastAsia="Arial" w:hAnsi="Arial"/>
                <w:sz w:val="14"/>
                <w:szCs w:val="14"/>
                <w:color w:val="auto"/>
              </w:rPr>
              <w:t>First Lien Term Loan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(L+8.50%), 9.75% Cash,</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40" w:type="dxa"/>
            <w:vAlign w:val="bottom"/>
            <w:gridSpan w:val="2"/>
          </w:tcPr>
          <w:p>
            <w:pPr>
              <w:ind w:left="160"/>
              <w:spacing w:after="0"/>
              <w:rPr>
                <w:sz w:val="20"/>
                <w:szCs w:val="20"/>
                <w:color w:val="auto"/>
              </w:rPr>
            </w:pPr>
            <w:r>
              <w:rPr>
                <w:rFonts w:ascii="Arial" w:cs="Arial" w:eastAsia="Arial" w:hAnsi="Arial"/>
                <w:sz w:val="14"/>
                <w:szCs w:val="14"/>
                <w:color w:val="auto"/>
              </w:rPr>
              <w:t>7/17/2017</w:t>
            </w:r>
          </w:p>
        </w:tc>
        <w:tc>
          <w:tcPr>
            <w:tcW w:w="1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9,358,694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9,331,446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8,422,825</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Total Food and Beverage</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9,331,446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8,422,825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37"/>
        </w:trPr>
        <w:tc>
          <w:tcPr>
            <w:tcW w:w="3160" w:type="dxa"/>
            <w:vAlign w:val="bottom"/>
            <w:gridSpan w:val="4"/>
          </w:tcPr>
          <w:p>
            <w:pPr>
              <w:spacing w:after="0" w:line="137" w:lineRule="exact"/>
              <w:rPr>
                <w:sz w:val="20"/>
                <w:szCs w:val="20"/>
                <w:color w:val="auto"/>
              </w:rPr>
            </w:pPr>
            <w:r>
              <w:rPr>
                <w:rFonts w:ascii="Arial" w:cs="Arial" w:eastAsia="Arial" w:hAnsi="Arial"/>
                <w:sz w:val="14"/>
                <w:szCs w:val="14"/>
                <w:color w:val="auto"/>
              </w:rPr>
              <w:t>Censis Technologies, Inc.</w:t>
            </w:r>
          </w:p>
        </w:tc>
        <w:tc>
          <w:tcPr>
            <w:tcW w:w="2040" w:type="dxa"/>
            <w:vAlign w:val="bottom"/>
            <w:gridSpan w:val="2"/>
          </w:tcPr>
          <w:p>
            <w:pPr>
              <w:ind w:left="160"/>
              <w:spacing w:after="0" w:line="137" w:lineRule="exact"/>
              <w:rPr>
                <w:sz w:val="20"/>
                <w:szCs w:val="20"/>
                <w:color w:val="auto"/>
              </w:rPr>
            </w:pPr>
            <w:r>
              <w:rPr>
                <w:rFonts w:ascii="Arial" w:cs="Arial" w:eastAsia="Arial" w:hAnsi="Arial"/>
                <w:sz w:val="14"/>
                <w:szCs w:val="14"/>
                <w:color w:val="auto"/>
              </w:rPr>
              <w:t>Healthcare Services</w:t>
            </w:r>
          </w:p>
        </w:tc>
        <w:tc>
          <w:tcPr>
            <w:tcW w:w="2000" w:type="dxa"/>
            <w:vAlign w:val="bottom"/>
            <w:gridSpan w:val="3"/>
          </w:tcPr>
          <w:p>
            <w:pPr>
              <w:ind w:left="160"/>
              <w:spacing w:after="0" w:line="137" w:lineRule="exact"/>
              <w:rPr>
                <w:sz w:val="20"/>
                <w:szCs w:val="20"/>
                <w:color w:val="auto"/>
              </w:rPr>
            </w:pPr>
            <w:r>
              <w:rPr>
                <w:rFonts w:ascii="Arial" w:cs="Arial" w:eastAsia="Arial" w:hAnsi="Arial"/>
                <w:sz w:val="14"/>
                <w:szCs w:val="14"/>
                <w:color w:val="auto"/>
              </w:rPr>
              <w:t>First Lien Term Loan B</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(L+10.00%), 11.05% Cash,</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40" w:type="dxa"/>
            <w:vAlign w:val="bottom"/>
            <w:gridSpan w:val="2"/>
          </w:tcPr>
          <w:p>
            <w:pPr>
              <w:ind w:left="160"/>
              <w:spacing w:after="0"/>
              <w:rPr>
                <w:sz w:val="20"/>
                <w:szCs w:val="20"/>
                <w:color w:val="auto"/>
              </w:rPr>
            </w:pPr>
            <w:r>
              <w:rPr>
                <w:rFonts w:ascii="Arial" w:cs="Arial" w:eastAsia="Arial" w:hAnsi="Arial"/>
                <w:sz w:val="14"/>
                <w:szCs w:val="14"/>
                <w:color w:val="auto"/>
              </w:rPr>
              <w:t>7/24/2019</w:t>
            </w:r>
          </w:p>
        </w:tc>
        <w:tc>
          <w:tcPr>
            <w:tcW w:w="1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11,100,000</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10,977,689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10,940,160</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Censis Technologies, Inc. (g), (h)</w:t>
            </w:r>
          </w:p>
        </w:tc>
        <w:tc>
          <w:tcPr>
            <w:tcW w:w="20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Healthcare Services</w:t>
            </w:r>
          </w:p>
        </w:tc>
        <w:tc>
          <w:tcPr>
            <w:tcW w:w="20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Limited Partner Interests</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999,000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886,772</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4"/>
                <w:szCs w:val="14"/>
                <w:color w:val="auto"/>
              </w:rPr>
              <w:t>ComForCare Health Care</w:t>
            </w:r>
          </w:p>
        </w:tc>
        <w:tc>
          <w:tcPr>
            <w:tcW w:w="2000" w:type="dxa"/>
            <w:vAlign w:val="bottom"/>
          </w:tcPr>
          <w:p>
            <w:pPr>
              <w:ind w:left="120"/>
              <w:spacing w:after="0"/>
              <w:rPr>
                <w:sz w:val="20"/>
                <w:szCs w:val="20"/>
                <w:color w:val="auto"/>
              </w:rPr>
            </w:pPr>
            <w:r>
              <w:rPr>
                <w:rFonts w:ascii="Arial" w:cs="Arial" w:eastAsia="Arial" w:hAnsi="Arial"/>
                <w:sz w:val="14"/>
                <w:szCs w:val="14"/>
                <w:color w:val="auto"/>
              </w:rPr>
              <w:t>Healthcare Services</w:t>
            </w:r>
          </w:p>
        </w:tc>
        <w:tc>
          <w:tcPr>
            <w:tcW w:w="2000" w:type="dxa"/>
            <w:vAlign w:val="bottom"/>
          </w:tcPr>
          <w:p>
            <w:pPr>
              <w:ind w:left="160"/>
              <w:spacing w:after="0"/>
              <w:rPr>
                <w:sz w:val="20"/>
                <w:szCs w:val="20"/>
                <w:color w:val="auto"/>
              </w:rPr>
            </w:pPr>
            <w:r>
              <w:rPr>
                <w:rFonts w:ascii="Arial" w:cs="Arial" w:eastAsia="Arial" w:hAnsi="Arial"/>
                <w:sz w:val="14"/>
                <w:szCs w:val="14"/>
                <w:color w:val="auto"/>
              </w:rPr>
              <w:t>First Lien Term Loan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0" w:type="dxa"/>
            <w:vAlign w:val="bottom"/>
          </w:tcPr>
          <w:p>
            <w:pPr>
              <w:ind w:left="160"/>
              <w:spacing w:after="0" w:line="149" w:lineRule="exact"/>
              <w:rPr>
                <w:sz w:val="20"/>
                <w:szCs w:val="20"/>
                <w:color w:val="auto"/>
              </w:rPr>
            </w:pPr>
            <w:r>
              <w:rPr>
                <w:rFonts w:ascii="Arial" w:cs="Arial" w:eastAsia="Arial" w:hAnsi="Arial"/>
                <w:sz w:val="14"/>
                <w:szCs w:val="14"/>
                <w:color w:val="auto"/>
              </w:rPr>
              <w:t>(L+8.50%), 9.55% Cash,</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tcPr>
          <w:p>
            <w:pPr>
              <w:ind w:left="160"/>
              <w:spacing w:after="0"/>
              <w:rPr>
                <w:sz w:val="20"/>
                <w:szCs w:val="20"/>
                <w:color w:val="auto"/>
              </w:rPr>
            </w:pPr>
            <w:r>
              <w:rPr>
                <w:rFonts w:ascii="Arial" w:cs="Arial" w:eastAsia="Arial" w:hAnsi="Arial"/>
                <w:sz w:val="14"/>
                <w:szCs w:val="14"/>
                <w:color w:val="auto"/>
              </w:rPr>
              <w:t>1/31/2022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10,500,000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10,398,957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10,395,000</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Roscoe Medical, Inc. (d), (g)</w:t>
            </w:r>
          </w:p>
        </w:tc>
        <w:tc>
          <w:tcPr>
            <w:tcW w:w="2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Healthcare Services</w:t>
            </w:r>
          </w:p>
        </w:tc>
        <w:tc>
          <w:tcPr>
            <w:tcW w:w="20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5,081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508,077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680,823</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spacing w:after="0" w:line="130" w:lineRule="exact"/>
              <w:rPr>
                <w:sz w:val="20"/>
                <w:szCs w:val="20"/>
                <w:color w:val="auto"/>
              </w:rPr>
            </w:pPr>
            <w:r>
              <w:rPr>
                <w:rFonts w:ascii="Arial" w:cs="Arial" w:eastAsia="Arial" w:hAnsi="Arial"/>
                <w:sz w:val="14"/>
                <w:szCs w:val="14"/>
                <w:color w:val="auto"/>
              </w:rPr>
              <w:t>Roscoe Medical, Inc.</w:t>
            </w:r>
          </w:p>
        </w:tc>
        <w:tc>
          <w:tcPr>
            <w:tcW w:w="2000" w:type="dxa"/>
            <w:vAlign w:val="bottom"/>
          </w:tcPr>
          <w:p>
            <w:pPr>
              <w:ind w:left="120"/>
              <w:spacing w:after="0" w:line="130" w:lineRule="exact"/>
              <w:rPr>
                <w:sz w:val="20"/>
                <w:szCs w:val="20"/>
                <w:color w:val="auto"/>
              </w:rPr>
            </w:pPr>
            <w:r>
              <w:rPr>
                <w:rFonts w:ascii="Arial" w:cs="Arial" w:eastAsia="Arial" w:hAnsi="Arial"/>
                <w:sz w:val="14"/>
                <w:szCs w:val="14"/>
                <w:color w:val="auto"/>
              </w:rPr>
              <w:t>Healthcare Services</w:t>
            </w:r>
          </w:p>
        </w:tc>
        <w:tc>
          <w:tcPr>
            <w:tcW w:w="2000" w:type="dxa"/>
            <w:vAlign w:val="bottom"/>
          </w:tcPr>
          <w:p>
            <w:pPr>
              <w:ind w:left="160"/>
              <w:spacing w:after="0" w:line="130" w:lineRule="exact"/>
              <w:rPr>
                <w:sz w:val="20"/>
                <w:szCs w:val="20"/>
                <w:color w:val="auto"/>
              </w:rPr>
            </w:pPr>
            <w:r>
              <w:rPr>
                <w:rFonts w:ascii="Arial" w:cs="Arial" w:eastAsia="Arial" w:hAnsi="Arial"/>
                <w:sz w:val="14"/>
                <w:szCs w:val="14"/>
                <w:color w:val="auto"/>
              </w:rPr>
              <w:t>Second Lien Term Loan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tcPr>
          <w:p>
            <w:pPr>
              <w:ind w:left="160"/>
              <w:spacing w:after="0"/>
              <w:rPr>
                <w:sz w:val="20"/>
                <w:szCs w:val="20"/>
                <w:color w:val="auto"/>
              </w:rPr>
            </w:pPr>
            <w:r>
              <w:rPr>
                <w:rFonts w:ascii="Arial" w:cs="Arial" w:eastAsia="Arial" w:hAnsi="Arial"/>
                <w:sz w:val="14"/>
                <w:szCs w:val="14"/>
                <w:color w:val="auto"/>
              </w:rPr>
              <w:t>11.25% Cash, 9/26/2019</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4,200,000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4,155,827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4,179,000</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Ohio Medical, LLC (g)</w:t>
            </w:r>
          </w:p>
        </w:tc>
        <w:tc>
          <w:tcPr>
            <w:tcW w:w="2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Healthcare Services</w:t>
            </w:r>
          </w:p>
        </w:tc>
        <w:tc>
          <w:tcPr>
            <w:tcW w:w="20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288,800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spacing w:after="0" w:line="130" w:lineRule="exact"/>
              <w:rPr>
                <w:sz w:val="20"/>
                <w:szCs w:val="20"/>
                <w:color w:val="auto"/>
              </w:rPr>
            </w:pPr>
            <w:r>
              <w:rPr>
                <w:rFonts w:ascii="Arial" w:cs="Arial" w:eastAsia="Arial" w:hAnsi="Arial"/>
                <w:sz w:val="14"/>
                <w:szCs w:val="14"/>
                <w:color w:val="auto"/>
              </w:rPr>
              <w:t>Ohio Medical, LLC</w:t>
            </w:r>
          </w:p>
        </w:tc>
        <w:tc>
          <w:tcPr>
            <w:tcW w:w="2000" w:type="dxa"/>
            <w:vAlign w:val="bottom"/>
          </w:tcPr>
          <w:p>
            <w:pPr>
              <w:ind w:left="120"/>
              <w:spacing w:after="0" w:line="130" w:lineRule="exact"/>
              <w:rPr>
                <w:sz w:val="20"/>
                <w:szCs w:val="20"/>
                <w:color w:val="auto"/>
              </w:rPr>
            </w:pPr>
            <w:r>
              <w:rPr>
                <w:rFonts w:ascii="Arial" w:cs="Arial" w:eastAsia="Arial" w:hAnsi="Arial"/>
                <w:sz w:val="14"/>
                <w:szCs w:val="14"/>
                <w:color w:val="auto"/>
              </w:rPr>
              <w:t>Healthcare Services</w:t>
            </w:r>
          </w:p>
        </w:tc>
        <w:tc>
          <w:tcPr>
            <w:tcW w:w="2000" w:type="dxa"/>
            <w:vAlign w:val="bottom"/>
          </w:tcPr>
          <w:p>
            <w:pPr>
              <w:ind w:left="160"/>
              <w:spacing w:after="0" w:line="130" w:lineRule="exact"/>
              <w:rPr>
                <w:sz w:val="20"/>
                <w:szCs w:val="20"/>
                <w:color w:val="auto"/>
              </w:rPr>
            </w:pPr>
            <w:r>
              <w:rPr>
                <w:rFonts w:ascii="Arial" w:cs="Arial" w:eastAsia="Arial" w:hAnsi="Arial"/>
                <w:sz w:val="14"/>
                <w:szCs w:val="14"/>
                <w:color w:val="auto"/>
              </w:rPr>
              <w:t>Senior Subordinated Note</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tcPr>
          <w:p>
            <w:pPr>
              <w:ind w:left="160"/>
              <w:spacing w:after="0"/>
              <w:rPr>
                <w:sz w:val="20"/>
                <w:szCs w:val="20"/>
                <w:color w:val="auto"/>
              </w:rPr>
            </w:pPr>
            <w:r>
              <w:rPr>
                <w:rFonts w:ascii="Arial" w:cs="Arial" w:eastAsia="Arial" w:hAnsi="Arial"/>
                <w:sz w:val="14"/>
                <w:szCs w:val="14"/>
                <w:color w:val="auto"/>
              </w:rPr>
              <w:t>12.00%, 7/15/2021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7,300,000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7,238,831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6,989,750</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Zest Holdings, LLC (d)</w:t>
            </w:r>
          </w:p>
        </w:tc>
        <w:tc>
          <w:tcPr>
            <w:tcW w:w="20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Healthcare Services</w:t>
            </w:r>
          </w:p>
        </w:tc>
        <w:tc>
          <w:tcPr>
            <w:tcW w:w="20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Syndicated Loan</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(L+4.75%), 5.80% Cash,</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8/17/2020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4,136,911</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4,085,888</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4,183,658</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0" w:type="dxa"/>
            <w:vAlign w:val="bottom"/>
            <w:vMerge w:val="restart"/>
          </w:tcPr>
          <w:p>
            <w:pPr>
              <w:jc w:val="right"/>
              <w:ind w:right="88"/>
              <w:spacing w:after="0"/>
              <w:rPr>
                <w:sz w:val="20"/>
                <w:szCs w:val="20"/>
                <w:color w:val="auto"/>
              </w:rPr>
            </w:pPr>
            <w:r>
              <w:rPr>
                <w:rFonts w:ascii="Arial" w:cs="Arial" w:eastAsia="Arial" w:hAnsi="Arial"/>
                <w:sz w:val="14"/>
                <w:szCs w:val="14"/>
                <w:color w:val="auto"/>
              </w:rPr>
              <w:t>Total Healthcare Services</w:t>
            </w: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38,864,269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38,543,963</w:t>
            </w:r>
          </w:p>
        </w:tc>
        <w:tc>
          <w:tcPr>
            <w:tcW w:w="220" w:type="dxa"/>
            <w:vAlign w:val="bottom"/>
            <w:vMerge w:val="continue"/>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w:t>
            </w:r>
          </w:p>
        </w:tc>
        <w:tc>
          <w:tcPr>
            <w:tcW w:w="20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Media</w:t>
            </w:r>
          </w:p>
        </w:tc>
        <w:tc>
          <w:tcPr>
            <w:tcW w:w="20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First Lien Term Loan</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12.00% Cash, 7/8/2021</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8,462,482</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8,376,876</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8,462,482</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spacing w:after="0" w:line="130" w:lineRule="exact"/>
              <w:rPr>
                <w:sz w:val="20"/>
                <w:szCs w:val="20"/>
                <w:color w:val="auto"/>
              </w:rPr>
            </w:pPr>
            <w:r>
              <w:rPr>
                <w:rFonts w:ascii="Arial" w:cs="Arial" w:eastAsia="Arial" w:hAnsi="Arial"/>
                <w:sz w:val="14"/>
                <w:szCs w:val="14"/>
                <w:color w:val="auto"/>
              </w:rPr>
              <w:t>HMN Holdco, LLC</w:t>
            </w:r>
          </w:p>
        </w:tc>
        <w:tc>
          <w:tcPr>
            <w:tcW w:w="2000" w:type="dxa"/>
            <w:vAlign w:val="bottom"/>
          </w:tcPr>
          <w:p>
            <w:pPr>
              <w:ind w:left="120"/>
              <w:spacing w:after="0" w:line="130" w:lineRule="exact"/>
              <w:rPr>
                <w:sz w:val="20"/>
                <w:szCs w:val="20"/>
                <w:color w:val="auto"/>
              </w:rPr>
            </w:pPr>
            <w:r>
              <w:rPr>
                <w:rFonts w:ascii="Arial" w:cs="Arial" w:eastAsia="Arial" w:hAnsi="Arial"/>
                <w:sz w:val="14"/>
                <w:szCs w:val="14"/>
                <w:color w:val="auto"/>
              </w:rPr>
              <w:t>Media</w:t>
            </w:r>
          </w:p>
        </w:tc>
        <w:tc>
          <w:tcPr>
            <w:tcW w:w="2000" w:type="dxa"/>
            <w:vAlign w:val="bottom"/>
          </w:tcPr>
          <w:p>
            <w:pPr>
              <w:ind w:left="160"/>
              <w:spacing w:after="0" w:line="130" w:lineRule="exact"/>
              <w:rPr>
                <w:sz w:val="20"/>
                <w:szCs w:val="20"/>
                <w:color w:val="auto"/>
              </w:rPr>
            </w:pPr>
            <w:r>
              <w:rPr>
                <w:rFonts w:ascii="Arial" w:cs="Arial" w:eastAsia="Arial" w:hAnsi="Arial"/>
                <w:sz w:val="14"/>
                <w:szCs w:val="14"/>
                <w:color w:val="auto"/>
              </w:rPr>
              <w:t>Delayed Draw First Lien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0" w:type="dxa"/>
            <w:vAlign w:val="bottom"/>
          </w:tcPr>
          <w:p>
            <w:pPr>
              <w:ind w:left="160"/>
              <w:spacing w:after="0" w:line="149" w:lineRule="exact"/>
              <w:rPr>
                <w:sz w:val="20"/>
                <w:szCs w:val="20"/>
                <w:color w:val="auto"/>
              </w:rPr>
            </w:pPr>
            <w:r>
              <w:rPr>
                <w:rFonts w:ascii="Arial" w:cs="Arial" w:eastAsia="Arial" w:hAnsi="Arial"/>
                <w:sz w:val="14"/>
                <w:szCs w:val="14"/>
                <w:color w:val="auto"/>
              </w:rPr>
              <w:t>Term Loan</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tcPr>
          <w:p>
            <w:pPr>
              <w:ind w:left="160"/>
              <w:spacing w:after="0"/>
              <w:rPr>
                <w:sz w:val="20"/>
                <w:szCs w:val="20"/>
                <w:color w:val="auto"/>
              </w:rPr>
            </w:pPr>
            <w:r>
              <w:rPr>
                <w:rFonts w:ascii="Arial" w:cs="Arial" w:eastAsia="Arial" w:hAnsi="Arial"/>
                <w:sz w:val="14"/>
                <w:szCs w:val="14"/>
                <w:color w:val="auto"/>
              </w:rPr>
              <w:t>12.00% Cash, 7/8/2021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4,800,000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4,751,258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4,800,000</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(g)</w:t>
            </w:r>
          </w:p>
        </w:tc>
        <w:tc>
          <w:tcPr>
            <w:tcW w:w="20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Media</w:t>
            </w:r>
          </w:p>
        </w:tc>
        <w:tc>
          <w:tcPr>
            <w:tcW w:w="20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Class A Series, Expires</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1/16/2025</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4,264</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61,647</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294,770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spacing w:after="0" w:line="130" w:lineRule="exact"/>
              <w:rPr>
                <w:sz w:val="20"/>
                <w:szCs w:val="20"/>
                <w:color w:val="auto"/>
              </w:rPr>
            </w:pPr>
            <w:r>
              <w:rPr>
                <w:rFonts w:ascii="Arial" w:cs="Arial" w:eastAsia="Arial" w:hAnsi="Arial"/>
                <w:sz w:val="14"/>
                <w:szCs w:val="14"/>
                <w:color w:val="auto"/>
              </w:rPr>
              <w:t>HMN Holdco, LLC (g)</w:t>
            </w:r>
          </w:p>
        </w:tc>
        <w:tc>
          <w:tcPr>
            <w:tcW w:w="2000" w:type="dxa"/>
            <w:vAlign w:val="bottom"/>
          </w:tcPr>
          <w:p>
            <w:pPr>
              <w:ind w:left="120"/>
              <w:spacing w:after="0" w:line="130" w:lineRule="exact"/>
              <w:rPr>
                <w:sz w:val="20"/>
                <w:szCs w:val="20"/>
                <w:color w:val="auto"/>
              </w:rPr>
            </w:pPr>
            <w:r>
              <w:rPr>
                <w:rFonts w:ascii="Arial" w:cs="Arial" w:eastAsia="Arial" w:hAnsi="Arial"/>
                <w:sz w:val="14"/>
                <w:szCs w:val="14"/>
                <w:color w:val="auto"/>
              </w:rPr>
              <w:t>Media</w:t>
            </w:r>
          </w:p>
        </w:tc>
        <w:tc>
          <w:tcPr>
            <w:tcW w:w="2000" w:type="dxa"/>
            <w:vAlign w:val="bottom"/>
          </w:tcPr>
          <w:p>
            <w:pPr>
              <w:ind w:left="160"/>
              <w:spacing w:after="0" w:line="130" w:lineRule="exact"/>
              <w:rPr>
                <w:sz w:val="20"/>
                <w:szCs w:val="20"/>
                <w:color w:val="auto"/>
              </w:rPr>
            </w:pPr>
            <w:r>
              <w:rPr>
                <w:rFonts w:ascii="Arial" w:cs="Arial" w:eastAsia="Arial" w:hAnsi="Arial"/>
                <w:sz w:val="14"/>
                <w:szCs w:val="14"/>
                <w:color w:val="auto"/>
              </w:rPr>
              <w:t>Class A Warrant, Expires</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tcPr>
          <w:p>
            <w:pPr>
              <w:ind w:left="160"/>
              <w:spacing w:after="0"/>
              <w:rPr>
                <w:sz w:val="20"/>
                <w:szCs w:val="20"/>
                <w:color w:val="auto"/>
              </w:rPr>
            </w:pPr>
            <w:r>
              <w:rPr>
                <w:rFonts w:ascii="Arial" w:cs="Arial" w:eastAsia="Arial" w:hAnsi="Arial"/>
                <w:sz w:val="14"/>
                <w:szCs w:val="14"/>
                <w:color w:val="auto"/>
              </w:rPr>
              <w:t>1/16/2025</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30,320</w:t>
            </w:r>
          </w:p>
        </w:tc>
        <w:tc>
          <w:tcPr>
            <w:tcW w:w="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438,353</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1,706,410</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(g)</w:t>
            </w:r>
          </w:p>
        </w:tc>
        <w:tc>
          <w:tcPr>
            <w:tcW w:w="20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Media</w:t>
            </w:r>
          </w:p>
        </w:tc>
        <w:tc>
          <w:tcPr>
            <w:tcW w:w="20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Warrants to Purchase</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Limited Liability Company</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Interests (Common),</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Expires 5/16/2024</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57,872</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2,961,310</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spacing w:after="0" w:line="130" w:lineRule="exact"/>
              <w:rPr>
                <w:sz w:val="20"/>
                <w:szCs w:val="20"/>
                <w:color w:val="auto"/>
              </w:rPr>
            </w:pPr>
            <w:r>
              <w:rPr>
                <w:rFonts w:ascii="Arial" w:cs="Arial" w:eastAsia="Arial" w:hAnsi="Arial"/>
                <w:sz w:val="14"/>
                <w:szCs w:val="14"/>
                <w:color w:val="auto"/>
              </w:rPr>
              <w:t>HMN Holdco, LLC (g)</w:t>
            </w:r>
          </w:p>
        </w:tc>
        <w:tc>
          <w:tcPr>
            <w:tcW w:w="2000" w:type="dxa"/>
            <w:vAlign w:val="bottom"/>
          </w:tcPr>
          <w:p>
            <w:pPr>
              <w:ind w:left="120"/>
              <w:spacing w:after="0" w:line="130" w:lineRule="exact"/>
              <w:rPr>
                <w:sz w:val="20"/>
                <w:szCs w:val="20"/>
                <w:color w:val="auto"/>
              </w:rPr>
            </w:pPr>
            <w:r>
              <w:rPr>
                <w:rFonts w:ascii="Arial" w:cs="Arial" w:eastAsia="Arial" w:hAnsi="Arial"/>
                <w:sz w:val="14"/>
                <w:szCs w:val="14"/>
                <w:color w:val="auto"/>
              </w:rPr>
              <w:t>Media</w:t>
            </w:r>
          </w:p>
        </w:tc>
        <w:tc>
          <w:tcPr>
            <w:tcW w:w="2000" w:type="dxa"/>
            <w:vAlign w:val="bottom"/>
          </w:tcPr>
          <w:p>
            <w:pPr>
              <w:ind w:left="160"/>
              <w:spacing w:after="0" w:line="130" w:lineRule="exact"/>
              <w:rPr>
                <w:sz w:val="20"/>
                <w:szCs w:val="20"/>
                <w:color w:val="auto"/>
              </w:rPr>
            </w:pPr>
            <w:r>
              <w:rPr>
                <w:rFonts w:ascii="Arial" w:cs="Arial" w:eastAsia="Arial" w:hAnsi="Arial"/>
                <w:sz w:val="14"/>
                <w:szCs w:val="14"/>
                <w:color w:val="auto"/>
              </w:rPr>
              <w:t>Warrants to Purchase</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0" w:type="dxa"/>
            <w:vAlign w:val="bottom"/>
          </w:tcPr>
          <w:p>
            <w:pPr>
              <w:ind w:left="160"/>
              <w:spacing w:after="0" w:line="149" w:lineRule="exact"/>
              <w:rPr>
                <w:sz w:val="20"/>
                <w:szCs w:val="20"/>
                <w:color w:val="auto"/>
              </w:rPr>
            </w:pPr>
            <w:r>
              <w:rPr>
                <w:rFonts w:ascii="Arial" w:cs="Arial" w:eastAsia="Arial" w:hAnsi="Arial"/>
                <w:sz w:val="14"/>
                <w:szCs w:val="14"/>
                <w:color w:val="auto"/>
              </w:rPr>
              <w:t>Limited Liability Company</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0" w:type="dxa"/>
            <w:vAlign w:val="bottom"/>
          </w:tcPr>
          <w:p>
            <w:pPr>
              <w:ind w:left="160"/>
              <w:spacing w:after="0" w:line="149" w:lineRule="exact"/>
              <w:rPr>
                <w:sz w:val="20"/>
                <w:szCs w:val="20"/>
                <w:color w:val="auto"/>
              </w:rPr>
            </w:pPr>
            <w:r>
              <w:rPr>
                <w:rFonts w:ascii="Arial" w:cs="Arial" w:eastAsia="Arial" w:hAnsi="Arial"/>
                <w:sz w:val="14"/>
                <w:szCs w:val="14"/>
                <w:color w:val="auto"/>
              </w:rPr>
              <w:t>Interests (Preferred),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tcPr>
          <w:p>
            <w:pPr>
              <w:ind w:left="160"/>
              <w:spacing w:after="0"/>
              <w:rPr>
                <w:sz w:val="20"/>
                <w:szCs w:val="20"/>
                <w:color w:val="auto"/>
              </w:rPr>
            </w:pPr>
            <w:r>
              <w:rPr>
                <w:rFonts w:ascii="Arial" w:cs="Arial" w:eastAsia="Arial" w:hAnsi="Arial"/>
                <w:sz w:val="14"/>
                <w:szCs w:val="14"/>
                <w:color w:val="auto"/>
              </w:rPr>
              <w:t>Expires 5/16/2024</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8,139</w:t>
            </w:r>
          </w:p>
        </w:tc>
        <w:tc>
          <w:tcPr>
            <w:tcW w:w="80" w:type="dxa"/>
            <w:vAlign w:val="bottom"/>
          </w:tcPr>
          <w:p>
            <w:pPr>
              <w:spacing w:after="0"/>
              <w:rPr>
                <w:sz w:val="14"/>
                <w:szCs w:val="14"/>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473,690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Total Media</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13,628,134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18,698,662</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Elyria Foundry Company, L.L.C. (d), (g)</w:t>
            </w:r>
          </w:p>
        </w:tc>
        <w:tc>
          <w:tcPr>
            <w:tcW w:w="2000" w:type="dxa"/>
            <w:vAlign w:val="bottom"/>
            <w:vMerge w:val="restart"/>
          </w:tcPr>
          <w:p>
            <w:pPr>
              <w:ind w:left="120"/>
              <w:spacing w:after="0"/>
              <w:rPr>
                <w:sz w:val="20"/>
                <w:szCs w:val="20"/>
                <w:color w:val="auto"/>
              </w:rPr>
            </w:pPr>
            <w:r>
              <w:rPr>
                <w:rFonts w:ascii="Arial" w:cs="Arial" w:eastAsia="Arial" w:hAnsi="Arial"/>
                <w:sz w:val="14"/>
                <w:szCs w:val="14"/>
                <w:color w:val="auto"/>
              </w:rPr>
              <w:t>Metals</w:t>
            </w:r>
          </w:p>
        </w:tc>
        <w:tc>
          <w:tcPr>
            <w:tcW w:w="2000" w:type="dxa"/>
            <w:vAlign w:val="bottom"/>
            <w:vMerge w:val="restart"/>
          </w:tcPr>
          <w:p>
            <w:pPr>
              <w:ind w:left="16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line="20" w:lineRule="exact"/>
              <w:rPr>
                <w:sz w:val="1"/>
                <w:szCs w:val="1"/>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35,000</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0" w:type="dxa"/>
            <w:vAlign w:val="bottom"/>
            <w:gridSpan w:val="2"/>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9,217,564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413,350</w:t>
            </w:r>
          </w:p>
        </w:tc>
        <w:tc>
          <w:tcPr>
            <w:tcW w:w="22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Elyria Foundry Company, L.L.C. (d)</w:t>
            </w:r>
          </w:p>
        </w:tc>
        <w:tc>
          <w:tcPr>
            <w:tcW w:w="20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Metals</w:t>
            </w:r>
          </w:p>
        </w:tc>
        <w:tc>
          <w:tcPr>
            <w:tcW w:w="20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Second Lien Term Loan</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15.00% PIK, 8/10/2022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437,500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437,500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437,500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0" w:type="dxa"/>
            <w:vAlign w:val="bottom"/>
            <w:vMerge w:val="restart"/>
          </w:tcPr>
          <w:p>
            <w:pPr>
              <w:jc w:val="right"/>
              <w:ind w:right="88"/>
              <w:spacing w:after="0"/>
              <w:rPr>
                <w:sz w:val="20"/>
                <w:szCs w:val="20"/>
                <w:color w:val="auto"/>
              </w:rPr>
            </w:pPr>
            <w:r>
              <w:rPr>
                <w:rFonts w:ascii="Arial" w:cs="Arial" w:eastAsia="Arial" w:hAnsi="Arial"/>
                <w:sz w:val="14"/>
                <w:szCs w:val="14"/>
                <w:color w:val="auto"/>
              </w:rPr>
              <w:t>Total Metals</w:t>
            </w: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9,655,064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850,850</w:t>
            </w:r>
          </w:p>
        </w:tc>
        <w:tc>
          <w:tcPr>
            <w:tcW w:w="22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Mercury Network, LLC</w:t>
            </w:r>
          </w:p>
        </w:tc>
        <w:tc>
          <w:tcPr>
            <w:tcW w:w="2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Real Estate</w:t>
            </w:r>
          </w:p>
        </w:tc>
        <w:tc>
          <w:tcPr>
            <w:tcW w:w="2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First Lien Term Loan</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(L+9.50%), 10.55% Cash,</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8/24/2021</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15,773,875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15,644,382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15,773,875</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Mercury Network, LLC (g)</w:t>
            </w:r>
          </w:p>
        </w:tc>
        <w:tc>
          <w:tcPr>
            <w:tcW w:w="2000" w:type="dxa"/>
            <w:vAlign w:val="bottom"/>
          </w:tcPr>
          <w:p>
            <w:pPr>
              <w:ind w:left="120"/>
              <w:spacing w:after="0" w:line="149" w:lineRule="exact"/>
              <w:rPr>
                <w:sz w:val="20"/>
                <w:szCs w:val="20"/>
                <w:color w:val="auto"/>
              </w:rPr>
            </w:pPr>
            <w:r>
              <w:rPr>
                <w:rFonts w:ascii="Arial" w:cs="Arial" w:eastAsia="Arial" w:hAnsi="Arial"/>
                <w:sz w:val="14"/>
                <w:szCs w:val="14"/>
                <w:color w:val="auto"/>
              </w:rPr>
              <w:t>Real Estate</w:t>
            </w:r>
          </w:p>
        </w:tc>
        <w:tc>
          <w:tcPr>
            <w:tcW w:w="2000" w:type="dxa"/>
            <w:vAlign w:val="bottom"/>
          </w:tcPr>
          <w:p>
            <w:pPr>
              <w:ind w:left="16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413,043</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413,043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1,065,651</w:t>
            </w:r>
          </w:p>
        </w:tc>
        <w:tc>
          <w:tcPr>
            <w:tcW w:w="2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Total Real Estate</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16,057,425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16,839,526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Sub Total Non-control/Non-affiliated investments</w:t>
            </w:r>
          </w:p>
        </w:tc>
        <w:tc>
          <w:tcPr>
            <w:tcW w:w="2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00" w:type="dxa"/>
            <w:vAlign w:val="bottom"/>
            <w:gridSpan w:val="2"/>
            <w:vMerge w:val="continue"/>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251,198,896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242,531,514</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investments—39.4% (b)</w:t>
            </w:r>
          </w:p>
        </w:tc>
        <w:tc>
          <w:tcPr>
            <w:tcW w:w="20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Easy Ice, LLC (g)</w:t>
            </w:r>
          </w:p>
        </w:tc>
        <w:tc>
          <w:tcPr>
            <w:tcW w:w="2000" w:type="dxa"/>
            <w:vAlign w:val="bottom"/>
          </w:tcPr>
          <w:p>
            <w:pPr>
              <w:ind w:left="120"/>
              <w:spacing w:after="0" w:line="149" w:lineRule="exact"/>
              <w:rPr>
                <w:sz w:val="20"/>
                <w:szCs w:val="20"/>
                <w:color w:val="auto"/>
              </w:rPr>
            </w:pPr>
            <w:r>
              <w:rPr>
                <w:rFonts w:ascii="Arial" w:cs="Arial" w:eastAsia="Arial" w:hAnsi="Arial"/>
                <w:sz w:val="14"/>
                <w:szCs w:val="14"/>
                <w:color w:val="auto"/>
              </w:rPr>
              <w:t>Business Services</w:t>
            </w:r>
          </w:p>
        </w:tc>
        <w:tc>
          <w:tcPr>
            <w:tcW w:w="2000" w:type="dxa"/>
            <w:vAlign w:val="bottom"/>
          </w:tcPr>
          <w:p>
            <w:pPr>
              <w:ind w:left="160"/>
              <w:spacing w:after="0" w:line="149" w:lineRule="exact"/>
              <w:rPr>
                <w:sz w:val="20"/>
                <w:szCs w:val="20"/>
                <w:color w:val="auto"/>
              </w:rPr>
            </w:pPr>
            <w:r>
              <w:rPr>
                <w:rFonts w:ascii="Arial" w:cs="Arial" w:eastAsia="Arial" w:hAnsi="Arial"/>
                <w:sz w:val="14"/>
                <w:szCs w:val="14"/>
                <w:color w:val="auto"/>
              </w:rPr>
              <w:t>Preferred Equity</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5,080,000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2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Easy Ice, LLC (d) (f)</w:t>
            </w:r>
          </w:p>
        </w:tc>
        <w:tc>
          <w:tcPr>
            <w:tcW w:w="20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0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First Lien Term Loan</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(L+10.25%), 11.02% Cash,</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1/15/2020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26,680,000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26,464,162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26,680,000</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0" w:type="dxa"/>
            <w:vAlign w:val="bottom"/>
            <w:vMerge w:val="restart"/>
          </w:tcPr>
          <w:p>
            <w:pPr>
              <w:jc w:val="right"/>
              <w:ind w:right="88"/>
              <w:spacing w:after="0"/>
              <w:rPr>
                <w:sz w:val="20"/>
                <w:szCs w:val="20"/>
                <w:color w:val="auto"/>
              </w:rPr>
            </w:pPr>
            <w:r>
              <w:rPr>
                <w:rFonts w:ascii="Arial" w:cs="Arial" w:eastAsia="Arial" w:hAnsi="Arial"/>
                <w:sz w:val="14"/>
                <w:szCs w:val="14"/>
                <w:color w:val="auto"/>
              </w:rPr>
              <w:t>Total Business Services</w:t>
            </w: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34,464,162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34,680,000</w:t>
            </w:r>
          </w:p>
        </w:tc>
        <w:tc>
          <w:tcPr>
            <w:tcW w:w="220" w:type="dxa"/>
            <w:vAlign w:val="bottom"/>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Saratoga Investment Corp. CLO 2013-1, Ltd. (a), (d),</w:t>
            </w:r>
          </w:p>
        </w:tc>
        <w:tc>
          <w:tcPr>
            <w:tcW w:w="20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Structured Finance Securities</w:t>
            </w:r>
          </w:p>
        </w:tc>
        <w:tc>
          <w:tcPr>
            <w:tcW w:w="20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Other/Structured Finance</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 (f)</w:t>
            </w:r>
          </w:p>
        </w:tc>
        <w:tc>
          <w:tcPr>
            <w:tcW w:w="2000" w:type="dxa"/>
            <w:vAlign w:val="bottom"/>
            <w:shd w:val="clear" w:color="auto" w:fill="CCEEFF"/>
          </w:tcPr>
          <w:p>
            <w:pPr>
              <w:spacing w:after="0"/>
              <w:rPr>
                <w:sz w:val="12"/>
                <w:szCs w:val="12"/>
                <w:color w:val="auto"/>
              </w:rPr>
            </w:pPr>
          </w:p>
        </w:tc>
        <w:tc>
          <w:tcPr>
            <w:tcW w:w="20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Securities</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14.87%, 10/20/2025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10,319,374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10,950,249</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spacing w:after="0" w:line="130" w:lineRule="exact"/>
              <w:rPr>
                <w:sz w:val="20"/>
                <w:szCs w:val="20"/>
                <w:color w:val="auto"/>
              </w:rPr>
            </w:pPr>
            <w:r>
              <w:rPr>
                <w:rFonts w:ascii="Arial" w:cs="Arial" w:eastAsia="Arial" w:hAnsi="Arial"/>
                <w:sz w:val="14"/>
                <w:szCs w:val="14"/>
                <w:color w:val="auto"/>
                <w:w w:val="99"/>
              </w:rPr>
              <w:t>Saratoga Investment Corp. Class F Note (a), (d), (f)</w:t>
            </w:r>
          </w:p>
        </w:tc>
        <w:tc>
          <w:tcPr>
            <w:tcW w:w="2000" w:type="dxa"/>
            <w:vAlign w:val="bottom"/>
          </w:tcPr>
          <w:p>
            <w:pPr>
              <w:ind w:left="120"/>
              <w:spacing w:after="0" w:line="130" w:lineRule="exact"/>
              <w:rPr>
                <w:sz w:val="20"/>
                <w:szCs w:val="20"/>
                <w:color w:val="auto"/>
              </w:rPr>
            </w:pPr>
            <w:r>
              <w:rPr>
                <w:rFonts w:ascii="Arial" w:cs="Arial" w:eastAsia="Arial" w:hAnsi="Arial"/>
                <w:sz w:val="14"/>
                <w:szCs w:val="14"/>
                <w:color w:val="auto"/>
              </w:rPr>
              <w:t>Structured Finance Securities</w:t>
            </w:r>
          </w:p>
        </w:tc>
        <w:tc>
          <w:tcPr>
            <w:tcW w:w="2000" w:type="dxa"/>
            <w:vAlign w:val="bottom"/>
          </w:tcPr>
          <w:p>
            <w:pPr>
              <w:ind w:left="160"/>
              <w:spacing w:after="0" w:line="130" w:lineRule="exact"/>
              <w:rPr>
                <w:sz w:val="20"/>
                <w:szCs w:val="20"/>
                <w:color w:val="auto"/>
              </w:rPr>
            </w:pPr>
            <w:r>
              <w:rPr>
                <w:rFonts w:ascii="Arial" w:cs="Arial" w:eastAsia="Arial" w:hAnsi="Arial"/>
                <w:sz w:val="14"/>
                <w:szCs w:val="14"/>
                <w:color w:val="auto"/>
              </w:rPr>
              <w:t>Other/Structured Finance</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0" w:type="dxa"/>
            <w:vAlign w:val="bottom"/>
          </w:tcPr>
          <w:p>
            <w:pPr>
              <w:ind w:left="160"/>
              <w:spacing w:after="0" w:line="149" w:lineRule="exact"/>
              <w:rPr>
                <w:sz w:val="20"/>
                <w:szCs w:val="20"/>
                <w:color w:val="auto"/>
              </w:rPr>
            </w:pPr>
            <w:r>
              <w:rPr>
                <w:rFonts w:ascii="Arial" w:cs="Arial" w:eastAsia="Arial" w:hAnsi="Arial"/>
                <w:sz w:val="14"/>
                <w:szCs w:val="14"/>
                <w:color w:val="auto"/>
              </w:rPr>
              <w:t>Securities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0" w:type="dxa"/>
            <w:vAlign w:val="bottom"/>
          </w:tcPr>
          <w:p>
            <w:pPr>
              <w:ind w:left="160"/>
              <w:spacing w:after="0" w:line="149" w:lineRule="exact"/>
              <w:rPr>
                <w:sz w:val="20"/>
                <w:szCs w:val="20"/>
                <w:color w:val="auto"/>
              </w:rPr>
            </w:pPr>
            <w:r>
              <w:rPr>
                <w:rFonts w:ascii="Arial" w:cs="Arial" w:eastAsia="Arial" w:hAnsi="Arial"/>
                <w:sz w:val="14"/>
                <w:szCs w:val="14"/>
                <w:color w:val="auto"/>
              </w:rPr>
              <w:t>(L+8.50%), 9.55%,</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0" w:type="dxa"/>
            <w:vAlign w:val="bottom"/>
          </w:tcPr>
          <w:p>
            <w:pPr>
              <w:ind w:left="160"/>
              <w:spacing w:after="0"/>
              <w:rPr>
                <w:sz w:val="20"/>
                <w:szCs w:val="20"/>
                <w:color w:val="auto"/>
              </w:rPr>
            </w:pPr>
            <w:r>
              <w:rPr>
                <w:rFonts w:ascii="Arial" w:cs="Arial" w:eastAsia="Arial" w:hAnsi="Arial"/>
                <w:sz w:val="14"/>
                <w:szCs w:val="14"/>
                <w:color w:val="auto"/>
              </w:rPr>
              <w:t>10/20/2025</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4,500,000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4,500,000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4,499,550</w:t>
            </w:r>
          </w:p>
        </w:tc>
        <w:tc>
          <w:tcPr>
            <w:tcW w:w="2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20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Total Structured Finance</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14,819,374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15,449,799</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 Total Control investments</w:t>
            </w:r>
          </w:p>
        </w:tc>
        <w:tc>
          <w:tcPr>
            <w:tcW w:w="2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0" w:type="dxa"/>
            <w:vAlign w:val="bottom"/>
            <w:gridSpan w:val="2"/>
            <w:vMerge w:val="continue"/>
          </w:tcPr>
          <w:p>
            <w:pPr>
              <w:spacing w:after="0"/>
              <w:rPr>
                <w:sz w:val="13"/>
                <w:szCs w:val="13"/>
                <w:color w:val="auto"/>
              </w:rPr>
            </w:pPr>
          </w:p>
        </w:tc>
        <w:tc>
          <w:tcPr>
            <w:tcW w:w="20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49,283,536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50,129,799</w:t>
            </w:r>
          </w:p>
        </w:tc>
        <w:tc>
          <w:tcPr>
            <w:tcW w:w="22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INVESTMENTS—229.9% (b)</w:t>
            </w:r>
          </w:p>
        </w:tc>
        <w:tc>
          <w:tcPr>
            <w:tcW w:w="20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2"/>
              </w:rPr>
              <w:t>300,482,432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2"/>
              </w:rPr>
              <w:t>292,661,313</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229.9%</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Principal</w:t>
            </w: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200" w:type="dxa"/>
            <w:vAlign w:val="bottom"/>
            <w:vMerge w:val="restart"/>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vMerge w:val="restart"/>
          </w:tcPr>
          <w:p>
            <w:pPr>
              <w:spacing w:after="0"/>
              <w:rPr>
                <w:sz w:val="24"/>
                <w:szCs w:val="24"/>
                <w:color w:val="auto"/>
              </w:rPr>
            </w:pPr>
          </w:p>
        </w:tc>
        <w:tc>
          <w:tcPr>
            <w:tcW w:w="6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18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Cash and cash equivalents and cash and cash</w:t>
            </w:r>
          </w:p>
        </w:tc>
        <w:tc>
          <w:tcPr>
            <w:tcW w:w="2000" w:type="dxa"/>
            <w:vAlign w:val="bottom"/>
            <w:tcBorders>
              <w:top w:val="single" w:sz="8" w:color="CCEEFF"/>
            </w:tcBorders>
            <w:shd w:val="clear" w:color="auto" w:fill="CCEEFF"/>
          </w:tcPr>
          <w:p>
            <w:pPr>
              <w:spacing w:after="0"/>
              <w:rPr>
                <w:sz w:val="9"/>
                <w:szCs w:val="9"/>
                <w:color w:val="auto"/>
              </w:rPr>
            </w:pPr>
          </w:p>
        </w:tc>
        <w:tc>
          <w:tcPr>
            <w:tcW w:w="20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equivalents, reserve accounts—17.4% (b)</w:t>
            </w:r>
          </w:p>
        </w:tc>
        <w:tc>
          <w:tcPr>
            <w:tcW w:w="20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U.S. Bank Money Market (k)</w:t>
            </w:r>
          </w:p>
        </w:tc>
        <w:tc>
          <w:tcPr>
            <w:tcW w:w="20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22,087,968</w:t>
            </w:r>
          </w:p>
        </w:tc>
        <w:tc>
          <w:tcPr>
            <w:tcW w:w="2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22,087,968</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22,087,968</w:t>
            </w:r>
          </w:p>
        </w:tc>
        <w:tc>
          <w:tcPr>
            <w:tcW w:w="2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1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1"/>
              </w:rPr>
              <w:t>Total cash and cash equivalents and cash and cash</w:t>
            </w:r>
          </w:p>
        </w:tc>
        <w:tc>
          <w:tcPr>
            <w:tcW w:w="200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22,087,968</w:t>
            </w:r>
          </w:p>
        </w:tc>
        <w:tc>
          <w:tcPr>
            <w:tcW w:w="2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22,087,968</w:t>
            </w:r>
          </w:p>
        </w:tc>
        <w:tc>
          <w:tcPr>
            <w:tcW w:w="2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22,087,968</w:t>
            </w:r>
          </w:p>
        </w:tc>
        <w:tc>
          <w:tcPr>
            <w:tcW w:w="2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17.4%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equivalents, reserve accounts</w:t>
            </w:r>
          </w:p>
        </w:tc>
        <w:tc>
          <w:tcPr>
            <w:tcW w:w="20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300" w:hanging="452"/>
        <w:spacing w:after="0" w:line="291"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a non-qualifying investment as defined under Section 55(a) of the Investment Company Act of 1940, as amended. Non-qualifying assets represent 5.3% of the Company’s portfolio at fair value. As a BDC, the Company can only invest 30% of its portfolio in non-qualifying assets.</w:t>
      </w: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Percentages are based on net assets of $127,294,777 as of February 28, 2017.</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7 to the consolidated financial statements).</w:t>
      </w:r>
    </w:p>
    <w:p>
      <w:pPr>
        <w:spacing w:after="0" w:line="20" w:lineRule="exact"/>
        <w:rPr>
          <w:rFonts w:ascii="Arial" w:cs="Arial" w:eastAsia="Arial" w:hAnsi="Arial"/>
          <w:sz w:val="17"/>
          <w:szCs w:val="17"/>
          <w:color w:val="auto"/>
        </w:rPr>
      </w:pPr>
    </w:p>
    <w:p>
      <w:pPr>
        <w:ind w:left="460" w:right="260" w:hanging="452"/>
        <w:spacing w:after="0" w:line="281"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14.87% interest rate in the table above represents the effective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2"/>
                <w:szCs w:val="12"/>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Management</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Purchases</w:t>
            </w:r>
          </w:p>
        </w:tc>
        <w:tc>
          <w:tcPr>
            <w:tcW w:w="12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Redemptions</w:t>
            </w: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Gains</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39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Income</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Fee Income</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(Losses)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Easy Ice,</w:t>
            </w:r>
          </w:p>
        </w:tc>
        <w:tc>
          <w:tcPr>
            <w:tcW w:w="33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LLC</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20,553,200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217,362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Saratoga Investment Corp. CLO 2013-1, Ltd.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1,941,914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1,499,001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833,646</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Saratoga Investment Corp. Class F Note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4,500,000</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122,121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Non-income producing at February 28, 2017.</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securities issued by an affiliate of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investment has an unfunded commitment as of February 28, 2017 (see Note 8 to the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entire commitment was unfunded at February 28, 2017. As such, no interest is being earned on this investment.</w:t>
      </w:r>
    </w:p>
    <w:p>
      <w:pPr>
        <w:spacing w:after="0" w:line="9"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Included within cash and cash equivalents and cash and cash equivalents, reserve accounts in the Company’s Consolidated Statements of Assets and Liabilities as of February 28, 2017.</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08" w:right="239" w:bottom="0" w:gutter="0" w:footer="0" w:header="0"/>
        </w:sectPr>
      </w:pPr>
    </w:p>
    <w:bookmarkStart w:id="100" w:name="page101"/>
    <w:bookmarkEnd w:id="100"/>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29, 2016</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gridSpan w:val="3"/>
            <w:vMerge w:val="restart"/>
          </w:tcPr>
          <w:p>
            <w:pPr>
              <w:ind w:left="1300"/>
              <w:spacing w:after="0"/>
              <w:rPr>
                <w:sz w:val="20"/>
                <w:szCs w:val="20"/>
                <w:color w:val="auto"/>
              </w:rPr>
            </w:pPr>
            <w:r>
              <w:rPr>
                <w:rFonts w:ascii="Arial" w:cs="Arial" w:eastAsia="Arial" w:hAnsi="Arial"/>
                <w:sz w:val="14"/>
                <w:szCs w:val="14"/>
                <w:b w:val="1"/>
                <w:bCs w:val="1"/>
                <w:color w:val="auto"/>
              </w:rPr>
              <w:t>Company</w:t>
            </w:r>
          </w:p>
        </w:tc>
        <w:tc>
          <w:tcPr>
            <w:tcW w:w="17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Industry</w:t>
            </w:r>
          </w:p>
        </w:tc>
        <w:tc>
          <w:tcPr>
            <w:tcW w:w="19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Investment Interest Rate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Fair</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gridSpan w:val="3"/>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900" w:type="dxa"/>
            <w:vAlign w:val="bottom"/>
            <w:gridSpan w:val="2"/>
          </w:tcPr>
          <w:p>
            <w:pPr>
              <w:ind w:left="580"/>
              <w:spacing w:after="0"/>
              <w:rPr>
                <w:sz w:val="20"/>
                <w:szCs w:val="20"/>
                <w:color w:val="auto"/>
              </w:rPr>
            </w:pPr>
            <w:r>
              <w:rPr>
                <w:rFonts w:ascii="Arial" w:cs="Arial" w:eastAsia="Arial" w:hAnsi="Arial"/>
                <w:sz w:val="14"/>
                <w:szCs w:val="14"/>
                <w:b w:val="1"/>
                <w:bCs w:val="1"/>
                <w:color w:val="auto"/>
              </w:rPr>
              <w:t>/ Maturity</w:t>
            </w:r>
          </w:p>
        </w:tc>
        <w:tc>
          <w:tcPr>
            <w:tcW w:w="8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Value (c)</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00" w:type="dxa"/>
            <w:vAlign w:val="bottom"/>
            <w:vMerge w:val="restart"/>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investments—216.6%</w:t>
            </w:r>
          </w:p>
        </w:tc>
        <w:tc>
          <w:tcPr>
            <w:tcW w:w="1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90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Non-control/Non-affiliated</w:t>
            </w:r>
          </w:p>
        </w:tc>
        <w:tc>
          <w:tcPr>
            <w:tcW w:w="1500" w:type="dxa"/>
            <w:vAlign w:val="bottom"/>
            <w:vMerge w:val="continue"/>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gridSpan w:val="3"/>
            <w:shd w:val="clear" w:color="auto" w:fill="CCEEFF"/>
          </w:tcPr>
          <w:p>
            <w:pPr>
              <w:ind w:left="140"/>
              <w:spacing w:after="0"/>
              <w:rPr>
                <w:sz w:val="20"/>
                <w:szCs w:val="20"/>
                <w:color w:val="auto"/>
              </w:rPr>
            </w:pPr>
            <w:r>
              <w:rPr>
                <w:rFonts w:ascii="Arial" w:cs="Arial" w:eastAsia="Arial" w:hAnsi="Arial"/>
                <w:sz w:val="14"/>
                <w:szCs w:val="14"/>
                <w:b w:val="1"/>
                <w:bCs w:val="1"/>
                <w:color w:val="auto"/>
              </w:rPr>
              <w:t>(b)</w:t>
            </w:r>
          </w:p>
        </w:tc>
        <w:tc>
          <w:tcPr>
            <w:tcW w:w="1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tcPr>
          <w:p>
            <w:pPr>
              <w:spacing w:after="0" w:line="149" w:lineRule="exact"/>
              <w:rPr>
                <w:sz w:val="20"/>
                <w:szCs w:val="20"/>
                <w:color w:val="auto"/>
              </w:rPr>
            </w:pPr>
            <w:r>
              <w:rPr>
                <w:rFonts w:ascii="Arial" w:cs="Arial" w:eastAsia="Arial" w:hAnsi="Arial"/>
                <w:sz w:val="14"/>
                <w:szCs w:val="14"/>
                <w:color w:val="auto"/>
              </w:rPr>
              <w:t>National Truck Protection Co., Inc. (d), (g)</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Automotive Aftermarket</w:t>
            </w: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1,695,303</w:t>
            </w:r>
          </w:p>
        </w:tc>
        <w:tc>
          <w:tcPr>
            <w:tcW w:w="2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National Truck Protection Co., Inc. (d)</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Automotive Aftermarket</w:t>
            </w: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15.50%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9/13/2018</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6,776,770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6,776,770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6,776,770</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tcPr>
          <w:p>
            <w:pPr>
              <w:spacing w:after="0" w:line="149" w:lineRule="exact"/>
              <w:rPr>
                <w:sz w:val="20"/>
                <w:szCs w:val="20"/>
                <w:color w:val="auto"/>
              </w:rPr>
            </w:pPr>
            <w:r>
              <w:rPr>
                <w:rFonts w:ascii="Arial" w:cs="Arial" w:eastAsia="Arial" w:hAnsi="Arial"/>
                <w:sz w:val="14"/>
                <w:szCs w:val="14"/>
                <w:color w:val="auto"/>
              </w:rPr>
              <w:t>Take 5 Oil Change, L.L.C. (d), (g)</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Automotive Aftermarket</w:t>
            </w: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7,128</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480,535</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6,235,209</w:t>
            </w:r>
          </w:p>
        </w:tc>
        <w:tc>
          <w:tcPr>
            <w:tcW w:w="2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Total Automotive Aftermarket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8,257,305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14,707,282</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Building Products</w:t>
            </w: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 Voting A-1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2,535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220,900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2,676,909</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Building Products</w:t>
            </w: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Common Stock Voting B-1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1,600</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139,424</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1,689,568</w:t>
            </w:r>
          </w:p>
        </w:tc>
        <w:tc>
          <w:tcPr>
            <w:tcW w:w="2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Polar Holding Company,</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Building Products</w:t>
            </w: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Ltd. (a), (d), (i)</w:t>
            </w: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(L+9.00%), 10.00% Cash,</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9/30/2016</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Total Building Products</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2,360,324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6,366,477</w:t>
            </w:r>
          </w:p>
        </w:tc>
        <w:tc>
          <w:tcPr>
            <w:tcW w:w="240" w:type="dxa"/>
            <w:vAlign w:val="bottom"/>
          </w:tcPr>
          <w:p>
            <w:pPr>
              <w:spacing w:after="0"/>
              <w:rPr>
                <w:sz w:val="14"/>
                <w:szCs w:val="14"/>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3"/>
          </w:tcPr>
          <w:p>
            <w:pPr>
              <w:spacing w:after="0" w:line="149" w:lineRule="exact"/>
              <w:rPr>
                <w:sz w:val="20"/>
                <w:szCs w:val="20"/>
                <w:color w:val="auto"/>
              </w:rPr>
            </w:pPr>
            <w:r>
              <w:rPr>
                <w:rFonts w:ascii="Arial" w:cs="Arial" w:eastAsia="Arial" w:hAnsi="Arial"/>
                <w:sz w:val="14"/>
                <w:szCs w:val="14"/>
                <w:color w:val="auto"/>
              </w:rPr>
              <w:t>Avionte Holdings, LLC (g)</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100,000</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169,850</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Avionte Holdings, LLC</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(L+8.25%), 9.75% Cash,</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1/8/2019</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2,406,342</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2,376,045</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2,382,844</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tcPr>
          <w:p>
            <w:pPr>
              <w:spacing w:after="0" w:line="130" w:lineRule="exact"/>
              <w:rPr>
                <w:sz w:val="20"/>
                <w:szCs w:val="20"/>
                <w:color w:val="auto"/>
              </w:rPr>
            </w:pPr>
            <w:r>
              <w:rPr>
                <w:rFonts w:ascii="Arial" w:cs="Arial" w:eastAsia="Arial" w:hAnsi="Arial"/>
                <w:sz w:val="14"/>
                <w:szCs w:val="14"/>
                <w:color w:val="auto"/>
              </w:rPr>
              <w:t>Avionte Holdings, LLC (j), (k)</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Delayed Draw Term Loan A</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(L+8.25%), 9.75% Cash,</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Arial" w:cs="Arial" w:eastAsia="Arial" w:hAnsi="Arial"/>
                <w:sz w:val="14"/>
                <w:szCs w:val="14"/>
                <w:color w:val="auto"/>
              </w:rPr>
              <w:t>1/8/2019</w:t>
            </w:r>
          </w:p>
        </w:tc>
        <w:tc>
          <w:tcPr>
            <w:tcW w:w="100" w:type="dxa"/>
            <w:vAlign w:val="bottom"/>
          </w:tcPr>
          <w:p>
            <w:pPr>
              <w:spacing w:after="0"/>
              <w:rPr>
                <w:sz w:val="14"/>
                <w:szCs w:val="14"/>
                <w:color w:val="auto"/>
              </w:rPr>
            </w:pP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BMC Software, Inc. (d)</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Syndicated Loan (L+4.00%),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5.00% Cash, 9/10/2020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5,671,667</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5,633,920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4,520,318</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tcPr>
          <w:p>
            <w:pPr>
              <w:spacing w:after="0" w:line="130" w:lineRule="exact"/>
              <w:rPr>
                <w:sz w:val="20"/>
                <w:szCs w:val="20"/>
                <w:color w:val="auto"/>
              </w:rPr>
            </w:pPr>
            <w:r>
              <w:rPr>
                <w:rFonts w:ascii="Arial" w:cs="Arial" w:eastAsia="Arial" w:hAnsi="Arial"/>
                <w:sz w:val="14"/>
                <w:szCs w:val="14"/>
                <w:color w:val="auto"/>
              </w:rPr>
              <w:t>Courion Corporation</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(L+10.00%), 11.00% Cash,</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Arial" w:cs="Arial" w:eastAsia="Arial" w:hAnsi="Arial"/>
                <w:sz w:val="14"/>
                <w:szCs w:val="14"/>
                <w:color w:val="auto"/>
              </w:rPr>
              <w:t>6/1/2021</w:t>
            </w:r>
          </w:p>
        </w:tc>
        <w:tc>
          <w:tcPr>
            <w:tcW w:w="100" w:type="dxa"/>
            <w:vAlign w:val="bottom"/>
          </w:tcPr>
          <w:p>
            <w:pPr>
              <w:spacing w:after="0"/>
              <w:rPr>
                <w:sz w:val="14"/>
                <w:szCs w:val="14"/>
                <w:color w:val="auto"/>
              </w:rPr>
            </w:pP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15,000,000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14,856,720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14,850,000</w:t>
            </w:r>
          </w:p>
        </w:tc>
        <w:tc>
          <w:tcPr>
            <w:tcW w:w="2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Dispensing Dynamics</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Note 12.50%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International (d)</w:t>
            </w:r>
          </w:p>
        </w:tc>
        <w:tc>
          <w:tcPr>
            <w:tcW w:w="1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1/1/2018</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12,000,000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12,025,101</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10,950,000</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tcPr>
          <w:p>
            <w:pPr>
              <w:spacing w:after="0" w:line="130" w:lineRule="exact"/>
              <w:rPr>
                <w:sz w:val="20"/>
                <w:szCs w:val="20"/>
                <w:color w:val="auto"/>
              </w:rPr>
            </w:pPr>
            <w:r>
              <w:rPr>
                <w:rFonts w:ascii="Arial" w:cs="Arial" w:eastAsia="Arial" w:hAnsi="Arial"/>
                <w:sz w:val="14"/>
                <w:szCs w:val="14"/>
                <w:color w:val="auto"/>
              </w:rPr>
              <w:t>Easy Ice, LLC (d)</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(L+8.75%), 9.50% Cash,</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Arial" w:cs="Arial" w:eastAsia="Arial" w:hAnsi="Arial"/>
                <w:sz w:val="14"/>
                <w:szCs w:val="14"/>
                <w:color w:val="auto"/>
              </w:rPr>
              <w:t>1/15/2020</w:t>
            </w:r>
          </w:p>
        </w:tc>
        <w:tc>
          <w:tcPr>
            <w:tcW w:w="100" w:type="dxa"/>
            <w:vAlign w:val="bottom"/>
          </w:tcPr>
          <w:p>
            <w:pPr>
              <w:spacing w:after="0"/>
              <w:rPr>
                <w:sz w:val="14"/>
                <w:szCs w:val="14"/>
                <w:color w:val="auto"/>
              </w:rPr>
            </w:pP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14,000,000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13,873,485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13,806,098</w:t>
            </w:r>
          </w:p>
        </w:tc>
        <w:tc>
          <w:tcPr>
            <w:tcW w:w="2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Emily Street Enterprises, L.L.C.</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Note</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(L+8.50%), 10.00% Cash,</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1/23/2020</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8,400,000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8,305,033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8,568,000</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tcPr>
          <w:p>
            <w:pPr>
              <w:spacing w:after="0" w:line="130" w:lineRule="exact"/>
              <w:rPr>
                <w:sz w:val="20"/>
                <w:szCs w:val="20"/>
                <w:color w:val="auto"/>
              </w:rPr>
            </w:pPr>
            <w:r>
              <w:rPr>
                <w:rFonts w:ascii="Arial" w:cs="Arial" w:eastAsia="Arial" w:hAnsi="Arial"/>
                <w:sz w:val="14"/>
                <w:szCs w:val="14"/>
                <w:color w:val="auto"/>
              </w:rPr>
              <w:t>Emily Street Enterprises, L.L.C. (g)</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w w:val="99"/>
              </w:rPr>
              <w:t>Warrant Membership Interests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Arial" w:cs="Arial" w:eastAsia="Arial" w:hAnsi="Arial"/>
                <w:sz w:val="14"/>
                <w:szCs w:val="14"/>
                <w:color w:val="auto"/>
              </w:rPr>
              <w:t>Expires 12/28/2022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49,318</w:t>
            </w: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577,020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Erwin, Inc.</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(L+11.50%), 13.50% (11.50%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Cash/1.00% PIK), 8/28/2021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13,000,000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12,870,023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12,870,000</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tcPr>
          <w:p>
            <w:pPr>
              <w:spacing w:after="0" w:line="130" w:lineRule="exact"/>
              <w:rPr>
                <w:sz w:val="20"/>
                <w:szCs w:val="20"/>
                <w:color w:val="auto"/>
              </w:rPr>
            </w:pPr>
            <w:r>
              <w:rPr>
                <w:rFonts w:ascii="Arial" w:cs="Arial" w:eastAsia="Arial" w:hAnsi="Arial"/>
                <w:sz w:val="14"/>
                <w:szCs w:val="14"/>
                <w:color w:val="auto"/>
              </w:rPr>
              <w:t>Finalsite Holdings, Inc.</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(L+9.00%), 10.25% Cash,</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Arial" w:cs="Arial" w:eastAsia="Arial" w:hAnsi="Arial"/>
                <w:sz w:val="14"/>
                <w:szCs w:val="14"/>
                <w:color w:val="auto"/>
              </w:rPr>
              <w:t>5/21/2020</w:t>
            </w:r>
          </w:p>
        </w:tc>
        <w:tc>
          <w:tcPr>
            <w:tcW w:w="100" w:type="dxa"/>
            <w:vAlign w:val="bottom"/>
          </w:tcPr>
          <w:p>
            <w:pPr>
              <w:spacing w:after="0"/>
              <w:rPr>
                <w:sz w:val="14"/>
                <w:szCs w:val="14"/>
                <w:color w:val="auto"/>
              </w:rPr>
            </w:pP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7,500,000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7,440,729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7,500,000</w:t>
            </w:r>
          </w:p>
        </w:tc>
        <w:tc>
          <w:tcPr>
            <w:tcW w:w="2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Help/Systems Holdings, Inc.(Help/Systems, LLC)</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(L+5.25%), 6.25% Cash,</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10/8/2021</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4,904,573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4,895,000</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tcPr>
          <w:p>
            <w:pPr>
              <w:spacing w:after="0" w:line="130" w:lineRule="exact"/>
              <w:rPr>
                <w:sz w:val="20"/>
                <w:szCs w:val="20"/>
                <w:color w:val="auto"/>
              </w:rPr>
            </w:pPr>
            <w:r>
              <w:rPr>
                <w:rFonts w:ascii="Arial" w:cs="Arial" w:eastAsia="Arial" w:hAnsi="Arial"/>
                <w:sz w:val="14"/>
                <w:szCs w:val="14"/>
                <w:color w:val="auto"/>
              </w:rPr>
              <w:t>Help/Systems Holdings, Inc.(Help/Systems, LLC)</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(L+9.50%), 10.50% Cash,</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Arial" w:cs="Arial" w:eastAsia="Arial" w:hAnsi="Arial"/>
                <w:sz w:val="14"/>
                <w:szCs w:val="14"/>
                <w:color w:val="auto"/>
              </w:rPr>
              <w:t>10/8/2022</w:t>
            </w:r>
          </w:p>
        </w:tc>
        <w:tc>
          <w:tcPr>
            <w:tcW w:w="100" w:type="dxa"/>
            <w:vAlign w:val="bottom"/>
          </w:tcPr>
          <w:p>
            <w:pPr>
              <w:spacing w:after="0"/>
              <w:rPr>
                <w:sz w:val="14"/>
                <w:szCs w:val="14"/>
                <w:color w:val="auto"/>
              </w:rPr>
            </w:pP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2,912,784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2,910,000</w:t>
            </w:r>
          </w:p>
        </w:tc>
        <w:tc>
          <w:tcPr>
            <w:tcW w:w="2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Identity Automation Systems (g)</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 Class A Units</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232,616</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232,616</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427,409</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tcPr>
          <w:p>
            <w:pPr>
              <w:spacing w:after="0" w:line="130" w:lineRule="exact"/>
              <w:rPr>
                <w:sz w:val="20"/>
                <w:szCs w:val="20"/>
                <w:color w:val="auto"/>
              </w:rPr>
            </w:pPr>
            <w:r>
              <w:rPr>
                <w:rFonts w:ascii="Arial" w:cs="Arial" w:eastAsia="Arial" w:hAnsi="Arial"/>
                <w:sz w:val="14"/>
                <w:szCs w:val="14"/>
                <w:color w:val="auto"/>
              </w:rPr>
              <w:t>Identity Automation Systems</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(L+9.25%), 10.25% Cash,</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Arial" w:cs="Arial" w:eastAsia="Arial" w:hAnsi="Arial"/>
                <w:sz w:val="14"/>
                <w:szCs w:val="14"/>
                <w:color w:val="auto"/>
              </w:rPr>
              <w:t>12/18/2020</w:t>
            </w:r>
          </w:p>
        </w:tc>
        <w:tc>
          <w:tcPr>
            <w:tcW w:w="100" w:type="dxa"/>
            <w:vAlign w:val="bottom"/>
          </w:tcPr>
          <w:p>
            <w:pPr>
              <w:spacing w:after="0"/>
              <w:rPr>
                <w:sz w:val="14"/>
                <w:szCs w:val="14"/>
                <w:color w:val="auto"/>
              </w:rPr>
            </w:pP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6,900,000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6,842,573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6,900,000</w:t>
            </w:r>
          </w:p>
        </w:tc>
        <w:tc>
          <w:tcPr>
            <w:tcW w:w="2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Identity Automation Systems (j), (k)</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Delayed Draw Term Loan</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10.25% Cash, 12/18/2020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tcPr>
          <w:p>
            <w:pPr>
              <w:spacing w:after="0" w:line="130" w:lineRule="exact"/>
              <w:rPr>
                <w:sz w:val="20"/>
                <w:szCs w:val="20"/>
                <w:color w:val="auto"/>
              </w:rPr>
            </w:pPr>
            <w:r>
              <w:rPr>
                <w:rFonts w:ascii="Arial" w:cs="Arial" w:eastAsia="Arial" w:hAnsi="Arial"/>
                <w:sz w:val="14"/>
                <w:szCs w:val="14"/>
                <w:color w:val="auto"/>
              </w:rPr>
              <w:t>Knowland Technology Holdings, L.L.C.</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8.00%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Arial" w:cs="Arial" w:eastAsia="Arial" w:hAnsi="Arial"/>
                <w:sz w:val="14"/>
                <w:szCs w:val="14"/>
                <w:color w:val="auto"/>
              </w:rPr>
              <w:t>Cash, 11/29/2017</w:t>
            </w: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5,259,171</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5,224,422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5,259,171</w:t>
            </w:r>
          </w:p>
        </w:tc>
        <w:tc>
          <w:tcPr>
            <w:tcW w:w="2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Vector Controls Holding Co., LLC (d)</w:t>
            </w: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1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 Lien Term Loan, 14.00%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(12.00% Cash/2.00% PIK),</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3/6/2018</w:t>
            </w: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9,035,515</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8,952,442</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9,035,515</w:t>
            </w:r>
          </w:p>
        </w:tc>
        <w:tc>
          <w:tcPr>
            <w:tcW w:w="2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tcPr>
          <w:p>
            <w:pPr>
              <w:spacing w:after="0" w:line="130" w:lineRule="exact"/>
              <w:rPr>
                <w:sz w:val="20"/>
                <w:szCs w:val="20"/>
                <w:color w:val="auto"/>
              </w:rPr>
            </w:pPr>
            <w:r>
              <w:rPr>
                <w:rFonts w:ascii="Arial" w:cs="Arial" w:eastAsia="Arial" w:hAnsi="Arial"/>
                <w:sz w:val="14"/>
                <w:szCs w:val="14"/>
                <w:color w:val="auto"/>
              </w:rPr>
              <w:t>Vector Controls Holding Co., LLC (d), (g)</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Warrants to Purchase Limited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Liability Company Interests,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Arial" w:cs="Arial" w:eastAsia="Arial" w:hAnsi="Arial"/>
                <w:sz w:val="14"/>
                <w:szCs w:val="14"/>
                <w:color w:val="auto"/>
              </w:rPr>
              <w:t>Expires 5/31/2025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343</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354,819</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Business Services</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106,950,466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105,976,044</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Advanced Air &amp; Heat of Florida, LLC</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Products</w:t>
            </w: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9.50%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7/17/2020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6,800,000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6,733,661</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6,800,000</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tcPr>
          <w:p>
            <w:pPr>
              <w:spacing w:after="0" w:line="149" w:lineRule="exact"/>
              <w:rPr>
                <w:sz w:val="20"/>
                <w:szCs w:val="20"/>
                <w:color w:val="auto"/>
              </w:rPr>
            </w:pPr>
            <w:r>
              <w:rPr>
                <w:rFonts w:ascii="Arial" w:cs="Arial" w:eastAsia="Arial" w:hAnsi="Arial"/>
                <w:sz w:val="14"/>
                <w:szCs w:val="14"/>
                <w:color w:val="auto"/>
              </w:rPr>
              <w:t>Targus Holdings, Inc. (d), (g)</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Consumer Products</w:t>
            </w: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210,456</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1,791,242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Targus Holdings, Inc. (d)</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Products</w:t>
            </w: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A-2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15.00% PIK, 12/31/2019</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210,456</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210,456</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210,456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tcPr>
          <w:p>
            <w:pPr>
              <w:spacing w:after="0" w:line="130" w:lineRule="exact"/>
              <w:rPr>
                <w:sz w:val="20"/>
                <w:szCs w:val="20"/>
                <w:color w:val="auto"/>
              </w:rPr>
            </w:pPr>
            <w:r>
              <w:rPr>
                <w:rFonts w:ascii="Arial" w:cs="Arial" w:eastAsia="Arial" w:hAnsi="Arial"/>
                <w:sz w:val="14"/>
                <w:szCs w:val="14"/>
                <w:color w:val="auto"/>
              </w:rPr>
              <w:t>Targus Holdings, Inc. (d)</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Consumer Products</w:t>
            </w: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B</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Arial" w:cs="Arial" w:eastAsia="Arial" w:hAnsi="Arial"/>
                <w:sz w:val="14"/>
                <w:szCs w:val="14"/>
                <w:color w:val="auto"/>
              </w:rPr>
              <w:t>15.00% PIK, 12/31/2019</w:t>
            </w: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631,369</w:t>
            </w: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631,369</w:t>
            </w: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631,369</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Consumer Products</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9,366,728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7,641,825</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Expedited Travel L.L.C. (g)</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Services</w:t>
            </w: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1,647,767</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tcPr>
          <w:p>
            <w:pPr>
              <w:spacing w:after="0" w:line="130" w:lineRule="exact"/>
              <w:rPr>
                <w:sz w:val="20"/>
                <w:szCs w:val="20"/>
                <w:color w:val="auto"/>
              </w:rPr>
            </w:pPr>
            <w:r>
              <w:rPr>
                <w:rFonts w:ascii="Arial" w:cs="Arial" w:eastAsia="Arial" w:hAnsi="Arial"/>
                <w:sz w:val="14"/>
                <w:szCs w:val="14"/>
                <w:color w:val="auto"/>
              </w:rPr>
              <w:t>Expedited Travel L.L.C.</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Consumer Services</w:t>
            </w: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10.00%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Arial" w:cs="Arial" w:eastAsia="Arial" w:hAnsi="Arial"/>
                <w:sz w:val="14"/>
                <w:szCs w:val="14"/>
                <w:color w:val="auto"/>
              </w:rPr>
              <w:t>Cash, 10/10/2019</w:t>
            </w: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11,475,490</w:t>
            </w: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11,401,380</w:t>
            </w: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11,647,623</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My Alarm Center, LLC</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Services</w:t>
            </w: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(L+11.00%), 12.00% Cash,</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7/9/2019</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7,500,000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7,450,500</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Consumer Services</w:t>
            </w: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(L+5.25%), 6.50% Cash,</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Arial" w:cs="Arial" w:eastAsia="Arial" w:hAnsi="Arial"/>
                <w:sz w:val="14"/>
                <w:szCs w:val="14"/>
                <w:color w:val="auto"/>
              </w:rPr>
              <w:t>7/1/2019</w:t>
            </w:r>
          </w:p>
        </w:tc>
        <w:tc>
          <w:tcPr>
            <w:tcW w:w="100" w:type="dxa"/>
            <w:vAlign w:val="bottom"/>
          </w:tcPr>
          <w:p>
            <w:pPr>
              <w:spacing w:after="0"/>
              <w:rPr>
                <w:sz w:val="14"/>
                <w:szCs w:val="14"/>
                <w:color w:val="auto"/>
              </w:rPr>
            </w:pP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1,572,921</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1,562,787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1,556,248</w:t>
            </w:r>
          </w:p>
        </w:tc>
        <w:tc>
          <w:tcPr>
            <w:tcW w:w="2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Services</w:t>
            </w: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(L+9.00%), 10.25% Cash,</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7/1/2020</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9,962,104</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9,827,000</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gridSpan w:val="3"/>
          </w:tcPr>
          <w:p>
            <w:pPr>
              <w:spacing w:after="0" w:line="130" w:lineRule="exact"/>
              <w:rPr>
                <w:sz w:val="20"/>
                <w:szCs w:val="20"/>
                <w:color w:val="auto"/>
              </w:rPr>
            </w:pPr>
            <w:r>
              <w:rPr>
                <w:rFonts w:ascii="Arial" w:cs="Arial" w:eastAsia="Arial" w:hAnsi="Arial"/>
                <w:sz w:val="14"/>
                <w:szCs w:val="14"/>
                <w:color w:val="auto"/>
              </w:rPr>
              <w:t>Prime Security Services, LLC</w:t>
            </w:r>
          </w:p>
        </w:tc>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Consumer Services</w:t>
            </w: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(L+8.75%), 9.75% Cash,</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Arial" w:cs="Arial" w:eastAsia="Arial" w:hAnsi="Arial"/>
                <w:sz w:val="14"/>
                <w:szCs w:val="14"/>
                <w:color w:val="auto"/>
              </w:rPr>
              <w:t>7/1/2022</w:t>
            </w:r>
          </w:p>
        </w:tc>
        <w:tc>
          <w:tcPr>
            <w:tcW w:w="100" w:type="dxa"/>
            <w:vAlign w:val="bottom"/>
          </w:tcPr>
          <w:p>
            <w:pPr>
              <w:spacing w:after="0"/>
              <w:rPr>
                <w:sz w:val="14"/>
                <w:szCs w:val="14"/>
                <w:color w:val="auto"/>
              </w:rPr>
            </w:pP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12,000,000</w:t>
            </w: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11,829,030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10,980,000</w:t>
            </w:r>
          </w:p>
        </w:tc>
        <w:tc>
          <w:tcPr>
            <w:tcW w:w="2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Consumer Services</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43,255,301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43,109,138</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 Acquisition Corp., L.L.C. (d), (g)</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Education</w:t>
            </w: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544,761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30,241</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bl>
    <w:p>
      <w:pPr>
        <w:sectPr>
          <w:pgSz w:w="11900" w:h="16897" w:orient="portrait"/>
          <w:cols w:equalWidth="0" w:num="1">
            <w:col w:w="11420"/>
          </w:cols>
          <w:pgMar w:left="240" w:top="459" w:right="239" w:bottom="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20"/>
                <w:szCs w:val="20"/>
                <w:color w:val="auto"/>
              </w:rPr>
            </w:pPr>
            <w:r>
              <w:rPr>
                <w:rFonts w:ascii="Arial" w:cs="Arial" w:eastAsia="Arial" w:hAnsi="Arial"/>
                <w:sz w:val="14"/>
                <w:szCs w:val="14"/>
                <w:color w:val="auto"/>
              </w:rPr>
              <w:t>M/C Acquisition Corp., L.L.C. (d)</w:t>
            </w:r>
          </w:p>
        </w:tc>
        <w:tc>
          <w:tcPr>
            <w:tcW w:w="1640" w:type="dxa"/>
            <w:vAlign w:val="bottom"/>
          </w:tcPr>
          <w:p>
            <w:pPr>
              <w:ind w:left="480"/>
              <w:spacing w:after="0"/>
              <w:rPr>
                <w:sz w:val="20"/>
                <w:szCs w:val="20"/>
                <w:color w:val="auto"/>
              </w:rPr>
            </w:pPr>
            <w:r>
              <w:rPr>
                <w:rFonts w:ascii="Arial" w:cs="Arial" w:eastAsia="Arial" w:hAnsi="Arial"/>
                <w:sz w:val="14"/>
                <w:szCs w:val="14"/>
                <w:color w:val="auto"/>
              </w:rPr>
              <w:t>Education</w:t>
            </w:r>
          </w:p>
        </w:tc>
        <w:tc>
          <w:tcPr>
            <w:tcW w:w="2500" w:type="dxa"/>
            <w:vAlign w:val="bottom"/>
          </w:tcPr>
          <w:p>
            <w:pPr>
              <w:ind w:left="600"/>
              <w:spacing w:after="0"/>
              <w:rPr>
                <w:sz w:val="20"/>
                <w:szCs w:val="20"/>
                <w:color w:val="auto"/>
              </w:rPr>
            </w:pPr>
            <w:r>
              <w:rPr>
                <w:rFonts w:ascii="Arial" w:cs="Arial" w:eastAsia="Arial" w:hAnsi="Arial"/>
                <w:sz w:val="14"/>
                <w:szCs w:val="14"/>
                <w:color w:val="auto"/>
              </w:rPr>
              <w:t>First Lien Term Loan 1.00%</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7"/>
        </w:trPr>
        <w:tc>
          <w:tcPr>
            <w:tcW w:w="2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00" w:type="dxa"/>
            <w:vAlign w:val="bottom"/>
          </w:tcPr>
          <w:p>
            <w:pPr>
              <w:ind w:left="600"/>
              <w:spacing w:after="0"/>
              <w:rPr>
                <w:sz w:val="20"/>
                <w:szCs w:val="20"/>
                <w:color w:val="auto"/>
              </w:rPr>
            </w:pPr>
            <w:r>
              <w:rPr>
                <w:rFonts w:ascii="Arial" w:cs="Arial" w:eastAsia="Arial" w:hAnsi="Arial"/>
                <w:sz w:val="14"/>
                <w:szCs w:val="14"/>
                <w:color w:val="auto"/>
              </w:rPr>
              <w:t>Cash, 3/31/2016</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2,321,073</w:t>
            </w:r>
          </w:p>
        </w:tc>
        <w:tc>
          <w:tcPr>
            <w:tcW w:w="800" w:type="dxa"/>
            <w:vAlign w:val="bottom"/>
          </w:tcPr>
          <w:p>
            <w:pPr>
              <w:jc w:val="right"/>
              <w:spacing w:after="0"/>
              <w:rPr>
                <w:sz w:val="20"/>
                <w:szCs w:val="20"/>
                <w:color w:val="auto"/>
              </w:rPr>
            </w:pPr>
            <w:r>
              <w:rPr>
                <w:rFonts w:ascii="Arial" w:cs="Arial" w:eastAsia="Arial" w:hAnsi="Arial"/>
                <w:sz w:val="14"/>
                <w:szCs w:val="14"/>
                <w:color w:val="auto"/>
              </w:rPr>
              <w:t>1,193,790</w:t>
            </w:r>
          </w:p>
        </w:tc>
        <w:tc>
          <w:tcPr>
            <w:tcW w:w="24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8,087</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Texas Teachers of Tomorrow, LLC (g), (h)</w:t>
            </w:r>
          </w:p>
        </w:tc>
        <w:tc>
          <w:tcPr>
            <w:tcW w:w="164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Education</w:t>
            </w:r>
          </w:p>
        </w:tc>
        <w:tc>
          <w:tcPr>
            <w:tcW w:w="25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Common Stock</w:t>
            </w: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750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750,000</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785,475</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0.6%</w:t>
            </w:r>
          </w:p>
        </w:tc>
      </w:tr>
      <w:tr>
        <w:trPr>
          <w:trHeight w:val="130"/>
        </w:trPr>
        <w:tc>
          <w:tcPr>
            <w:tcW w:w="2940" w:type="dxa"/>
            <w:vAlign w:val="bottom"/>
          </w:tcPr>
          <w:p>
            <w:pPr>
              <w:spacing w:after="0" w:line="130" w:lineRule="exact"/>
              <w:rPr>
                <w:sz w:val="20"/>
                <w:szCs w:val="20"/>
                <w:color w:val="auto"/>
              </w:rPr>
            </w:pPr>
            <w:r>
              <w:rPr>
                <w:rFonts w:ascii="Arial" w:cs="Arial" w:eastAsia="Arial" w:hAnsi="Arial"/>
                <w:sz w:val="14"/>
                <w:szCs w:val="14"/>
                <w:color w:val="auto"/>
              </w:rPr>
              <w:t>Texas Teachers of Tomorrow, LLC</w:t>
            </w:r>
          </w:p>
        </w:tc>
        <w:tc>
          <w:tcPr>
            <w:tcW w:w="1640" w:type="dxa"/>
            <w:vAlign w:val="bottom"/>
          </w:tcPr>
          <w:p>
            <w:pPr>
              <w:ind w:left="480"/>
              <w:spacing w:after="0" w:line="130" w:lineRule="exact"/>
              <w:rPr>
                <w:sz w:val="20"/>
                <w:szCs w:val="20"/>
                <w:color w:val="auto"/>
              </w:rPr>
            </w:pPr>
            <w:r>
              <w:rPr>
                <w:rFonts w:ascii="Arial" w:cs="Arial" w:eastAsia="Arial" w:hAnsi="Arial"/>
                <w:sz w:val="14"/>
                <w:szCs w:val="14"/>
                <w:color w:val="auto"/>
              </w:rPr>
              <w:t>Education</w:t>
            </w:r>
          </w:p>
        </w:tc>
        <w:tc>
          <w:tcPr>
            <w:tcW w:w="2500" w:type="dxa"/>
            <w:vAlign w:val="bottom"/>
          </w:tcPr>
          <w:p>
            <w:pPr>
              <w:ind w:left="600"/>
              <w:spacing w:after="0" w:line="130" w:lineRule="exact"/>
              <w:rPr>
                <w:sz w:val="20"/>
                <w:szCs w:val="20"/>
                <w:color w:val="auto"/>
              </w:rPr>
            </w:pPr>
            <w:r>
              <w:rPr>
                <w:rFonts w:ascii="Arial" w:cs="Arial" w:eastAsia="Arial" w:hAnsi="Arial"/>
                <w:sz w:val="14"/>
                <w:szCs w:val="14"/>
                <w:color w:val="auto"/>
              </w:rPr>
              <w:t>Second Lien Term Loan</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9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00" w:type="dxa"/>
            <w:vAlign w:val="bottom"/>
          </w:tcPr>
          <w:p>
            <w:pPr>
              <w:ind w:left="600"/>
              <w:spacing w:after="0" w:line="149" w:lineRule="exact"/>
              <w:rPr>
                <w:sz w:val="20"/>
                <w:szCs w:val="20"/>
                <w:color w:val="auto"/>
              </w:rPr>
            </w:pPr>
            <w:r>
              <w:rPr>
                <w:rFonts w:ascii="Arial" w:cs="Arial" w:eastAsia="Arial" w:hAnsi="Arial"/>
                <w:sz w:val="14"/>
                <w:szCs w:val="14"/>
                <w:color w:val="auto"/>
              </w:rPr>
              <w:t>(L+9.75%), 10.75% Cash,</w:t>
            </w: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7"/>
        </w:trPr>
        <w:tc>
          <w:tcPr>
            <w:tcW w:w="2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00" w:type="dxa"/>
            <w:vAlign w:val="bottom"/>
          </w:tcPr>
          <w:p>
            <w:pPr>
              <w:ind w:left="600"/>
              <w:spacing w:after="0"/>
              <w:rPr>
                <w:sz w:val="20"/>
                <w:szCs w:val="20"/>
                <w:color w:val="auto"/>
              </w:rPr>
            </w:pPr>
            <w:r>
              <w:rPr>
                <w:rFonts w:ascii="Arial" w:cs="Arial" w:eastAsia="Arial" w:hAnsi="Arial"/>
                <w:sz w:val="14"/>
                <w:szCs w:val="14"/>
                <w:color w:val="auto"/>
              </w:rPr>
              <w:t>6/2/2021</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10,000,000</w:t>
            </w:r>
          </w:p>
        </w:tc>
        <w:tc>
          <w:tcPr>
            <w:tcW w:w="800" w:type="dxa"/>
            <w:vAlign w:val="bottom"/>
          </w:tcPr>
          <w:p>
            <w:pPr>
              <w:jc w:val="right"/>
              <w:spacing w:after="0"/>
              <w:rPr>
                <w:sz w:val="20"/>
                <w:szCs w:val="20"/>
                <w:color w:val="auto"/>
              </w:rPr>
            </w:pPr>
            <w:r>
              <w:rPr>
                <w:rFonts w:ascii="Arial" w:cs="Arial" w:eastAsia="Arial" w:hAnsi="Arial"/>
                <w:sz w:val="14"/>
                <w:szCs w:val="14"/>
                <w:color w:val="auto"/>
              </w:rPr>
              <w:t>9,902,816</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9,900,000</w:t>
            </w:r>
          </w:p>
        </w:tc>
        <w:tc>
          <w:tcPr>
            <w:tcW w:w="2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7.9%</w:t>
            </w:r>
          </w:p>
        </w:tc>
      </w:tr>
      <w:tr>
        <w:trPr>
          <w:trHeight w:val="27"/>
        </w:trPr>
        <w:tc>
          <w:tcPr>
            <w:tcW w:w="2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49"/>
        </w:trPr>
        <w:tc>
          <w:tcPr>
            <w:tcW w:w="29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500" w:type="dxa"/>
            <w:vAlign w:val="bottom"/>
            <w:shd w:val="clear" w:color="auto" w:fill="CCEEFF"/>
          </w:tcPr>
          <w:p>
            <w:pPr>
              <w:ind w:left="1480"/>
              <w:spacing w:after="0" w:line="149" w:lineRule="exact"/>
              <w:rPr>
                <w:sz w:val="20"/>
                <w:szCs w:val="20"/>
                <w:color w:val="auto"/>
              </w:rPr>
            </w:pPr>
            <w:r>
              <w:rPr>
                <w:rFonts w:ascii="Arial" w:cs="Arial" w:eastAsia="Arial" w:hAnsi="Arial"/>
                <w:sz w:val="14"/>
                <w:szCs w:val="14"/>
                <w:color w:val="auto"/>
              </w:rPr>
              <w:t>Total Education</w:t>
            </w: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11,876,847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10,693,562</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w:t>
            </w:r>
          </w:p>
        </w:tc>
      </w:tr>
      <w:tr>
        <w:trPr>
          <w:trHeight w:val="20"/>
        </w:trPr>
        <w:tc>
          <w:tcPr>
            <w:tcW w:w="2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08" w:right="239" w:bottom="1440" w:gutter="0" w:footer="0" w:header="0"/>
        </w:sectPr>
      </w:pPr>
    </w:p>
    <w:bookmarkStart w:id="102" w:name="page103"/>
    <w:bookmarkEnd w:id="102"/>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TM Restaurant Group L.L.C.</w:t>
            </w:r>
          </w:p>
        </w:tc>
        <w:tc>
          <w:tcPr>
            <w:tcW w:w="2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Food and Beverage</w:t>
            </w:r>
          </w:p>
        </w:tc>
        <w:tc>
          <w:tcPr>
            <w:tcW w:w="1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First Lien Term Loan</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(L+8.50%), 9.75% Cash,</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7/16/2017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9,622,319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9,527,041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9,131,048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60" w:type="dxa"/>
            <w:vAlign w:val="bottom"/>
            <w:vMerge w:val="restart"/>
          </w:tcPr>
          <w:p>
            <w:pPr>
              <w:jc w:val="right"/>
              <w:ind w:right="28"/>
              <w:spacing w:after="0"/>
              <w:rPr>
                <w:sz w:val="20"/>
                <w:szCs w:val="20"/>
                <w:color w:val="auto"/>
              </w:rPr>
            </w:pPr>
            <w:r>
              <w:rPr>
                <w:rFonts w:ascii="Arial" w:cs="Arial" w:eastAsia="Arial" w:hAnsi="Arial"/>
                <w:sz w:val="14"/>
                <w:szCs w:val="14"/>
                <w:color w:val="auto"/>
              </w:rPr>
              <w:t>Total Food and Beverage</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9,527,041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9,131,048</w:t>
            </w:r>
          </w:p>
        </w:tc>
        <w:tc>
          <w:tcPr>
            <w:tcW w:w="240" w:type="dxa"/>
            <w:vAlign w:val="bottom"/>
            <w:vMerge w:val="continue"/>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Bristol Hospice, LLC</w:t>
            </w:r>
          </w:p>
        </w:tc>
        <w:tc>
          <w:tcPr>
            <w:tcW w:w="21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Healthcare Services</w:t>
            </w:r>
          </w:p>
        </w:tc>
        <w:tc>
          <w:tcPr>
            <w:tcW w:w="19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5"/>
              </w:rPr>
              <w:t>Senior Secured Note 11.00%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(10.00% Cash/1.00% PIK),</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11/29/2018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5,404,747</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5,339,820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5,404,747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Censis Technologies, Inc.</w:t>
            </w:r>
          </w:p>
        </w:tc>
        <w:tc>
          <w:tcPr>
            <w:tcW w:w="2160" w:type="dxa"/>
            <w:vAlign w:val="bottom"/>
          </w:tcPr>
          <w:p>
            <w:pPr>
              <w:ind w:left="260"/>
              <w:spacing w:after="0" w:line="130" w:lineRule="exact"/>
              <w:rPr>
                <w:sz w:val="20"/>
                <w:szCs w:val="20"/>
                <w:color w:val="auto"/>
              </w:rPr>
            </w:pPr>
            <w:r>
              <w:rPr>
                <w:rFonts w:ascii="Arial" w:cs="Arial" w:eastAsia="Arial" w:hAnsi="Arial"/>
                <w:sz w:val="14"/>
                <w:szCs w:val="14"/>
                <w:color w:val="auto"/>
              </w:rPr>
              <w:t>Healthcare Services</w:t>
            </w:r>
          </w:p>
        </w:tc>
        <w:tc>
          <w:tcPr>
            <w:tcW w:w="1960" w:type="dxa"/>
            <w:vAlign w:val="bottom"/>
          </w:tcPr>
          <w:p>
            <w:pPr>
              <w:ind w:left="200"/>
              <w:spacing w:after="0" w:line="130" w:lineRule="exact"/>
              <w:rPr>
                <w:sz w:val="20"/>
                <w:szCs w:val="20"/>
                <w:color w:val="auto"/>
              </w:rPr>
            </w:pPr>
            <w:r>
              <w:rPr>
                <w:rFonts w:ascii="Arial" w:cs="Arial" w:eastAsia="Arial" w:hAnsi="Arial"/>
                <w:sz w:val="14"/>
                <w:szCs w:val="14"/>
                <w:color w:val="auto"/>
              </w:rPr>
              <w:t>First Lien Term Loan B</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960" w:type="dxa"/>
            <w:vAlign w:val="bottom"/>
          </w:tcPr>
          <w:p>
            <w:pPr>
              <w:ind w:left="200"/>
              <w:spacing w:after="0" w:line="149" w:lineRule="exact"/>
              <w:rPr>
                <w:sz w:val="20"/>
                <w:szCs w:val="20"/>
                <w:color w:val="auto"/>
              </w:rPr>
            </w:pPr>
            <w:r>
              <w:rPr>
                <w:rFonts w:ascii="Arial" w:cs="Arial" w:eastAsia="Arial" w:hAnsi="Arial"/>
                <w:sz w:val="14"/>
                <w:szCs w:val="14"/>
                <w:color w:val="auto"/>
              </w:rPr>
              <w:t>(L+10.00%), 11.00% Cash,</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tcPr>
          <w:p>
            <w:pPr>
              <w:ind w:left="200"/>
              <w:spacing w:after="0"/>
              <w:rPr>
                <w:sz w:val="20"/>
                <w:szCs w:val="20"/>
                <w:color w:val="auto"/>
              </w:rPr>
            </w:pPr>
            <w:r>
              <w:rPr>
                <w:rFonts w:ascii="Arial" w:cs="Arial" w:eastAsia="Arial" w:hAnsi="Arial"/>
                <w:sz w:val="14"/>
                <w:szCs w:val="14"/>
                <w:color w:val="auto"/>
              </w:rPr>
              <w:t>7/24/2019</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w w:val="88"/>
              </w:rPr>
              <w:t>11,550,000</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11,377,810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11,459,418</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Censis Technologies, Inc. (g), (h)</w:t>
            </w:r>
          </w:p>
        </w:tc>
        <w:tc>
          <w:tcPr>
            <w:tcW w:w="21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Healthcare Services</w:t>
            </w:r>
          </w:p>
        </w:tc>
        <w:tc>
          <w:tcPr>
            <w:tcW w:w="1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Limited Partner Interests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999,000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810,642</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Roscoe Medical, Inc. (d), (g)</w:t>
            </w:r>
          </w:p>
        </w:tc>
        <w:tc>
          <w:tcPr>
            <w:tcW w:w="2160" w:type="dxa"/>
            <w:vAlign w:val="bottom"/>
          </w:tcPr>
          <w:p>
            <w:pPr>
              <w:ind w:left="260"/>
              <w:spacing w:after="0" w:line="149" w:lineRule="exact"/>
              <w:rPr>
                <w:sz w:val="20"/>
                <w:szCs w:val="20"/>
                <w:color w:val="auto"/>
              </w:rPr>
            </w:pPr>
            <w:r>
              <w:rPr>
                <w:rFonts w:ascii="Arial" w:cs="Arial" w:eastAsia="Arial" w:hAnsi="Arial"/>
                <w:sz w:val="14"/>
                <w:szCs w:val="14"/>
                <w:color w:val="auto"/>
              </w:rPr>
              <w:t>Healthcare Services</w:t>
            </w:r>
          </w:p>
        </w:tc>
        <w:tc>
          <w:tcPr>
            <w:tcW w:w="196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5,000</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334,000</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Roscoe Medical, Inc.</w:t>
            </w:r>
          </w:p>
        </w:tc>
        <w:tc>
          <w:tcPr>
            <w:tcW w:w="21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Healthcare Services</w:t>
            </w:r>
          </w:p>
        </w:tc>
        <w:tc>
          <w:tcPr>
            <w:tcW w:w="19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Second Lien Term Loan</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11.25% Cash, 9/26/2019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4,200,000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4,141,519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3,822,000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Ohio Medical, LLC (g)</w:t>
            </w:r>
          </w:p>
        </w:tc>
        <w:tc>
          <w:tcPr>
            <w:tcW w:w="2160" w:type="dxa"/>
            <w:vAlign w:val="bottom"/>
          </w:tcPr>
          <w:p>
            <w:pPr>
              <w:ind w:left="260"/>
              <w:spacing w:after="0" w:line="149" w:lineRule="exact"/>
              <w:rPr>
                <w:sz w:val="20"/>
                <w:szCs w:val="20"/>
                <w:color w:val="auto"/>
              </w:rPr>
            </w:pPr>
            <w:r>
              <w:rPr>
                <w:rFonts w:ascii="Arial" w:cs="Arial" w:eastAsia="Arial" w:hAnsi="Arial"/>
                <w:sz w:val="14"/>
                <w:szCs w:val="14"/>
                <w:color w:val="auto"/>
              </w:rPr>
              <w:t>Healthcare Services</w:t>
            </w:r>
          </w:p>
        </w:tc>
        <w:tc>
          <w:tcPr>
            <w:tcW w:w="196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5,000</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500,000</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Ohio Medical, LLC</w:t>
            </w:r>
          </w:p>
        </w:tc>
        <w:tc>
          <w:tcPr>
            <w:tcW w:w="21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Healthcare Services</w:t>
            </w:r>
          </w:p>
        </w:tc>
        <w:tc>
          <w:tcPr>
            <w:tcW w:w="19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Senior Subordinated Note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12.00%, 7/15/2021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7,300,000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7,228,452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7,227,000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Smile Brands Group Inc. (d)</w:t>
            </w:r>
          </w:p>
        </w:tc>
        <w:tc>
          <w:tcPr>
            <w:tcW w:w="2160" w:type="dxa"/>
            <w:vAlign w:val="bottom"/>
          </w:tcPr>
          <w:p>
            <w:pPr>
              <w:ind w:left="260"/>
              <w:spacing w:after="0" w:line="130" w:lineRule="exact"/>
              <w:rPr>
                <w:sz w:val="20"/>
                <w:szCs w:val="20"/>
                <w:color w:val="auto"/>
              </w:rPr>
            </w:pPr>
            <w:r>
              <w:rPr>
                <w:rFonts w:ascii="Arial" w:cs="Arial" w:eastAsia="Arial" w:hAnsi="Arial"/>
                <w:sz w:val="14"/>
                <w:szCs w:val="14"/>
                <w:color w:val="auto"/>
              </w:rPr>
              <w:t>Healthcare Services</w:t>
            </w:r>
          </w:p>
        </w:tc>
        <w:tc>
          <w:tcPr>
            <w:tcW w:w="1960" w:type="dxa"/>
            <w:vAlign w:val="bottom"/>
          </w:tcPr>
          <w:p>
            <w:pPr>
              <w:ind w:left="200"/>
              <w:spacing w:after="0" w:line="130" w:lineRule="exact"/>
              <w:rPr>
                <w:sz w:val="20"/>
                <w:szCs w:val="20"/>
                <w:color w:val="auto"/>
              </w:rPr>
            </w:pPr>
            <w:r>
              <w:rPr>
                <w:rFonts w:ascii="Arial" w:cs="Arial" w:eastAsia="Arial" w:hAnsi="Arial"/>
                <w:sz w:val="14"/>
                <w:szCs w:val="14"/>
                <w:color w:val="auto"/>
              </w:rPr>
              <w:t>Syndicated Loan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960" w:type="dxa"/>
            <w:vAlign w:val="bottom"/>
          </w:tcPr>
          <w:p>
            <w:pPr>
              <w:ind w:left="200"/>
              <w:spacing w:after="0" w:line="149" w:lineRule="exact"/>
              <w:rPr>
                <w:sz w:val="20"/>
                <w:szCs w:val="20"/>
                <w:color w:val="auto"/>
              </w:rPr>
            </w:pPr>
            <w:r>
              <w:rPr>
                <w:rFonts w:ascii="Arial" w:cs="Arial" w:eastAsia="Arial" w:hAnsi="Arial"/>
                <w:sz w:val="14"/>
                <w:szCs w:val="14"/>
                <w:color w:val="auto"/>
              </w:rPr>
              <w:t>(L+7.75%), 10.50% (9.00%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tcPr>
          <w:p>
            <w:pPr>
              <w:ind w:left="200"/>
              <w:spacing w:after="0"/>
              <w:rPr>
                <w:sz w:val="20"/>
                <w:szCs w:val="20"/>
                <w:color w:val="auto"/>
              </w:rPr>
            </w:pPr>
            <w:r>
              <w:rPr>
                <w:rFonts w:ascii="Arial" w:cs="Arial" w:eastAsia="Arial" w:hAnsi="Arial"/>
                <w:sz w:val="14"/>
                <w:szCs w:val="14"/>
                <w:color w:val="auto"/>
                <w:w w:val="98"/>
              </w:rPr>
              <w:t>Cash/1.50% PIK), 8/16/2019</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4,420,900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4,362,266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3,216,647</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Zest Holdings, LLC (d)</w:t>
            </w:r>
          </w:p>
        </w:tc>
        <w:tc>
          <w:tcPr>
            <w:tcW w:w="21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Healthcare Services</w:t>
            </w:r>
          </w:p>
        </w:tc>
        <w:tc>
          <w:tcPr>
            <w:tcW w:w="19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Syndicated Loan</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(L+4.25%), 5.25% Cash,</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8/16/2020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4,207,821</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4,142,093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4,130,692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60" w:type="dxa"/>
            <w:vAlign w:val="bottom"/>
            <w:vMerge w:val="restart"/>
          </w:tcPr>
          <w:p>
            <w:pPr>
              <w:jc w:val="right"/>
              <w:ind w:right="28"/>
              <w:spacing w:after="0"/>
              <w:rPr>
                <w:sz w:val="20"/>
                <w:szCs w:val="20"/>
                <w:color w:val="auto"/>
              </w:rPr>
            </w:pPr>
            <w:r>
              <w:rPr>
                <w:rFonts w:ascii="Arial" w:cs="Arial" w:eastAsia="Arial" w:hAnsi="Arial"/>
                <w:sz w:val="14"/>
                <w:szCs w:val="14"/>
                <w:color w:val="auto"/>
              </w:rPr>
              <w:t>Total Healthcare Services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38,590,960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36,905,146</w:t>
            </w:r>
          </w:p>
        </w:tc>
        <w:tc>
          <w:tcPr>
            <w:tcW w:w="240" w:type="dxa"/>
            <w:vAlign w:val="bottom"/>
            <w:vMerge w:val="continue"/>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w:t>
            </w:r>
          </w:p>
        </w:tc>
        <w:tc>
          <w:tcPr>
            <w:tcW w:w="21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Media</w:t>
            </w:r>
          </w:p>
        </w:tc>
        <w:tc>
          <w:tcPr>
            <w:tcW w:w="19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First Lien Term Loan</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10.00% Cash, 5/16/2019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8,937,982</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8,812,479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8,937,983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HMN Holdco, LLC</w:t>
            </w:r>
          </w:p>
        </w:tc>
        <w:tc>
          <w:tcPr>
            <w:tcW w:w="2160" w:type="dxa"/>
            <w:vAlign w:val="bottom"/>
          </w:tcPr>
          <w:p>
            <w:pPr>
              <w:ind w:left="260"/>
              <w:spacing w:after="0" w:line="130" w:lineRule="exact"/>
              <w:rPr>
                <w:sz w:val="20"/>
                <w:szCs w:val="20"/>
                <w:color w:val="auto"/>
              </w:rPr>
            </w:pPr>
            <w:r>
              <w:rPr>
                <w:rFonts w:ascii="Arial" w:cs="Arial" w:eastAsia="Arial" w:hAnsi="Arial"/>
                <w:sz w:val="14"/>
                <w:szCs w:val="14"/>
                <w:color w:val="auto"/>
              </w:rPr>
              <w:t>Media</w:t>
            </w:r>
          </w:p>
        </w:tc>
        <w:tc>
          <w:tcPr>
            <w:tcW w:w="1960" w:type="dxa"/>
            <w:vAlign w:val="bottom"/>
          </w:tcPr>
          <w:p>
            <w:pPr>
              <w:ind w:left="200"/>
              <w:spacing w:after="0" w:line="130" w:lineRule="exact"/>
              <w:rPr>
                <w:sz w:val="20"/>
                <w:szCs w:val="20"/>
                <w:color w:val="auto"/>
              </w:rPr>
            </w:pPr>
            <w:r>
              <w:rPr>
                <w:rFonts w:ascii="Arial" w:cs="Arial" w:eastAsia="Arial" w:hAnsi="Arial"/>
                <w:sz w:val="14"/>
                <w:szCs w:val="14"/>
                <w:color w:val="auto"/>
              </w:rPr>
              <w:t>First Lien Term Loan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tcPr>
          <w:p>
            <w:pPr>
              <w:ind w:left="200"/>
              <w:spacing w:after="0"/>
              <w:rPr>
                <w:sz w:val="20"/>
                <w:szCs w:val="20"/>
                <w:color w:val="auto"/>
              </w:rPr>
            </w:pPr>
            <w:r>
              <w:rPr>
                <w:rFonts w:ascii="Arial" w:cs="Arial" w:eastAsia="Arial" w:hAnsi="Arial"/>
                <w:sz w:val="14"/>
                <w:szCs w:val="14"/>
                <w:color w:val="auto"/>
              </w:rPr>
              <w:t>10.00% Cash, 5/16/2019</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1,600,000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1,572,821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1,600,000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(g)</w:t>
            </w:r>
          </w:p>
        </w:tc>
        <w:tc>
          <w:tcPr>
            <w:tcW w:w="21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Media</w:t>
            </w:r>
          </w:p>
        </w:tc>
        <w:tc>
          <w:tcPr>
            <w:tcW w:w="19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Class A Series, Expires</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1/16/2025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4,264</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61,647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314,683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HMN Holdco, LLC (g)</w:t>
            </w:r>
          </w:p>
        </w:tc>
        <w:tc>
          <w:tcPr>
            <w:tcW w:w="2160" w:type="dxa"/>
            <w:vAlign w:val="bottom"/>
          </w:tcPr>
          <w:p>
            <w:pPr>
              <w:ind w:left="260"/>
              <w:spacing w:after="0" w:line="130" w:lineRule="exact"/>
              <w:rPr>
                <w:sz w:val="20"/>
                <w:szCs w:val="20"/>
                <w:color w:val="auto"/>
              </w:rPr>
            </w:pPr>
            <w:r>
              <w:rPr>
                <w:rFonts w:ascii="Arial" w:cs="Arial" w:eastAsia="Arial" w:hAnsi="Arial"/>
                <w:sz w:val="14"/>
                <w:szCs w:val="14"/>
                <w:color w:val="auto"/>
              </w:rPr>
              <w:t>Media</w:t>
            </w:r>
          </w:p>
        </w:tc>
        <w:tc>
          <w:tcPr>
            <w:tcW w:w="1960" w:type="dxa"/>
            <w:vAlign w:val="bottom"/>
          </w:tcPr>
          <w:p>
            <w:pPr>
              <w:ind w:left="200"/>
              <w:spacing w:after="0" w:line="130" w:lineRule="exact"/>
              <w:rPr>
                <w:sz w:val="20"/>
                <w:szCs w:val="20"/>
                <w:color w:val="auto"/>
              </w:rPr>
            </w:pPr>
            <w:r>
              <w:rPr>
                <w:rFonts w:ascii="Arial" w:cs="Arial" w:eastAsia="Arial" w:hAnsi="Arial"/>
                <w:sz w:val="14"/>
                <w:szCs w:val="14"/>
                <w:color w:val="auto"/>
              </w:rPr>
              <w:t>Class A Warrant, Expires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tcPr>
          <w:p>
            <w:pPr>
              <w:ind w:left="200"/>
              <w:spacing w:after="0"/>
              <w:rPr>
                <w:sz w:val="20"/>
                <w:szCs w:val="20"/>
                <w:color w:val="auto"/>
              </w:rPr>
            </w:pPr>
            <w:r>
              <w:rPr>
                <w:rFonts w:ascii="Arial" w:cs="Arial" w:eastAsia="Arial" w:hAnsi="Arial"/>
                <w:sz w:val="14"/>
                <w:szCs w:val="14"/>
                <w:color w:val="auto"/>
              </w:rPr>
              <w:t>1/16/2025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30,320</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438,353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1,889,542</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(g)</w:t>
            </w:r>
          </w:p>
        </w:tc>
        <w:tc>
          <w:tcPr>
            <w:tcW w:w="21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Media</w:t>
            </w:r>
          </w:p>
        </w:tc>
        <w:tc>
          <w:tcPr>
            <w:tcW w:w="19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Warrants to Purchase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Limited Liability Company</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Interests (Common), Expires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5/16/2024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57,872</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3,309,121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HMN Holdco, LLC (g)</w:t>
            </w:r>
          </w:p>
        </w:tc>
        <w:tc>
          <w:tcPr>
            <w:tcW w:w="2160" w:type="dxa"/>
            <w:vAlign w:val="bottom"/>
          </w:tcPr>
          <w:p>
            <w:pPr>
              <w:ind w:left="260"/>
              <w:spacing w:after="0" w:line="130" w:lineRule="exact"/>
              <w:rPr>
                <w:sz w:val="20"/>
                <w:szCs w:val="20"/>
                <w:color w:val="auto"/>
              </w:rPr>
            </w:pPr>
            <w:r>
              <w:rPr>
                <w:rFonts w:ascii="Arial" w:cs="Arial" w:eastAsia="Arial" w:hAnsi="Arial"/>
                <w:sz w:val="14"/>
                <w:szCs w:val="14"/>
                <w:color w:val="auto"/>
              </w:rPr>
              <w:t>Media</w:t>
            </w:r>
          </w:p>
        </w:tc>
        <w:tc>
          <w:tcPr>
            <w:tcW w:w="1960" w:type="dxa"/>
            <w:vAlign w:val="bottom"/>
          </w:tcPr>
          <w:p>
            <w:pPr>
              <w:ind w:left="200"/>
              <w:spacing w:after="0" w:line="130" w:lineRule="exact"/>
              <w:rPr>
                <w:sz w:val="20"/>
                <w:szCs w:val="20"/>
                <w:color w:val="auto"/>
              </w:rPr>
            </w:pPr>
            <w:r>
              <w:rPr>
                <w:rFonts w:ascii="Arial" w:cs="Arial" w:eastAsia="Arial" w:hAnsi="Arial"/>
                <w:sz w:val="14"/>
                <w:szCs w:val="14"/>
                <w:color w:val="auto"/>
              </w:rPr>
              <w:t>Warrants to Purchase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960" w:type="dxa"/>
            <w:vAlign w:val="bottom"/>
          </w:tcPr>
          <w:p>
            <w:pPr>
              <w:ind w:left="200"/>
              <w:spacing w:after="0" w:line="149" w:lineRule="exact"/>
              <w:rPr>
                <w:sz w:val="20"/>
                <w:szCs w:val="20"/>
                <w:color w:val="auto"/>
              </w:rPr>
            </w:pPr>
            <w:r>
              <w:rPr>
                <w:rFonts w:ascii="Arial" w:cs="Arial" w:eastAsia="Arial" w:hAnsi="Arial"/>
                <w:sz w:val="14"/>
                <w:szCs w:val="14"/>
                <w:color w:val="auto"/>
              </w:rPr>
              <w:t>Limited Liability Company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tcPr>
          <w:p>
            <w:pPr>
              <w:ind w:left="200"/>
              <w:spacing w:after="0"/>
              <w:rPr>
                <w:sz w:val="20"/>
                <w:szCs w:val="20"/>
                <w:color w:val="auto"/>
              </w:rPr>
            </w:pPr>
            <w:r>
              <w:rPr>
                <w:rFonts w:ascii="Arial" w:cs="Arial" w:eastAsia="Arial" w:hAnsi="Arial"/>
                <w:sz w:val="14"/>
                <w:szCs w:val="14"/>
                <w:color w:val="auto"/>
                <w:w w:val="99"/>
              </w:rPr>
              <w:t>Interests, Expires 5/16/2024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8,139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523,012</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9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Media</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10,885,300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16,574,341</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4"/>
                <w:szCs w:val="14"/>
                <w:color w:val="auto"/>
              </w:rPr>
              <w:t>Elyria Foundry Company, L.L.C. (d), (g)</w:t>
            </w:r>
          </w:p>
        </w:tc>
        <w:tc>
          <w:tcPr>
            <w:tcW w:w="2160" w:type="dxa"/>
            <w:vAlign w:val="bottom"/>
            <w:vMerge w:val="restart"/>
          </w:tcPr>
          <w:p>
            <w:pPr>
              <w:ind w:left="260"/>
              <w:spacing w:after="0"/>
              <w:rPr>
                <w:sz w:val="20"/>
                <w:szCs w:val="20"/>
                <w:color w:val="auto"/>
              </w:rPr>
            </w:pPr>
            <w:r>
              <w:rPr>
                <w:rFonts w:ascii="Arial" w:cs="Arial" w:eastAsia="Arial" w:hAnsi="Arial"/>
                <w:sz w:val="14"/>
                <w:szCs w:val="14"/>
                <w:color w:val="auto"/>
              </w:rPr>
              <w:t>Metals</w:t>
            </w:r>
          </w:p>
        </w:tc>
        <w:tc>
          <w:tcPr>
            <w:tcW w:w="1960" w:type="dxa"/>
            <w:vAlign w:val="bottom"/>
            <w:vMerge w:val="restart"/>
          </w:tcPr>
          <w:p>
            <w:pPr>
              <w:ind w:left="20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35,000</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gridSpan w:val="2"/>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9,217,564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2,026,150</w:t>
            </w:r>
          </w:p>
        </w:tc>
        <w:tc>
          <w:tcPr>
            <w:tcW w:w="24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Elyria Foundry Company, L.L.C. (d)</w:t>
            </w:r>
          </w:p>
        </w:tc>
        <w:tc>
          <w:tcPr>
            <w:tcW w:w="21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Metals</w:t>
            </w:r>
          </w:p>
        </w:tc>
        <w:tc>
          <w:tcPr>
            <w:tcW w:w="19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Revolver 10.00% Cash,</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3/31/2017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8,500,000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8,500,000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60" w:type="dxa"/>
            <w:vAlign w:val="bottom"/>
            <w:vMerge w:val="restart"/>
          </w:tcPr>
          <w:p>
            <w:pPr>
              <w:jc w:val="right"/>
              <w:ind w:right="28"/>
              <w:spacing w:after="0"/>
              <w:rPr>
                <w:sz w:val="20"/>
                <w:szCs w:val="20"/>
                <w:color w:val="auto"/>
              </w:rPr>
            </w:pPr>
            <w:r>
              <w:rPr>
                <w:rFonts w:ascii="Arial" w:cs="Arial" w:eastAsia="Arial" w:hAnsi="Arial"/>
                <w:sz w:val="14"/>
                <w:szCs w:val="14"/>
                <w:color w:val="auto"/>
              </w:rPr>
              <w:t>Total Metals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17,717,564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10,526,150</w:t>
            </w:r>
          </w:p>
        </w:tc>
        <w:tc>
          <w:tcPr>
            <w:tcW w:w="240" w:type="dxa"/>
            <w:vAlign w:val="bottom"/>
            <w:vMerge w:val="continue"/>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Mercury Network, LLC</w:t>
            </w:r>
          </w:p>
        </w:tc>
        <w:tc>
          <w:tcPr>
            <w:tcW w:w="21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Real Estate</w:t>
            </w:r>
          </w:p>
        </w:tc>
        <w:tc>
          <w:tcPr>
            <w:tcW w:w="19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First Lien Term Loan</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(L+9.25%), 9.75% Cash,</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4/24/2020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9,025,000</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8,944,211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9,025,000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Mercury Network, LLC (g)</w:t>
            </w:r>
          </w:p>
        </w:tc>
        <w:tc>
          <w:tcPr>
            <w:tcW w:w="2160" w:type="dxa"/>
            <w:vAlign w:val="bottom"/>
          </w:tcPr>
          <w:p>
            <w:pPr>
              <w:ind w:left="260"/>
              <w:spacing w:after="0" w:line="149" w:lineRule="exact"/>
              <w:rPr>
                <w:sz w:val="20"/>
                <w:szCs w:val="20"/>
                <w:color w:val="auto"/>
              </w:rPr>
            </w:pPr>
            <w:r>
              <w:rPr>
                <w:rFonts w:ascii="Arial" w:cs="Arial" w:eastAsia="Arial" w:hAnsi="Arial"/>
                <w:sz w:val="14"/>
                <w:szCs w:val="14"/>
                <w:color w:val="auto"/>
              </w:rPr>
              <w:t>Real Estate</w:t>
            </w:r>
          </w:p>
        </w:tc>
        <w:tc>
          <w:tcPr>
            <w:tcW w:w="196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413,043</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413,043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512,173</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9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Real Estate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9,357,254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9,537,173</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 Total Non-control/Non-affiliated investments</w:t>
            </w:r>
          </w:p>
        </w:tc>
        <w:tc>
          <w:tcPr>
            <w:tcW w:w="2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40" w:type="dxa"/>
            <w:vAlign w:val="bottom"/>
            <w:gridSpan w:val="2"/>
            <w:vMerge w:val="continue"/>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268,145,090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271,168,186</w:t>
            </w:r>
          </w:p>
        </w:tc>
        <w:tc>
          <w:tcPr>
            <w:tcW w:w="240" w:type="dxa"/>
            <w:vAlign w:val="bottom"/>
            <w:vMerge w:val="continue"/>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investments—10.3% (b)</w:t>
            </w:r>
          </w:p>
        </w:tc>
        <w:tc>
          <w:tcPr>
            <w:tcW w:w="216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Saratoga Investment Corp. CLO 2013-1,</w:t>
            </w:r>
          </w:p>
        </w:tc>
        <w:tc>
          <w:tcPr>
            <w:tcW w:w="2160" w:type="dxa"/>
            <w:vAlign w:val="bottom"/>
          </w:tcPr>
          <w:p>
            <w:pPr>
              <w:ind w:left="260"/>
              <w:spacing w:after="0" w:line="130" w:lineRule="exact"/>
              <w:rPr>
                <w:sz w:val="20"/>
                <w:szCs w:val="20"/>
                <w:color w:val="auto"/>
              </w:rPr>
            </w:pPr>
            <w:r>
              <w:rPr>
                <w:rFonts w:ascii="Arial" w:cs="Arial" w:eastAsia="Arial" w:hAnsi="Arial"/>
                <w:sz w:val="14"/>
                <w:szCs w:val="14"/>
                <w:color w:val="auto"/>
              </w:rPr>
              <w:t>Structured Finance Securities</w:t>
            </w:r>
          </w:p>
        </w:tc>
        <w:tc>
          <w:tcPr>
            <w:tcW w:w="1960" w:type="dxa"/>
            <w:vAlign w:val="bottom"/>
          </w:tcPr>
          <w:p>
            <w:pPr>
              <w:ind w:left="200"/>
              <w:spacing w:after="0" w:line="130" w:lineRule="exact"/>
              <w:rPr>
                <w:sz w:val="20"/>
                <w:szCs w:val="20"/>
                <w:color w:val="auto"/>
              </w:rPr>
            </w:pPr>
            <w:r>
              <w:rPr>
                <w:rFonts w:ascii="Arial" w:cs="Arial" w:eastAsia="Arial" w:hAnsi="Arial"/>
                <w:sz w:val="14"/>
                <w:szCs w:val="14"/>
                <w:color w:val="auto"/>
              </w:rPr>
              <w:t>Other/Structured Finance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40"/>
              <w:spacing w:after="0" w:line="149" w:lineRule="exact"/>
              <w:rPr>
                <w:sz w:val="20"/>
                <w:szCs w:val="20"/>
                <w:color w:val="auto"/>
              </w:rPr>
            </w:pPr>
            <w:r>
              <w:rPr>
                <w:rFonts w:ascii="Arial" w:cs="Arial" w:eastAsia="Arial" w:hAnsi="Arial"/>
                <w:sz w:val="14"/>
                <w:szCs w:val="14"/>
                <w:color w:val="auto"/>
              </w:rPr>
              <w:t>Ltd. (a), (d), (e), (f)</w:t>
            </w:r>
          </w:p>
        </w:tc>
        <w:tc>
          <w:tcPr>
            <w:tcW w:w="2160" w:type="dxa"/>
            <w:vAlign w:val="bottom"/>
          </w:tcPr>
          <w:p>
            <w:pPr>
              <w:spacing w:after="0"/>
              <w:rPr>
                <w:sz w:val="12"/>
                <w:szCs w:val="12"/>
                <w:color w:val="auto"/>
              </w:rPr>
            </w:pPr>
          </w:p>
        </w:tc>
        <w:tc>
          <w:tcPr>
            <w:tcW w:w="1960" w:type="dxa"/>
            <w:vAlign w:val="bottom"/>
          </w:tcPr>
          <w:p>
            <w:pPr>
              <w:ind w:left="200"/>
              <w:spacing w:after="0" w:line="149" w:lineRule="exact"/>
              <w:rPr>
                <w:sz w:val="20"/>
                <w:szCs w:val="20"/>
                <w:color w:val="auto"/>
              </w:rPr>
            </w:pPr>
            <w:r>
              <w:rPr>
                <w:rFonts w:ascii="Arial" w:cs="Arial" w:eastAsia="Arial" w:hAnsi="Arial"/>
                <w:sz w:val="14"/>
                <w:szCs w:val="14"/>
                <w:color w:val="auto"/>
              </w:rPr>
              <w:t>Securities 16.14%,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tcPr>
          <w:p>
            <w:pPr>
              <w:ind w:left="200"/>
              <w:spacing w:after="0"/>
              <w:rPr>
                <w:sz w:val="20"/>
                <w:szCs w:val="20"/>
                <w:color w:val="auto"/>
              </w:rPr>
            </w:pPr>
            <w:r>
              <w:rPr>
                <w:rFonts w:ascii="Arial" w:cs="Arial" w:eastAsia="Arial" w:hAnsi="Arial"/>
                <w:sz w:val="14"/>
                <w:szCs w:val="14"/>
                <w:color w:val="auto"/>
              </w:rPr>
              <w:t>10/17/2023</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w w:val="88"/>
              </w:rPr>
              <w:t>30,000,000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13,030,751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12,827,980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 Total Control investments</w:t>
            </w:r>
          </w:p>
        </w:tc>
        <w:tc>
          <w:tcPr>
            <w:tcW w:w="216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13,030,751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12,827,980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INVESTMENTS—226.9% (b)</w:t>
            </w:r>
          </w:p>
        </w:tc>
        <w:tc>
          <w:tcPr>
            <w:tcW w:w="2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281,175,841</w:t>
            </w:r>
          </w:p>
        </w:tc>
        <w:tc>
          <w:tcPr>
            <w:tcW w:w="120" w:type="dxa"/>
            <w:vAlign w:val="bottom"/>
          </w:tcPr>
          <w:p>
            <w:pPr>
              <w:spacing w:after="0"/>
              <w:rPr>
                <w:sz w:val="14"/>
                <w:szCs w:val="14"/>
                <w:color w:val="auto"/>
              </w:rPr>
            </w:pP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u w:val="single" w:color="auto"/>
                <w:color w:val="auto"/>
              </w:rPr>
              <w:t>$</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283,996,166</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226.9%</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Principal</w:t>
            </w:r>
          </w:p>
        </w:tc>
        <w:tc>
          <w:tcPr>
            <w:tcW w:w="80" w:type="dxa"/>
            <w:vAlign w:val="bottom"/>
          </w:tcPr>
          <w:p>
            <w:pPr>
              <w:spacing w:after="0"/>
              <w:rPr>
                <w:sz w:val="24"/>
                <w:szCs w:val="24"/>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Fair Value</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Cash and cash equivalents and cash and cash</w:t>
            </w:r>
          </w:p>
        </w:tc>
        <w:tc>
          <w:tcPr>
            <w:tcW w:w="2160" w:type="dxa"/>
            <w:vAlign w:val="bottom"/>
            <w:tcBorders>
              <w:top w:val="single" w:sz="8" w:color="CCEEFF"/>
            </w:tcBorders>
            <w:shd w:val="clear" w:color="auto" w:fill="CCEEFF"/>
          </w:tcPr>
          <w:p>
            <w:pPr>
              <w:spacing w:after="0"/>
              <w:rPr>
                <w:sz w:val="9"/>
                <w:szCs w:val="9"/>
                <w:color w:val="auto"/>
              </w:rPr>
            </w:pPr>
          </w:p>
        </w:tc>
        <w:tc>
          <w:tcPr>
            <w:tcW w:w="19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equivalents, reserve accounts—5.6% (b)</w:t>
            </w:r>
          </w:p>
        </w:tc>
        <w:tc>
          <w:tcPr>
            <w:tcW w:w="216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U.S. Bank Money Market (l)</w:t>
            </w:r>
          </w:p>
        </w:tc>
        <w:tc>
          <w:tcPr>
            <w:tcW w:w="2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7,034,783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7,034,783</w:t>
            </w:r>
          </w:p>
        </w:tc>
        <w:tc>
          <w:tcPr>
            <w:tcW w:w="12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7,034,783</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3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5"/>
              </w:rPr>
              <w:t>Total cash and cash equivalents and cash and cash</w:t>
            </w:r>
          </w:p>
        </w:tc>
        <w:tc>
          <w:tcPr>
            <w:tcW w:w="216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w w:val="99"/>
              </w:rPr>
              <w:t>7,034,783</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7,034,783</w:t>
            </w:r>
          </w:p>
        </w:tc>
        <w:tc>
          <w:tcPr>
            <w:tcW w:w="12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7,034,783</w:t>
            </w: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equivalents, reserve accounts</w:t>
            </w:r>
          </w:p>
        </w:tc>
        <w:tc>
          <w:tcPr>
            <w:tcW w:w="216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300" w:hanging="452"/>
        <w:spacing w:after="0" w:line="291"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Represents a non-qualifying investment as defined under Section 55(a) of the Investment Company Act of 1940, as amended. Non-qualifying assets represent 5.2% of the Company’s portfolio at fair value. As a BDC, the Company can only invest 30% of its portfolio in non-qualifying assets.</w:t>
      </w: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Percentages are based on net assets of $125,149,875 as of February 29, 2016.</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7 to the consolidated financial statements).</w:t>
      </w:r>
    </w:p>
    <w:p>
      <w:pPr>
        <w:spacing w:after="0" w:line="20" w:lineRule="exact"/>
        <w:rPr>
          <w:rFonts w:ascii="Arial" w:cs="Arial" w:eastAsia="Arial" w:hAnsi="Arial"/>
          <w:sz w:val="17"/>
          <w:szCs w:val="17"/>
          <w:color w:val="auto"/>
        </w:rPr>
      </w:pPr>
    </w:p>
    <w:p>
      <w:pPr>
        <w:ind w:left="460" w:right="260" w:hanging="452"/>
        <w:spacing w:after="0" w:line="281"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16.14% interest rate in the table above represents the effective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4"/>
                <w:szCs w:val="14"/>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7"/>
              </w:rPr>
              <w:t>Sales</w:t>
            </w:r>
          </w:p>
        </w:tc>
        <w:tc>
          <w:tcPr>
            <w:tcW w:w="26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26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Management</w:t>
            </w:r>
          </w:p>
        </w:tc>
        <w:tc>
          <w:tcPr>
            <w:tcW w:w="2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Purchases</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Redemptions</w:t>
            </w:r>
          </w:p>
        </w:tc>
        <w:tc>
          <w:tcPr>
            <w:tcW w:w="2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Gains/</w:t>
            </w:r>
          </w:p>
        </w:tc>
        <w:tc>
          <w:tcPr>
            <w:tcW w:w="2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490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8"/>
              </w:rPr>
              <w:t>(Cost)</w:t>
            </w: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Fee Income</w:t>
            </w:r>
          </w:p>
        </w:tc>
        <w:tc>
          <w:tcPr>
            <w:tcW w:w="2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6"/>
              </w:rPr>
              <w:t>(Losses)</w:t>
            </w:r>
          </w:p>
        </w:tc>
        <w:tc>
          <w:tcPr>
            <w:tcW w:w="26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Saratoga</w:t>
            </w:r>
          </w:p>
        </w:tc>
        <w:tc>
          <w:tcPr>
            <w:tcW w:w="43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Investment Corp. CLO 2013-1, Ltd.</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$2,665,648</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$1,494,779</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$(1,280,916)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Non-income producing at February 29,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securities issued by an affiliate of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Non-U.S. company. The principal place of business for Polar Holding Company, Ltd. is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investment has an unfunded commitment as of February 29, 2016 (see Note 8 to the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entire commitment was unfunded at February 29, 2016. As such, no interest is being earned on this investment.</w:t>
      </w:r>
    </w:p>
    <w:p>
      <w:pPr>
        <w:spacing w:after="0" w:line="9"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Included within cash and cash equivalents and cash and cash equivalents, reserve accounts in the Company’s Consolidated Statements of Assets and Liabilities as of February 29, 2016.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60" w:orient="portrait"/>
          <w:cols w:equalWidth="0" w:num="1">
            <w:col w:w="11420"/>
          </w:cols>
          <w:pgMar w:left="240" w:top="459" w:right="239" w:bottom="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 the year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For the year</w:t>
            </w:r>
          </w:p>
        </w:tc>
        <w:tc>
          <w:tcPr>
            <w:tcW w:w="8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For the year</w:t>
            </w: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ended</w:t>
            </w: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February 29,</w:t>
            </w:r>
          </w:p>
        </w:tc>
        <w:tc>
          <w:tcPr>
            <w:tcW w:w="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February 28,</w:t>
            </w:r>
          </w:p>
        </w:tc>
      </w:tr>
      <w:tr>
        <w:trPr>
          <w:trHeight w:val="171"/>
        </w:trPr>
        <w:tc>
          <w:tcPr>
            <w:tcW w:w="20" w:type="dxa"/>
            <w:vAlign w:val="bottom"/>
          </w:tcPr>
          <w:p>
            <w:pPr>
              <w:spacing w:after="0"/>
              <w:rPr>
                <w:sz w:val="14"/>
                <w:szCs w:val="14"/>
                <w:color w:val="auto"/>
              </w:rPr>
            </w:pPr>
          </w:p>
        </w:tc>
        <w:tc>
          <w:tcPr>
            <w:tcW w:w="7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INCREASE FROM OPERATIONS: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9,660,810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10,678,332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9,673,850</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from investments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12,368,115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226,252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3,276,450</w:t>
            </w: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Net unrealized appreciation (depreciation) on investments</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(10,641,444)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740,974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(1,942,936)</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in net assets from operations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11,387,481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11,645,558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11,007,364</w:t>
            </w: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DECREASE FROM SHAREHOLDER DISTRIBUTIONS: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declared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(11,057,075)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(13,045,149)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(2,156,740)</w:t>
            </w:r>
          </w:p>
        </w:tc>
      </w:tr>
      <w:tr>
        <w:trPr>
          <w:trHeight w:val="230"/>
        </w:trPr>
        <w:tc>
          <w:tcPr>
            <w:tcW w:w="20" w:type="dxa"/>
            <w:vAlign w:val="bottom"/>
          </w:tcPr>
          <w:p>
            <w:pPr>
              <w:spacing w:after="0"/>
              <w:rPr>
                <w:sz w:val="20"/>
                <w:szCs w:val="20"/>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Net decrease in net assets from shareholder distributions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(11,057,075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(13,045,149</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(2,156,740)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CAPITAL SHARE TRANSACTIONS: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Stock dividend distribution</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5,147,335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4,665,447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320,189</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(3,332,839)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(356,792)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(357,931)</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in net assets from capital share transactions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1,814,496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3,950,724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320,189</w:t>
            </w:r>
          </w:p>
        </w:tc>
      </w:tr>
      <w:tr>
        <w:trPr>
          <w:trHeight w:val="223"/>
        </w:trPr>
        <w:tc>
          <w:tcPr>
            <w:tcW w:w="20" w:type="dxa"/>
            <w:vAlign w:val="bottom"/>
          </w:tcPr>
          <w:p>
            <w:pPr>
              <w:spacing w:after="0"/>
              <w:rPr>
                <w:sz w:val="19"/>
                <w:szCs w:val="19"/>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Total increase in net assets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2,144,902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2,551,133</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9,170,813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125,149,875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122,598,742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113,427,929</w:t>
            </w: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127,294,777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125,149,875</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122,598,742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w:t>
            </w: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5,794,600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5,672,227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5,401,899</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Distribution in excess of 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(27,737,348)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(26,217,902)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(23,905,603)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For the year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For the year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February 29,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11,387,481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11,645,558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11,007,364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INCREASE IN NET ASSETS FROM</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TO NET CASH PROVIDED BY (USED IN) OPERATING ACTIVITIES: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Payment-in-kind interest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(580,268)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(966,906)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(1,204,458)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accretion of discount on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(582,186)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(507,180)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Amortization of deferred debt financing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2,487,716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913,773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929,773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from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(12,368,115)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(226,252)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Net unrealized (appreciation) depreciation on 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10,641,444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(740,974)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1,942,936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and repayments of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121,158,873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68,174,143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73,257,332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Purchase of 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(126,934,895)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(109,191,262)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(104,872,326)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operating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Interest receivable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(98,531)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(726,521)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Management fee receivable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70,488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(128,370)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Receivable from unsettled trades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Increase (decrease) in operating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Base management and incentive fees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220,736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(241,985)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(99,719)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73,141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and debt fees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1,212,168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146,603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Payable for repurchases of common stock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(20,957)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Directors fees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Due to manager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179,412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(147,727)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(32,334)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6,739,516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(32,222,062)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(21,716,672)</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Borrowings on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35,260,000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Paydowns on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(20,200,000)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Issuance of notes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74,450,500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13,493,125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Repayments of notes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(61,793,125)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Payments of deferred debt financing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(3,225,528)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(1,096,556)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(3,332,839)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(356,792)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Payments of cash dividends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(6,785,339)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(7,906,304)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(1,434,349)</w:t>
            </w:r>
          </w:p>
        </w:tc>
        <w:tc>
          <w:tcPr>
            <w:tcW w:w="0" w:type="dxa"/>
            <w:vAlign w:val="bottom"/>
          </w:tcPr>
          <w:p>
            <w:pPr>
              <w:spacing w:after="0"/>
              <w:rPr>
                <w:sz w:val="1"/>
                <w:szCs w:val="1"/>
                <w:color w:val="auto"/>
              </w:rPr>
            </w:pPr>
          </w:p>
        </w:tc>
      </w:tr>
      <w:tr>
        <w:trPr>
          <w:trHeight w:val="230"/>
        </w:trPr>
        <w:tc>
          <w:tcPr>
            <w:tcW w:w="70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8,313,669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19,193,473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35,193,033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(DECREASE) IN CASH AND CASH EQUIVALENTS AND CASH AND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EQUIVALENTS, RESERVE ACCOUNTS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15,053,185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(13,028,589)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13,476,361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tcPr>
          <w:p>
            <w:pPr>
              <w:spacing w:after="0" w:line="201" w:lineRule="exact"/>
              <w:rPr>
                <w:sz w:val="20"/>
                <w:szCs w:val="20"/>
                <w:color w:val="auto"/>
              </w:rPr>
            </w:pPr>
            <w:r>
              <w:rPr>
                <w:rFonts w:ascii="Arial" w:cs="Arial" w:eastAsia="Arial" w:hAnsi="Arial"/>
                <w:sz w:val="18"/>
                <w:szCs w:val="18"/>
                <w:color w:val="auto"/>
                <w:w w:val="99"/>
              </w:rPr>
              <w:t>CASH AND CASH EQUIVALENTS AND CASH AND CASH EQUIVALENTS, RESERVE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ACCOUNTS, BEGINNING OF PERIOD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7,034,783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20,063,372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6,587,011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CASH AND CASH EQUIVALENTS AND CASH AND CASH EQUIVALENTS, RESERVE</w:t>
            </w: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END OF PERIOD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22,087,968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7,034,783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20,063,372</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Supplemental information:</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 during the period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7,642,838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7,396,091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5,912,862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Cash paid for taxes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144,247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293,953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Supplemental non-cash information: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Payment-in-kind interest income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580,268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966,906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accretion of discount on investments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582,186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507,180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Amortization of deferred debt financing costs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2,487,716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913,773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929,773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dividend distribution</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5,147,335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4,665,447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320,189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February 28,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Saratoga Investment Corp. (the “Company”, “we”, “our” and “us”) is a non-diversified closed end management investment company incorporated in Maryland that has elected to be treated and is regulated as a business development company (“BDC”) under the Investment Company Act of 1940 (the “1940 Act”). The Company commenced operations on March 23, 2007 as GSC Investment Corp. and completed the initial public offering (“IPO”) on March 28, 2007. The Company has elected to be treated as a regulated investment company (“RIC”) under subchapter M of the Internal Revenue Code (the “Code”). The Company expects to continue to qualify and to elect to be treated, for tax purposes, as a RIC. The Company’s investment objective is to generate current income and, to a lesser extent, capital appreciation from its investments.</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GSC Investment, LLC (the “LLC”) was organized in May 2006 as a Maryland limited liability company. As of February 28, 2007, the LLC had not yet commenced its operations and investment activities.</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March 21, 2007, the Company was incorporated and concurrently therewith the LLC was merged with and into the Company, with the Company as the surviving entity, in accordance with the procedure for such merger in the LLC’s limited liability company agreement and Maryland law. In connection with such merger, each outstanding limited liability company interest of the LLC was converted into a share of common stock of the Company.</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July 30, 2010, the Company changed its name from “GSC Investment Corp.” to “Saratoga Investment Corp.” in connection with the consummation of a recapitalization transaction.</w:t>
      </w:r>
    </w:p>
    <w:p>
      <w:pPr>
        <w:spacing w:after="0" w:line="170"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The Company is externally managed and advised by the investment adviser, Saratoga Investment Advisors, LLC (the “Manager”), pursuant to a management agreement (the “Management Agreement”). Prior to July 30, 2010, the Company was managed and advised by GSCP (NJ), L.P.</w:t>
      </w:r>
    </w:p>
    <w:p>
      <w:pPr>
        <w:spacing w:after="0" w:line="124"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Company has established wholly-owned subsidiaries, SIA Avionte, Inc., SIA Easy Ice, LLC, SIA GH, Inc., SIA Mercury, Inc., SIA TT Inc., and SIA Vector Inc., which are structured as Delaware entities, or tax blockers, to hold equity or equity-like investments in portfolio companies organized as limited liability companies, or LLCs (or other forms of pass through entities). Tax blockers are consolidated for accounting purposes, but are not consolidated for income tax purposes and may incur income tax expense as a result of their ownership of portfolio companies.</w:t>
      </w:r>
    </w:p>
    <w:p>
      <w:pPr>
        <w:spacing w:after="0" w:line="17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Small Business Investment Company (“SBIC”) license from the Small Business Administration (“SBA”).</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April 2, 2015, the SBA issued a “green light” letter inviting the Company to continue the application process to obtain a license to form and operate its second SBIC subsidiary. On September 27, 2016, the SBA informed us that as part of their continued review of our application for a second license, and in order to ensure that they were reviewing the most current information available, we would need to update all previously submitted materials and invited us to reapply. As a result of this request, with which we are in the process of complying, the existing “green light” letter that the SBA issued to us has expired. If approved in the future, a second SBIC license would provide us an incremental source of long-term capital by permitting us to issue up to $150.0 million of additional SBA-guaranteed debentures in addition to the $150.0 million already approved under the first license.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accompanying consolidated financial statements have been prepared on the accrual basis of accounting in conformity with U.S. generally accepted accounting principles (“U.S. GAAP”), are stated in U.S. Dollars and include the accounts of the Company and its special purpose financing subsidiary, Saratoga Investment Funding, LLC (previously known as GSC Investment Funding LLC), SBIC LP, SIA Avionte, Inc., SIA Easy Ice, LLC, SIA GH, Inc., SIA Mercury, Inc., SIA TT Inc., and SIA Vector Inc. All intercompany accounts and transactions have been eliminated in consolidation. All references made to the “Company,” “we,” and “us” herein include Saratoga Investment Corp. and its consolidated subsidiaries, except as stated otherwise.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The Company and SBIC LP are both considered to be investment companies for financial reporting purposes and have applied the guidance in the Financial Accounting Standards Board (“FASB”) Accounting Standards Codification (“ASC”) Topic 946, “</w:t>
      </w:r>
      <w:r>
        <w:rPr>
          <w:rFonts w:ascii="Arial" w:cs="Arial" w:eastAsia="Arial" w:hAnsi="Arial"/>
          <w:sz w:val="16"/>
          <w:szCs w:val="16"/>
          <w:i w:val="1"/>
          <w:iCs w:val="1"/>
          <w:color w:val="auto"/>
        </w:rPr>
        <w:t>Financial Services — Investment Companies</w:t>
      </w:r>
      <w:r>
        <w:rPr>
          <w:rFonts w:ascii="Arial" w:cs="Arial" w:eastAsia="Arial" w:hAnsi="Arial"/>
          <w:sz w:val="16"/>
          <w:szCs w:val="16"/>
          <w:color w:val="auto"/>
        </w:rPr>
        <w:t>” (“ASC 946”). There have been no changes to the Company or SBIC LP’s status as investment companies during the year ended February 28,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preparation of the accompanying consolidated financial statements in conformity with U.S. GAAP requires management to make estimates and assumptions that affect the reported amounts of assets and liabilities, and disclosure of contingent assets and liabilities at the date of the financial statements, and income, gains (losses) and expenses during the period reported. Actual results could differ materially from those estimates.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Cash and cash equivalents include short-term, liquid investments in a money market fund. Cash and cash equivalents are carried at cost which approximates fair value. Per section 12(d)(1)(A) of the 1940 Act, the Company may not invest in another registered investment company such as, a money market fund if such investment would cause the Company to exceed any of the following limitations:</w:t>
      </w:r>
    </w:p>
    <w:p>
      <w:pPr>
        <w:spacing w:after="0" w:line="87"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were to own more than 3.0% of the total outstanding voting stock of the money market fund;</w:t>
      </w:r>
    </w:p>
    <w:p>
      <w:pPr>
        <w:spacing w:after="0" w:line="130" w:lineRule="exact"/>
        <w:rPr>
          <w:rFonts w:ascii="Arial" w:cs="Arial" w:eastAsia="Arial" w:hAnsi="Arial"/>
          <w:sz w:val="18"/>
          <w:szCs w:val="18"/>
          <w:color w:val="auto"/>
        </w:rPr>
      </w:pPr>
    </w:p>
    <w:p>
      <w:pPr>
        <w:ind w:left="900" w:right="540" w:hanging="325"/>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were to hold securities in the money market fund having an aggregate value in excess of 5.0% of the value of our total assets, except as allowed pursuant to Rule 12d1-1 of Section 12(d)(1) of the 1940 Act which is designed to permit “cash sweep” arrangements rather than investments directly in short-term instruments; or</w:t>
      </w:r>
    </w:p>
    <w:p>
      <w:pPr>
        <w:spacing w:after="0" w:line="86"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were to hold securities in money market funds and other registered investment companies and BDCs having an aggregate value in excess of 10.0% of the value of our total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28, 2017, the Company did not exceed any of these limitations.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Reserve Accounts</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Cash and cash equivalents, reserve accounts include amounts held in designated bank accounts in the form of cash and short-term liquid investments in money market funds, representing payments received on secured investments or other reserved amounts associated with the Company’s $45.0 million senior secured revolving credit facility with Madison Capital Funding LLC. The Company is required to use these amounts to pay interest expense, reduce borrowings, or pay other amounts in accordance with the terms of the senior secured revolving credit facility.</w:t>
      </w:r>
    </w:p>
    <w:p>
      <w:pPr>
        <w:spacing w:after="0" w:line="17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addition, cash and cash equivalents, reserve accounts also include amounts held in designated bank accounts, in the form of cash and short-term liquid investments in money market funds, within our wholly-owned subsidiary, SBIC LP.</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In November 2016, the FASB issued Accounting Standards Update (“ASU”) 2016-18, Statement of Cash Flows (Topic 230): </w:t>
      </w:r>
      <w:r>
        <w:rPr>
          <w:rFonts w:ascii="Arial" w:cs="Arial" w:eastAsia="Arial" w:hAnsi="Arial"/>
          <w:sz w:val="17"/>
          <w:szCs w:val="17"/>
          <w:i w:val="1"/>
          <w:iCs w:val="1"/>
          <w:color w:val="auto"/>
        </w:rPr>
        <w:t>Restricted Cash</w:t>
      </w:r>
      <w:r>
        <w:rPr>
          <w:rFonts w:ascii="Arial" w:cs="Arial" w:eastAsia="Arial" w:hAnsi="Arial"/>
          <w:sz w:val="17"/>
          <w:szCs w:val="17"/>
          <w:color w:val="auto"/>
        </w:rPr>
        <w:t xml:space="preserve"> (“ASU 2016-18”). ASU 2016-18 requires that the statements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statements of cash flows. The new guidance is effective for fiscal years, and interim periods within those fiscal years, beginning after December 15, 2017, and early adoption is permitted and is to be applied on a retrospective basis. The Company has adopted the provisions of ASU 2016-18 as of November 30, 2016. The adoption of the provisions of ASU 2016-18 did not materially impact the Company’s consolidated financial position or results of operations. Prior period amounts were reclassified to conform to the current period presentation.</w:t>
      </w:r>
    </w:p>
    <w:p>
      <w:pPr>
        <w:spacing w:after="0" w:line="179"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The following table provides a reconciliation of cash and cash equivalents and cash and cash equivalents, reserve accounts reported within the consolidated statements of assets and liabilities that sum to the total of the same such amounts shown in the consolidated statements of cash flows: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February 28,</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3"/>
              </w:rPr>
              <w:t>February 29,</w:t>
            </w:r>
          </w:p>
        </w:tc>
        <w:tc>
          <w:tcPr>
            <w:tcW w:w="36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February 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00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9,306,543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$2,440,277</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1,888,158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and cash equivalents, reserve accounts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12,781,425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4,594,506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18,175,214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 and cash and cash equivalents, reserve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22,087,968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7,034,783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20,063,372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Company classifies its investments in accordance with the requirements of the 1940 Act. Under the 1940 Act, “Control Investments” are defined as investments in companies in which we own more than 25.0% of the voting securities or maintain greater than 50.0% of the board representation. Under the 1940 Act, “Affiliated Investments” are defined as those non-control investments in companies in which we own between 5.0% and 25.0% of the voting securities. Under the 1940 Act, “Non-affiliated Investments” are defined as investments that are neither Control Investments nor Affiliated Investments.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The Company accounts for its investments at fair value in accordance with the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balance sheet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7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our Manager,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6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Company undertakes a multi-step valuation process each quarter when valuing investments for which market quotations are not readily available, as described below:</w:t>
      </w:r>
    </w:p>
    <w:p>
      <w:pPr>
        <w:spacing w:after="0" w:line="76" w:lineRule="exact"/>
        <w:rPr>
          <w:sz w:val="20"/>
          <w:szCs w:val="20"/>
          <w:color w:val="auto"/>
        </w:rPr>
      </w:pPr>
    </w:p>
    <w:p>
      <w:pPr>
        <w:ind w:left="900" w:right="54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75"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independently reviews a selection of these preliminary valuations each quarter so that the valuation of each investment for which market quotes are not readily available is reviewed by the independent valuation firm at least once each fiscal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900" w:right="8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and approves each preliminary valuation and our Manager and independent valuation firm (if applicable) will supplement the preliminary valuation to reflect any comments provided by the audit committee; and</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approves the fair value of each investment, in good faith, based on the input of our Manager, independent valuation firm (to the extent applicable) and the audit committee of our board of directors.</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Company’s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rates and prepayment rates in order to arrive at estimated valuations. The assumptions are based on available market data and projections provided by third parties as well as management estimates. The Company uses the output from the Intex models (i.e., the estimated cash flows) to perform a discounted cash flow analysis on expected future cash flows to determine a valuation for our investment in Saratoga CLO.</w:t>
      </w:r>
    </w:p>
    <w:p>
      <w:pPr>
        <w:spacing w:after="0" w:line="193"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The Company’s net asset value could be materially affected if the determinations regarding the fair value of our investments were materially higher or lower than the values that we ultimately realize upon the disposal of such investments.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The Company accounts for derivative financial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recognizing all derivative instruments as either assets or liabilities on the consolidated statements of assets and liabilities at fair value. The Company values derivative contracts at the closing fair value provided by the counterparty. Changes in the values of derivative contracts are included in the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Transactions and Income Recognition</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 of premiums on investments.</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Interest income on our investment in Saratoga CLO is recorded using the effective interest method in accordance with the provisions of ASC</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(“ASC 325-40”),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Other income includes dividends received, origination fees, structuring fees and advisory fees, and is recorded in the consolidated statements of operations when earned.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Financing Costs</w:t>
      </w:r>
    </w:p>
    <w:p>
      <w:pPr>
        <w:spacing w:after="0" w:line="12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Financing costs incurred in connection with our credit facility and notes are deferred and amortized using the straight line method over the life of the respective facility and debt securities. Financing costs incurred in connection with our SBA debentures are deferred and amortized using the effective yield method over the life of the debentures.</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ASU 2015-03, </w:t>
      </w:r>
      <w:r>
        <w:rPr>
          <w:rFonts w:ascii="Arial" w:cs="Arial" w:eastAsia="Arial" w:hAnsi="Arial"/>
          <w:sz w:val="18"/>
          <w:szCs w:val="18"/>
          <w:i w:val="1"/>
          <w:iCs w:val="1"/>
          <w:color w:val="auto"/>
        </w:rPr>
        <w:t>Interest—Imputation of Interest (Subtopic 835-30): Simplifying the Presentation of Debt Issuance Costs</w:t>
      </w:r>
      <w:r>
        <w:rPr>
          <w:rFonts w:ascii="Arial" w:cs="Arial" w:eastAsia="Arial" w:hAnsi="Arial"/>
          <w:sz w:val="18"/>
          <w:szCs w:val="18"/>
          <w:color w:val="auto"/>
        </w:rPr>
        <w:t xml:space="preserve"> (“ASU 2015-03”) requires that debt issuance costs related to a recognized debt liability be presented in the balance sheet as a direct deduction from the carrying amount of that debt liability, consistent with debt discounts. The Company has adopted the provisions of ASU 2015-03 as of February 28, 2015, by reclassifying deferred debt financing costs from within total assets to within total liabilities as a contra-liability. Prior period amounts were reclassified to conform to the current period presentation.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In the ordinary course of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 Therefore, the Company has not accrued any liabilities in connection with such indemnifications.</w:t>
      </w:r>
    </w:p>
    <w:p>
      <w:pPr>
        <w:spacing w:after="0" w:line="166"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Company has filed an election to be treated for tax purposes as a RIC under the Code and, among other things, intends to make the requisite distributions to its stockholders which will relieve the Company from federal income taxes. Therefore, no provision has been recorded for federal income taxes.</w:t>
      </w:r>
    </w:p>
    <w:p>
      <w:pPr>
        <w:spacing w:after="0" w:line="18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accordance with certain applicable U.S. Treasury regulations and private letter rulings issued by the Internal Revenue Service (“IRS”),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on the consolidated statements of operations. During the fiscal year ended February 28, 2017, the Company did not incur any interest or penalties. Although we file federal and state tax returns, our major tax jurisdiction is federal. The 2014, 2015 and 2016 federal tax years for the Company remain subject to examination by the IRS. As of February 28, 2017 and February 29, 2016, there were no uncertain tax positions. The Company is not aware of any tax positions for which it is reasonably possible that the total amounts of unrecognized tax benefits will change significantly in the next 12 months.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Dividends to common stockholders are recorded on the ex-dividend date. The amount to be paid out as a dividend is determined by the board of directors. Net realized capital gains, if any, are generally distributed at least annually, although we may decide to retain such capital gains for reinvestment.</w:t>
      </w:r>
    </w:p>
    <w:p>
      <w:pPr>
        <w:spacing w:after="0" w:line="124"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We have adopted a dividend reinvestment plan (“DRIP”) that provides for reinvestment of our dividend distributions on behalf of our stockholders unless a stockholder elects to receive cash. As a result, if our board of directors authorizes, and we declare, a cash dividend, then our stockholders who have not “opted out” of the DRIP by the dividend record date will have their cash dividends automatically reinvested into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records an expense accrual on the consolidated statements of operations, relating to the capital gains incentive fee payable on the consolidated statements of assets and liabilities, by the Company to its investment adviser when the net realized and unrealized gain on its investments exceed all net realized and unrealized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net of realized and unrealized losses for the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In August 2016, the FASB issued ASU 2016-15, Statement of Cash Flows (Topic 230),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xml:space="preserve"> (“ASU 2016-15”), which is intended to reduce the existing diversity in practice in how certain cash receipts and cash payments are presented and classified in the statement of cash flows. The guidance is effective for annual periods beginning after December 15, 2017, and interim periods therein. Early adoption is permitted. Management is currently evaluating the impact ASU 2016-15 will have on the Company’s consolidated financial statements and disclosures.</w:t>
      </w:r>
    </w:p>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Amendments to the Leases</w:t>
      </w:r>
      <w:r>
        <w:rPr>
          <w:rFonts w:ascii="Arial" w:cs="Arial" w:eastAsia="Arial" w:hAnsi="Arial"/>
          <w:sz w:val="18"/>
          <w:szCs w:val="18"/>
          <w:color w:val="auto"/>
        </w:rPr>
        <w:t xml:space="preserve"> (“ASU Topic 842”), which will require for all operating leases the recognition of a right-of-use asset and a lease liability, in the statement of financial position. The lease cost will be allocated over the lease term on a straight-line basis. This guidance is effective for annual and interim periods beginning after December 15, 2018. Management is currently evaluating the impact these changes will have on the Company’s consolidated financial statements and disclosures.</w:t>
      </w:r>
    </w:p>
    <w:p>
      <w:pPr>
        <w:spacing w:after="0" w:line="187"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retains many current requirements for the classification and measurement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however, it significantly revises an entity’s accounting related to (1) the classification and measurement of investments in equity securities and</w:t>
      </w:r>
    </w:p>
    <w:p>
      <w:pPr>
        <w:ind w:right="20" w:firstLine="8"/>
        <w:spacing w:after="0" w:line="254"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presentation of certain fair value changes for financial liabilities measured at fair value. ASU 2016-01 also amends certain disclosure requirements associated with the fair value of financial instruments. This guidance is effective for annual and interim periods beginning after December 15, 2017, and early adoption is not permitted for public business entities. Management is currently evaluating the impact the adoption of this standard has on the Company’s consolidated financial statements and disclosures.</w:t>
      </w:r>
    </w:p>
    <w:p>
      <w:pPr>
        <w:spacing w:after="0" w:line="190"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In May 2014, the FASB issued ASU 2014-09, Revenue from Contracts with Customers (Topic 606), which supersedes the revenue recognition requirements in Revenue Recognition (Topic 605). Under the new guidance, an entity should recognize revenue to depict the transfer of promised goods or services to customers in an amount that reflects the consideration to which the entity expects to be entitled in exchange for those goods or services. In May 2016, ASU 2016-12 amended ASU 2014-09 and deferred the effective period to December 15, 2017. Management is currently evaluating the impact these changes will have on the Company’s consolidated financial statements and disclosures.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In the ordinary course of its business, the Company manages a variety of risks, including market risk and credit risk. Market risk is the risk of potential adverse changes to the value of investments because of changes in market conditions such as interest rate movements and volatility in investment prices.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risk is the risk of default or non-performance by portfolio companies, equivalent to the investment’s carrying amount.</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Company is also exposed to credit risk related to maintaining all of its cash and cash equivalents, including those in reserve accounts, at a major financial institution and credit risk related to any of its derivative counterparties.</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Company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87"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2—Valuations based on inputs other than quoted prices in active markets, which are either directly or indirectly observable.</w:t>
      </w:r>
    </w:p>
    <w:p>
      <w:pPr>
        <w:spacing w:after="0" w:line="130"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The inputs used in the determination of fair value may require significant management judgment or estimation. Such information may be the result of consensus pricing information or broker quotes which include a disclaimer that the broker would not be held to such a price in an actual transaction. The non-binding nature of consensus pricing and/or quotes accompanied by a disclaimer would result in classification as a Level 3 asset, assuming no additional corroborating evidence.</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of directors that is consistent with ASC 820 and the 1940 Act (see Note 2).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February 28, 2017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Fair Value Measurements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4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3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6"/>
              </w:rPr>
              <w:t>$ —</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First lien term loans</w:t>
            </w:r>
          </w:p>
        </w:tc>
        <w:tc>
          <w:tcPr>
            <w:tcW w:w="3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159,097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159,097</w:t>
            </w:r>
          </w:p>
        </w:tc>
        <w:tc>
          <w:tcPr>
            <w:tcW w:w="2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3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87,750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87,750</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3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15,450</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15,450</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3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20,541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20,541</w:t>
            </w: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3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6"/>
              </w:rPr>
              <w:t>$ —</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292,661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292,661</w:t>
            </w:r>
          </w:p>
        </w:tc>
        <w:tc>
          <w:tcPr>
            <w:tcW w:w="20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9"/>
        </w:trPr>
        <w:tc>
          <w:tcPr>
            <w:tcW w:w="3580" w:type="dxa"/>
            <w:vAlign w:val="bottom"/>
          </w:tcPr>
          <w:p>
            <w:pPr>
              <w:spacing w:after="0"/>
              <w:rPr>
                <w:sz w:val="24"/>
                <w:szCs w:val="24"/>
                <w:color w:val="auto"/>
              </w:rPr>
            </w:pPr>
          </w:p>
        </w:tc>
        <w:tc>
          <w:tcPr>
            <w:tcW w:w="3740" w:type="dxa"/>
            <w:vAlign w:val="bottom"/>
            <w:gridSpan w:val="2"/>
          </w:tcPr>
          <w:p>
            <w:pPr>
              <w:jc w:val="right"/>
              <w:ind w:right="1813"/>
              <w:spacing w:after="0"/>
              <w:rPr>
                <w:sz w:val="20"/>
                <w:szCs w:val="20"/>
                <w:color w:val="auto"/>
              </w:rPr>
            </w:pPr>
            <w:r>
              <w:rPr>
                <w:rFonts w:ascii="Arial" w:cs="Arial" w:eastAsia="Arial" w:hAnsi="Arial"/>
                <w:sz w:val="18"/>
                <w:szCs w:val="18"/>
                <w:color w:val="auto"/>
              </w:rPr>
              <w:t>F-16</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February 29, 2016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9"/>
              </w:rPr>
              <w:t>Fair Value Measurements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8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4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6"/>
              </w:rPr>
              <w:t>$ —</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First lien term loans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144,643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144,643</w:t>
            </w:r>
          </w:p>
        </w:tc>
        <w:tc>
          <w:tcPr>
            <w:tcW w:w="2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88,178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88,178</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12,828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12,828</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26,479</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6"/>
              </w:rPr>
              <w:t>$ —</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283,996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283,996</w:t>
            </w:r>
          </w:p>
        </w:tc>
        <w:tc>
          <w:tcPr>
            <w:tcW w:w="20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a reconciliation of the beginning and ending balances for investments that use Level 3 inputs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Syndicated</w:t>
            </w: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2"/>
              </w:rPr>
              <w:t>Second</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12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lien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finance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8"/>
              </w:rPr>
              <w:t>stock/</w:t>
            </w:r>
          </w:p>
        </w:tc>
        <w:tc>
          <w:tcPr>
            <w:tcW w:w="100" w:type="dxa"/>
            <w:vAlign w:val="bottom"/>
          </w:tcPr>
          <w:p>
            <w:pPr>
              <w:spacing w:after="0"/>
              <w:rPr>
                <w:sz w:val="12"/>
                <w:szCs w:val="12"/>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loans</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 loans</w:t>
            </w: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term loans</w:t>
            </w:r>
          </w:p>
        </w:tc>
        <w:tc>
          <w:tcPr>
            <w:tcW w:w="12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equities</w:t>
            </w: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29, 2016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11,868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144,643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88,178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283,996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(12,566)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(10,641)</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93,069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20,996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128,097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Sales and repayments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(78,805)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(20,501)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(14,556)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(121,159)</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12,368</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Restructures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Restructures Out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Balance as of February 28, 2017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159,097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87,750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292,661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w w:val="92"/>
              </w:rPr>
              <w:t>Net unrealized appreciation (depreciation) for the year relating to those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Level 3 assets that were still held by the Company at the end of the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year:</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repayments represent net proceeds received from investments sold, and principal paydowns received, during the year.</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Transfers and restructurings, if any, are recognized at the beginning of the year in which they occur. During the year ended February 28, 2017, $0.4 million of Elyria Foundry Company, L.L.C. first lien term loan was restructured into a second lien term loan.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year ended February 29, 2016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Syndicated</w:t>
            </w:r>
          </w:p>
        </w:tc>
        <w:tc>
          <w:tcPr>
            <w:tcW w:w="120" w:type="dxa"/>
            <w:vAlign w:val="bottom"/>
          </w:tcPr>
          <w:p>
            <w:pPr>
              <w:spacing w:after="0"/>
              <w:rPr>
                <w:sz w:val="14"/>
                <w:szCs w:val="14"/>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Second</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Unsecured</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12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lien</w:t>
            </w: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finance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stock/</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loans</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 loans</w:t>
            </w:r>
          </w:p>
        </w:tc>
        <w:tc>
          <w:tcPr>
            <w:tcW w:w="1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term loans</w:t>
            </w:r>
          </w:p>
        </w:tc>
        <w:tc>
          <w:tcPr>
            <w:tcW w:w="14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notes</w:t>
            </w:r>
          </w:p>
        </w:tc>
        <w:tc>
          <w:tcPr>
            <w:tcW w:w="12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equities</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2015</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18,302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145,207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35,603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20,165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240,538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(1,163)</w:t>
            </w: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72,422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110,665</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Sales and repayments</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(4,607)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(31,280)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(19,502)</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(5,917)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(3,946)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(68,174)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from investments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(2,220)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Transfers In</w:t>
            </w:r>
          </w:p>
        </w:tc>
        <w:tc>
          <w:tcPr>
            <w:tcW w:w="1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Transfers Out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Balance as of February 29, 2016</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144,643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88,178</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26,479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283,996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Net unrealized appreciation (depreciation) for the year</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relating to those Level 3 assets that were still held by the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Company at the end of the year:</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repayments represent net proceeds received from investments sold, and principal paydowns received, during the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and restructurings, if any, are recognized at the beginning of the year in which they occur.</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28, 2017 were as follows (dollars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1740" w:type="dxa"/>
            <w:vAlign w:val="bottom"/>
          </w:tcPr>
          <w:p>
            <w:pPr>
              <w:ind w:left="240"/>
              <w:spacing w:after="0"/>
              <w:rPr>
                <w:sz w:val="20"/>
                <w:szCs w:val="20"/>
                <w:color w:val="auto"/>
              </w:rPr>
            </w:pPr>
            <w:r>
              <w:rPr>
                <w:rFonts w:ascii="Arial" w:cs="Arial" w:eastAsia="Arial" w:hAnsi="Arial"/>
                <w:sz w:val="14"/>
                <w:szCs w:val="14"/>
                <w:b w:val="1"/>
                <w:bCs w:val="1"/>
                <w:color w:val="auto"/>
              </w:rPr>
              <w:t>Valuation Technique</w:t>
            </w:r>
          </w:p>
        </w:tc>
        <w:tc>
          <w:tcPr>
            <w:tcW w:w="220" w:type="dxa"/>
            <w:vAlign w:val="bottom"/>
          </w:tcPr>
          <w:p>
            <w:pPr>
              <w:spacing w:after="0"/>
              <w:rPr>
                <w:sz w:val="14"/>
                <w:szCs w:val="14"/>
                <w:color w:val="auto"/>
              </w:rPr>
            </w:pPr>
          </w:p>
        </w:tc>
        <w:tc>
          <w:tcPr>
            <w:tcW w:w="1940" w:type="dxa"/>
            <w:vAlign w:val="bottom"/>
            <w:gridSpan w:val="2"/>
          </w:tcPr>
          <w:p>
            <w:pPr>
              <w:ind w:left="240"/>
              <w:spacing w:after="0"/>
              <w:rPr>
                <w:sz w:val="20"/>
                <w:szCs w:val="20"/>
                <w:color w:val="auto"/>
              </w:rPr>
            </w:pPr>
            <w:r>
              <w:rPr>
                <w:rFonts w:ascii="Arial" w:cs="Arial" w:eastAsia="Arial" w:hAnsi="Arial"/>
                <w:sz w:val="14"/>
                <w:szCs w:val="14"/>
                <w:b w:val="1"/>
                <w:bCs w:val="1"/>
                <w:color w:val="auto"/>
              </w:rPr>
              <w:t>Unobservable Input</w:t>
            </w:r>
          </w:p>
        </w:tc>
        <w:tc>
          <w:tcPr>
            <w:tcW w:w="1400" w:type="dxa"/>
            <w:vAlign w:val="bottom"/>
            <w:gridSpan w:val="2"/>
          </w:tcPr>
          <w:p>
            <w:pPr>
              <w:ind w:left="50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9,823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 (%)</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100.5%</w:t>
            </w:r>
          </w:p>
        </w:tc>
        <w:tc>
          <w:tcPr>
            <w:tcW w:w="7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4"/>
              </w:rPr>
              <w:t>- 101.1%</w:t>
            </w:r>
          </w:p>
        </w:tc>
        <w:tc>
          <w:tcPr>
            <w:tcW w:w="0" w:type="dxa"/>
            <w:vAlign w:val="bottom"/>
          </w:tcPr>
          <w:p>
            <w:pPr>
              <w:spacing w:after="0"/>
              <w:rPr>
                <w:sz w:val="1"/>
                <w:szCs w:val="1"/>
                <w:color w:val="auto"/>
              </w:rPr>
            </w:pPr>
          </w:p>
        </w:tc>
      </w:tr>
      <w:tr>
        <w:trPr>
          <w:trHeight w:val="324"/>
        </w:trPr>
        <w:tc>
          <w:tcPr>
            <w:tcW w:w="5120" w:type="dxa"/>
            <w:vAlign w:val="bottom"/>
            <w:gridSpan w:val="2"/>
          </w:tcPr>
          <w:p>
            <w:pPr>
              <w:spacing w:after="0"/>
              <w:rPr>
                <w:sz w:val="20"/>
                <w:szCs w:val="20"/>
                <w:color w:val="auto"/>
              </w:rPr>
            </w:pPr>
            <w:r>
              <w:rPr>
                <w:rFonts w:ascii="Arial" w:cs="Arial" w:eastAsia="Arial" w:hAnsi="Arial"/>
                <w:sz w:val="18"/>
                <w:szCs w:val="18"/>
                <w:color w:val="auto"/>
              </w:rPr>
              <w:t>First lien term loans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159,097</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Market Comparables</w:t>
            </w:r>
          </w:p>
        </w:tc>
        <w:tc>
          <w:tcPr>
            <w:tcW w:w="2160" w:type="dxa"/>
            <w:vAlign w:val="bottom"/>
            <w:gridSpan w:val="3"/>
          </w:tcPr>
          <w:p>
            <w:pPr>
              <w:ind w:left="220"/>
              <w:spacing w:after="0"/>
              <w:rPr>
                <w:sz w:val="20"/>
                <w:szCs w:val="20"/>
                <w:color w:val="auto"/>
              </w:rPr>
            </w:pPr>
            <w:r>
              <w:rPr>
                <w:rFonts w:ascii="Arial" w:cs="Arial" w:eastAsia="Arial" w:hAnsi="Arial"/>
                <w:sz w:val="18"/>
                <w:szCs w:val="18"/>
                <w:color w:val="auto"/>
              </w:rPr>
              <w:t>Market Yield (%)</w:t>
            </w: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780" w:type="dxa"/>
            <w:vAlign w:val="bottom"/>
          </w:tcPr>
          <w:p>
            <w:pPr>
              <w:ind w:left="40"/>
              <w:spacing w:after="0"/>
              <w:rPr>
                <w:sz w:val="20"/>
                <w:szCs w:val="20"/>
                <w:color w:val="auto"/>
              </w:rPr>
            </w:pPr>
            <w:r>
              <w:rPr>
                <w:rFonts w:ascii="Arial" w:cs="Arial" w:eastAsia="Arial" w:hAnsi="Arial"/>
                <w:sz w:val="18"/>
                <w:szCs w:val="18"/>
                <w:color w:val="auto"/>
              </w:rPr>
              <w:t>- 39.0%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EBITDA Multiples (x)</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3.0x</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- 10.3x</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60" w:type="dxa"/>
            <w:vAlign w:val="bottom"/>
            <w:gridSpan w:val="3"/>
          </w:tcPr>
          <w:p>
            <w:pPr>
              <w:ind w:left="220"/>
              <w:spacing w:after="0"/>
              <w:rPr>
                <w:sz w:val="20"/>
                <w:szCs w:val="20"/>
                <w:color w:val="auto"/>
              </w:rPr>
            </w:pPr>
            <w:r>
              <w:rPr>
                <w:rFonts w:ascii="Arial" w:cs="Arial" w:eastAsia="Arial" w:hAnsi="Arial"/>
                <w:sz w:val="18"/>
                <w:szCs w:val="18"/>
                <w:color w:val="auto"/>
              </w:rPr>
              <w:t>Third-Party Bid (%)</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100.0%</w:t>
            </w:r>
          </w:p>
        </w:tc>
        <w:tc>
          <w:tcPr>
            <w:tcW w:w="780" w:type="dxa"/>
            <w:vAlign w:val="bottom"/>
          </w:tcPr>
          <w:p>
            <w:pPr>
              <w:ind w:left="80"/>
              <w:spacing w:after="0"/>
              <w:rPr>
                <w:sz w:val="20"/>
                <w:szCs w:val="20"/>
                <w:color w:val="auto"/>
              </w:rPr>
            </w:pPr>
            <w:r>
              <w:rPr>
                <w:rFonts w:ascii="Arial" w:cs="Arial" w:eastAsia="Arial" w:hAnsi="Arial"/>
                <w:sz w:val="18"/>
                <w:szCs w:val="18"/>
                <w:color w:val="auto"/>
                <w:w w:val="94"/>
              </w:rPr>
              <w:t>- 100.2%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87,750</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 Comparables</w:t>
            </w:r>
          </w:p>
        </w:tc>
        <w:tc>
          <w:tcPr>
            <w:tcW w:w="2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Market Yield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- 26.4%</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60" w:type="dxa"/>
            <w:vAlign w:val="bottom"/>
            <w:gridSpan w:val="3"/>
          </w:tcPr>
          <w:p>
            <w:pPr>
              <w:ind w:left="220"/>
              <w:spacing w:after="0"/>
              <w:rPr>
                <w:sz w:val="20"/>
                <w:szCs w:val="20"/>
                <w:color w:val="auto"/>
              </w:rPr>
            </w:pPr>
            <w:r>
              <w:rPr>
                <w:rFonts w:ascii="Arial" w:cs="Arial" w:eastAsia="Arial" w:hAnsi="Arial"/>
                <w:sz w:val="18"/>
                <w:szCs w:val="18"/>
                <w:color w:val="auto"/>
              </w:rPr>
              <w:t>Third-Party Bid (%)</w:t>
            </w:r>
          </w:p>
        </w:tc>
        <w:tc>
          <w:tcPr>
            <w:tcW w:w="620" w:type="dxa"/>
            <w:vAlign w:val="bottom"/>
          </w:tcPr>
          <w:p>
            <w:pPr>
              <w:jc w:val="right"/>
              <w:spacing w:after="0"/>
              <w:rPr>
                <w:sz w:val="20"/>
                <w:szCs w:val="20"/>
                <w:color w:val="auto"/>
              </w:rPr>
            </w:pPr>
            <w:r>
              <w:rPr>
                <w:rFonts w:ascii="Arial" w:cs="Arial" w:eastAsia="Arial" w:hAnsi="Arial"/>
                <w:sz w:val="18"/>
                <w:szCs w:val="18"/>
                <w:color w:val="auto"/>
              </w:rPr>
              <w:t>97.6%</w:t>
            </w:r>
          </w:p>
        </w:tc>
        <w:tc>
          <w:tcPr>
            <w:tcW w:w="780" w:type="dxa"/>
            <w:vAlign w:val="bottom"/>
          </w:tcPr>
          <w:p>
            <w:pPr>
              <w:ind w:left="80"/>
              <w:spacing w:after="0"/>
              <w:rPr>
                <w:sz w:val="20"/>
                <w:szCs w:val="20"/>
                <w:color w:val="auto"/>
              </w:rPr>
            </w:pPr>
            <w:r>
              <w:rPr>
                <w:rFonts w:ascii="Arial" w:cs="Arial" w:eastAsia="Arial" w:hAnsi="Arial"/>
                <w:sz w:val="18"/>
                <w:szCs w:val="18"/>
                <w:color w:val="auto"/>
              </w:rPr>
              <w:t>- 99.9%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15,450</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Discounted Cash Flow</w:t>
            </w:r>
          </w:p>
        </w:tc>
        <w:tc>
          <w:tcPr>
            <w:tcW w:w="2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Discount Rate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- 13.0%</w:t>
            </w:r>
          </w:p>
        </w:tc>
        <w:tc>
          <w:tcPr>
            <w:tcW w:w="0" w:type="dxa"/>
            <w:vAlign w:val="bottom"/>
          </w:tcPr>
          <w:p>
            <w:pPr>
              <w:spacing w:after="0"/>
              <w:rPr>
                <w:sz w:val="1"/>
                <w:szCs w:val="1"/>
                <w:color w:val="auto"/>
              </w:rPr>
            </w:pPr>
          </w:p>
        </w:tc>
      </w:tr>
      <w:tr>
        <w:trPr>
          <w:trHeight w:val="324"/>
        </w:trPr>
        <w:tc>
          <w:tcPr>
            <w:tcW w:w="5120" w:type="dxa"/>
            <w:vAlign w:val="bottom"/>
            <w:gridSpan w:val="2"/>
          </w:tcPr>
          <w:p>
            <w:pPr>
              <w:spacing w:after="0"/>
              <w:rPr>
                <w:sz w:val="20"/>
                <w:szCs w:val="20"/>
                <w:color w:val="auto"/>
              </w:rPr>
            </w:pPr>
            <w:r>
              <w:rPr>
                <w:rFonts w:ascii="Arial" w:cs="Arial" w:eastAsia="Arial" w:hAnsi="Arial"/>
                <w:sz w:val="18"/>
                <w:szCs w:val="18"/>
                <w:color w:val="auto"/>
              </w:rPr>
              <w:t>Equity interests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20,541</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Market Comparables</w:t>
            </w:r>
          </w:p>
        </w:tc>
        <w:tc>
          <w:tcPr>
            <w:tcW w:w="2160" w:type="dxa"/>
            <w:vAlign w:val="bottom"/>
            <w:gridSpan w:val="3"/>
          </w:tcPr>
          <w:p>
            <w:pPr>
              <w:ind w:left="220"/>
              <w:spacing w:after="0"/>
              <w:rPr>
                <w:sz w:val="20"/>
                <w:szCs w:val="20"/>
                <w:color w:val="auto"/>
              </w:rPr>
            </w:pPr>
            <w:r>
              <w:rPr>
                <w:rFonts w:ascii="Arial" w:cs="Arial" w:eastAsia="Arial" w:hAnsi="Arial"/>
                <w:sz w:val="18"/>
                <w:szCs w:val="18"/>
                <w:color w:val="auto"/>
              </w:rPr>
              <w:t>EBITDA Multiples (x)</w:t>
            </w:r>
          </w:p>
        </w:tc>
        <w:tc>
          <w:tcPr>
            <w:tcW w:w="620" w:type="dxa"/>
            <w:vAlign w:val="bottom"/>
          </w:tcPr>
          <w:p>
            <w:pPr>
              <w:jc w:val="right"/>
              <w:spacing w:after="0"/>
              <w:rPr>
                <w:sz w:val="20"/>
                <w:szCs w:val="20"/>
                <w:color w:val="auto"/>
              </w:rPr>
            </w:pPr>
            <w:r>
              <w:rPr>
                <w:rFonts w:ascii="Arial" w:cs="Arial" w:eastAsia="Arial" w:hAnsi="Arial"/>
                <w:sz w:val="18"/>
                <w:szCs w:val="18"/>
                <w:color w:val="auto"/>
              </w:rPr>
              <w:t>3.7x</w:t>
            </w:r>
          </w:p>
        </w:tc>
        <w:tc>
          <w:tcPr>
            <w:tcW w:w="780" w:type="dxa"/>
            <w:vAlign w:val="bottom"/>
          </w:tcPr>
          <w:p>
            <w:pPr>
              <w:ind w:left="40"/>
              <w:spacing w:after="0"/>
              <w:rPr>
                <w:sz w:val="20"/>
                <w:szCs w:val="20"/>
                <w:color w:val="auto"/>
              </w:rPr>
            </w:pPr>
            <w:r>
              <w:rPr>
                <w:rFonts w:ascii="Arial" w:cs="Arial" w:eastAsia="Arial" w:hAnsi="Arial"/>
                <w:sz w:val="18"/>
                <w:szCs w:val="18"/>
                <w:color w:val="auto"/>
              </w:rPr>
              <w:t>- 12.0x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29, 2016 were as follows (dollars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188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Valuation Technique</w:t>
            </w: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Unobservable Input</w:t>
            </w:r>
          </w:p>
        </w:tc>
        <w:tc>
          <w:tcPr>
            <w:tcW w:w="1180" w:type="dxa"/>
            <w:vAlign w:val="bottom"/>
          </w:tcPr>
          <w:p>
            <w:pPr>
              <w:ind w:left="400"/>
              <w:spacing w:after="0"/>
              <w:rPr>
                <w:sz w:val="20"/>
                <w:szCs w:val="20"/>
                <w:color w:val="auto"/>
              </w:rPr>
            </w:pPr>
            <w:r>
              <w:rPr>
                <w:rFonts w:ascii="Arial" w:cs="Arial" w:eastAsia="Arial" w:hAnsi="Arial"/>
                <w:sz w:val="14"/>
                <w:szCs w:val="14"/>
                <w:b w:val="1"/>
                <w:bCs w:val="1"/>
                <w:color w:val="auto"/>
              </w:rPr>
              <w:t>Range</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11,868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Market Comparables</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 (%)</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72.5% - 98.2%</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First lien term loans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144,643</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rPr>
              <w:t>Market Comparables</w:t>
            </w:r>
          </w:p>
        </w:tc>
        <w:tc>
          <w:tcPr>
            <w:tcW w:w="2000" w:type="dxa"/>
            <w:vAlign w:val="bottom"/>
            <w:gridSpan w:val="2"/>
          </w:tcPr>
          <w:p>
            <w:pPr>
              <w:spacing w:after="0"/>
              <w:rPr>
                <w:sz w:val="20"/>
                <w:szCs w:val="20"/>
                <w:color w:val="auto"/>
              </w:rPr>
            </w:pPr>
            <w:r>
              <w:rPr>
                <w:rFonts w:ascii="Arial" w:cs="Arial" w:eastAsia="Arial" w:hAnsi="Arial"/>
                <w:sz w:val="18"/>
                <w:szCs w:val="18"/>
                <w:color w:val="auto"/>
              </w:rPr>
              <w:t>Market Yield (%)</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6.8% - 15.5%</w:t>
            </w:r>
          </w:p>
        </w:tc>
      </w:tr>
      <w:tr>
        <w:trPr>
          <w:trHeight w:val="108"/>
        </w:trPr>
        <w:tc>
          <w:tcPr>
            <w:tcW w:w="5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16"/>
        </w:trPr>
        <w:tc>
          <w:tcPr>
            <w:tcW w:w="5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1.0x</w:t>
            </w:r>
          </w:p>
        </w:tc>
      </w:tr>
      <w:tr>
        <w:trPr>
          <w:trHeight w:val="310"/>
        </w:trPr>
        <w:tc>
          <w:tcPr>
            <w:tcW w:w="5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Revenue Multiples (x)</w:t>
            </w:r>
          </w:p>
        </w:tc>
        <w:tc>
          <w:tcPr>
            <w:tcW w:w="1180" w:type="dxa"/>
            <w:vAlign w:val="bottom"/>
          </w:tcPr>
          <w:p>
            <w:pPr>
              <w:spacing w:after="0"/>
              <w:rPr>
                <w:sz w:val="24"/>
                <w:szCs w:val="24"/>
                <w:color w:val="auto"/>
              </w:rPr>
            </w:pPr>
          </w:p>
        </w:tc>
      </w:tr>
      <w:tr>
        <w:trPr>
          <w:trHeight w:val="244"/>
        </w:trPr>
        <w:tc>
          <w:tcPr>
            <w:tcW w:w="5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Third-Party Bid (%)</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91.3% - 98.9%</w:t>
            </w:r>
          </w:p>
        </w:tc>
      </w:tr>
      <w:tr>
        <w:trPr>
          <w:trHeight w:val="365"/>
        </w:trPr>
        <w:tc>
          <w:tcPr>
            <w:tcW w:w="536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F-18</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800" w:type="dxa"/>
            <w:vAlign w:val="bottom"/>
          </w:tcPr>
          <w:p>
            <w:pPr>
              <w:ind w:left="280"/>
              <w:spacing w:after="0"/>
              <w:rPr>
                <w:sz w:val="20"/>
                <w:szCs w:val="20"/>
                <w:color w:val="auto"/>
              </w:rPr>
            </w:pPr>
            <w:r>
              <w:rPr>
                <w:rFonts w:ascii="Arial" w:cs="Arial" w:eastAsia="Arial" w:hAnsi="Arial"/>
                <w:sz w:val="14"/>
                <w:szCs w:val="14"/>
                <w:b w:val="1"/>
                <w:bCs w:val="1"/>
                <w:color w:val="auto"/>
              </w:rPr>
              <w:t>Valuation Technique</w:t>
            </w:r>
          </w:p>
        </w:tc>
        <w:tc>
          <w:tcPr>
            <w:tcW w:w="220" w:type="dxa"/>
            <w:vAlign w:val="bottom"/>
          </w:tcPr>
          <w:p>
            <w:pPr>
              <w:spacing w:after="0"/>
              <w:rPr>
                <w:sz w:val="14"/>
                <w:szCs w:val="14"/>
                <w:color w:val="auto"/>
              </w:rPr>
            </w:pPr>
          </w:p>
        </w:tc>
        <w:tc>
          <w:tcPr>
            <w:tcW w:w="2020" w:type="dxa"/>
            <w:vAlign w:val="bottom"/>
            <w:gridSpan w:val="2"/>
          </w:tcPr>
          <w:p>
            <w:pPr>
              <w:ind w:left="280"/>
              <w:spacing w:after="0"/>
              <w:rPr>
                <w:sz w:val="20"/>
                <w:szCs w:val="20"/>
                <w:color w:val="auto"/>
              </w:rPr>
            </w:pPr>
            <w:r>
              <w:rPr>
                <w:rFonts w:ascii="Arial" w:cs="Arial" w:eastAsia="Arial" w:hAnsi="Arial"/>
                <w:sz w:val="14"/>
                <w:szCs w:val="14"/>
                <w:b w:val="1"/>
                <w:bCs w:val="1"/>
                <w:color w:val="auto"/>
              </w:rPr>
              <w:t>Unobservable Input</w:t>
            </w:r>
          </w:p>
        </w:tc>
        <w:tc>
          <w:tcPr>
            <w:tcW w:w="1180" w:type="dxa"/>
            <w:vAlign w:val="bottom"/>
          </w:tcPr>
          <w:p>
            <w:pPr>
              <w:ind w:left="40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88,178</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 (%)</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0.0% - 15.0%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40" w:type="dxa"/>
            <w:vAlign w:val="bottom"/>
            <w:gridSpan w:val="3"/>
          </w:tcPr>
          <w:p>
            <w:pPr>
              <w:ind w:left="220"/>
              <w:spacing w:after="0"/>
              <w:rPr>
                <w:sz w:val="20"/>
                <w:szCs w:val="20"/>
                <w:color w:val="auto"/>
              </w:rPr>
            </w:pPr>
            <w:r>
              <w:rPr>
                <w:rFonts w:ascii="Arial" w:cs="Arial" w:eastAsia="Arial" w:hAnsi="Arial"/>
                <w:sz w:val="18"/>
                <w:szCs w:val="18"/>
                <w:color w:val="auto"/>
              </w:rPr>
              <w:t>Third-Party Bid (%)</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91.5% - 98.6%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12,828</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98"/>
              </w:rPr>
              <w:t>Discounted Cash Flow</w:t>
            </w:r>
          </w:p>
        </w:tc>
        <w:tc>
          <w:tcPr>
            <w:tcW w:w="22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Discount Rate (%)</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w:t>
            </w:r>
          </w:p>
        </w:tc>
        <w:tc>
          <w:tcPr>
            <w:tcW w:w="0" w:type="dxa"/>
            <w:vAlign w:val="bottom"/>
          </w:tcPr>
          <w:p>
            <w:pPr>
              <w:spacing w:after="0"/>
              <w:rPr>
                <w:sz w:val="1"/>
                <w:szCs w:val="1"/>
                <w:color w:val="auto"/>
              </w:rPr>
            </w:pPr>
          </w:p>
        </w:tc>
      </w:tr>
      <w:tr>
        <w:trPr>
          <w:trHeight w:val="310"/>
        </w:trPr>
        <w:tc>
          <w:tcPr>
            <w:tcW w:w="5240" w:type="dxa"/>
            <w:vAlign w:val="bottom"/>
            <w:gridSpan w:val="2"/>
          </w:tcPr>
          <w:p>
            <w:pPr>
              <w:spacing w:after="0"/>
              <w:rPr>
                <w:sz w:val="20"/>
                <w:szCs w:val="20"/>
                <w:color w:val="auto"/>
              </w:rPr>
            </w:pPr>
            <w:r>
              <w:rPr>
                <w:rFonts w:ascii="Arial" w:cs="Arial" w:eastAsia="Arial" w:hAnsi="Arial"/>
                <w:sz w:val="18"/>
                <w:szCs w:val="18"/>
                <w:color w:val="auto"/>
              </w:rPr>
              <w:t>Equity interests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26,479</w:t>
            </w:r>
          </w:p>
        </w:tc>
        <w:tc>
          <w:tcPr>
            <w:tcW w:w="1800" w:type="dxa"/>
            <w:vAlign w:val="bottom"/>
          </w:tcPr>
          <w:p>
            <w:pPr>
              <w:spacing w:after="0"/>
              <w:rPr>
                <w:sz w:val="20"/>
                <w:szCs w:val="20"/>
                <w:color w:val="auto"/>
              </w:rPr>
            </w:pPr>
            <w:r>
              <w:rPr>
                <w:rFonts w:ascii="Arial" w:cs="Arial" w:eastAsia="Arial" w:hAnsi="Arial"/>
                <w:sz w:val="18"/>
                <w:szCs w:val="18"/>
                <w:color w:val="auto"/>
              </w:rPr>
              <w:t>Market Comparables</w:t>
            </w:r>
          </w:p>
        </w:tc>
        <w:tc>
          <w:tcPr>
            <w:tcW w:w="2240" w:type="dxa"/>
            <w:vAlign w:val="bottom"/>
            <w:gridSpan w:val="3"/>
          </w:tcPr>
          <w:p>
            <w:pPr>
              <w:ind w:left="220"/>
              <w:spacing w:after="0"/>
              <w:rPr>
                <w:sz w:val="20"/>
                <w:szCs w:val="20"/>
                <w:color w:val="auto"/>
              </w:rPr>
            </w:pPr>
            <w:r>
              <w:rPr>
                <w:rFonts w:ascii="Arial" w:cs="Arial" w:eastAsia="Arial" w:hAnsi="Arial"/>
                <w:sz w:val="18"/>
                <w:szCs w:val="18"/>
                <w:color w:val="auto"/>
              </w:rPr>
              <w:t>EBITDA Multiples (x)</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6.8x - 16.4x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40" w:type="dxa"/>
            <w:vAlign w:val="bottom"/>
            <w:gridSpan w:val="3"/>
          </w:tcPr>
          <w:p>
            <w:pPr>
              <w:ind w:left="220"/>
              <w:spacing w:after="0"/>
              <w:rPr>
                <w:sz w:val="20"/>
                <w:szCs w:val="20"/>
                <w:color w:val="auto"/>
              </w:rPr>
            </w:pPr>
            <w:r>
              <w:rPr>
                <w:rFonts w:ascii="Arial" w:cs="Arial" w:eastAsia="Arial" w:hAnsi="Arial"/>
                <w:sz w:val="18"/>
                <w:szCs w:val="18"/>
                <w:color w:val="auto"/>
              </w:rPr>
              <w:t>Revenue Multiples (x)</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For investments utilizing a market comparables valuation technique, a significant increase (decrease) in the market yield, in isolation, would result in a significantly lower (higher) fair value measurement, and a significant increase (decrease) in any of the EBITDA or revenue valuation multiples, in isolation, would result in a significantly higher (lower) fair value measurement. For investments utilizing a discounted cash flow valuation technique, a significant increase (decrease) in the discount rate, in isolation, would result in a significantly lower (higher) fair value measurement. For investments utilizing a market quote in deriving a value, a significant increase (decrease) in the market quote, in isolation, would result in a significantly higher (lower) fair value measurement. The composition of our investments as of February 28, 2017, at amortized cost and fair value were as follows (dollars in thousands):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Amortized Cost</w:t>
            </w:r>
          </w:p>
        </w:tc>
        <w:tc>
          <w:tcPr>
            <w:tcW w:w="32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Investments at</w:t>
            </w: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3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Amortized Cost</w:t>
            </w: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Total Portfolio</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Total Portfolio</w:t>
            </w:r>
          </w:p>
        </w:tc>
        <w:tc>
          <w:tcPr>
            <w:tcW w:w="0" w:type="dxa"/>
            <w:vAlign w:val="bottom"/>
          </w:tcPr>
          <w:p>
            <w:pPr>
              <w:spacing w:after="0"/>
              <w:rPr>
                <w:sz w:val="1"/>
                <w:szCs w:val="1"/>
                <w:color w:val="auto"/>
              </w:rPr>
            </w:pPr>
          </w:p>
        </w:tc>
      </w:tr>
      <w:tr>
        <w:trPr>
          <w:trHeight w:val="20"/>
        </w:trPr>
        <w:tc>
          <w:tcPr>
            <w:tcW w:w="45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9,669</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38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First lien term loans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160,436</w:t>
            </w:r>
          </w:p>
        </w:tc>
        <w:tc>
          <w:tcPr>
            <w:tcW w:w="6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53.4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159,097</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90,655</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87,750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14,819</w:t>
            </w:r>
          </w:p>
        </w:tc>
        <w:tc>
          <w:tcPr>
            <w:tcW w:w="6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15,450</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24,903</w:t>
            </w:r>
          </w:p>
        </w:tc>
        <w:tc>
          <w:tcPr>
            <w:tcW w:w="6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20,541</w:t>
            </w:r>
          </w:p>
        </w:tc>
        <w:tc>
          <w:tcPr>
            <w:tcW w:w="3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300,482</w:t>
            </w:r>
          </w:p>
        </w:tc>
        <w:tc>
          <w:tcPr>
            <w:tcW w:w="64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292,661</w:t>
            </w:r>
          </w:p>
        </w:tc>
        <w:tc>
          <w:tcPr>
            <w:tcW w:w="3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investments as of February 29, 2016, at amortized cost and fair value was as follows (dollars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Amortized Cost</w:t>
            </w:r>
          </w:p>
        </w:tc>
        <w:tc>
          <w:tcPr>
            <w:tcW w:w="32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Investments at</w:t>
            </w: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3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Amortized Cost</w:t>
            </w: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Total Portfolio</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Total Portfolio</w:t>
            </w:r>
          </w:p>
        </w:tc>
        <w:tc>
          <w:tcPr>
            <w:tcW w:w="0" w:type="dxa"/>
            <w:vAlign w:val="bottom"/>
          </w:tcPr>
          <w:p>
            <w:pPr>
              <w:spacing w:after="0"/>
              <w:rPr>
                <w:sz w:val="1"/>
                <w:szCs w:val="1"/>
                <w:color w:val="auto"/>
              </w:rPr>
            </w:pPr>
          </w:p>
        </w:tc>
      </w:tr>
      <w:tr>
        <w:trPr>
          <w:trHeight w:val="20"/>
        </w:trPr>
        <w:tc>
          <w:tcPr>
            <w:tcW w:w="45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14,138</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38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First lien term loans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146,246</w:t>
            </w:r>
          </w:p>
        </w:tc>
        <w:tc>
          <w:tcPr>
            <w:tcW w:w="6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52.0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144,643</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89,486</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88,178</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13,031</w:t>
            </w:r>
          </w:p>
        </w:tc>
        <w:tc>
          <w:tcPr>
            <w:tcW w:w="6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12,828</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18,275</w:t>
            </w:r>
          </w:p>
        </w:tc>
        <w:tc>
          <w:tcPr>
            <w:tcW w:w="6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26,479</w:t>
            </w:r>
          </w:p>
        </w:tc>
        <w:tc>
          <w:tcPr>
            <w:tcW w:w="3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281,176</w:t>
            </w:r>
          </w:p>
        </w:tc>
        <w:tc>
          <w:tcPr>
            <w:tcW w:w="64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283,996</w:t>
            </w:r>
          </w:p>
        </w:tc>
        <w:tc>
          <w:tcPr>
            <w:tcW w:w="3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loans and debt securities for which market quotations are not available, we determine their fair value based on third party indicative broker quotes, where available, or the assumptions that a hypothetical market participant would use to value the security in a current hypothetical sale using a market yield valuation methodology. In applying the market yield valuation methodology, we determine the fair value based on such factors as market participant assumptions including synthetic credit ratings, estimated remaining life, current market yield and interest rate spreads of similar securities as of the measurement date. If, in our judgment, the market yield methodology is not sufficient or appropriate, we may use additional methodologies such as an asset liquidation or expected recovery model.</w:t>
      </w:r>
    </w:p>
    <w:p>
      <w:pPr>
        <w:spacing w:after="0" w:line="19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equity securities of portfolio companies and partnership interests, we determine the fair value based on the market approach with value then attributed to equity or equity like securities using the enterprise value waterfall valuation methodology. Under the enterprise value waterfall valuation methodology, we determine the enterprise fair value of the portfolio company and then waterfall the enterprise value over the portfolio company’s securities in order of their preference relative to one another. To estimate the enterprise value of the portfolio company, we weigh some or all of the traditional market valuation methods and factors based on the individual circumstances of the portfolio company in order to estimate the enterprise value. The methodologies for performing investments may be based on, among other things: valuations of comparable public companies, recent sales of private and public comparable companies, discounting the forecasted cash flows of the portfolio company, third party valuations of the portfolio company, considering offers from third parties to buy the company, estimating the value to potential strategic buyers and considering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value of recent investments in the equity securities of the portfolio company. For non-performing investments, we may estimate the liquidation or collateral value of the portfolio company’s assets and liabilities. We also take into account historical and anticipated financial results.</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investment in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For the quarter ended February 28, 2017, in connection with the refinancing of the Saratoga CLO liabilities, we ran Intex models based on assumptions about the refinanced Saratoga CLO’s structure, including capital structure, cost of liabilities and reinvestment period. We use the output from the Intex models (i.e., the estimated cash flows) to perform a discounted cash flow analysis on expected future cash flows to determine a valuation for our investment in Saratoga CLO at February 28, 2017. The significant inputs for the valuation model include:</w:t>
      </w:r>
    </w:p>
    <w:p>
      <w:pPr>
        <w:spacing w:after="0" w:line="75"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Default rates: 2.0%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Recovery rates: 35-70%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Discount rate: 13.0%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Prepayment rate: 20.0%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Reinvestment rate / price: L+360bps / $99.75.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Saratoga Investment Corp. CLO 2013-1, Ltd. (“Saratoga CLO”)</w:t>
      </w:r>
    </w:p>
    <w:p>
      <w:pPr>
        <w:spacing w:after="0" w:line="12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January 22, 2008, the Company invested $30.0 million in all of the outstanding subordinated notes of GSC Investment Corp. CLO 2007, Ltd., a collateralized loan obligation fund managed by the Company that invests primarily in senior secured loans. Additionally, the Company entered into a collateral management agreement with GSC Investment Corp. CLO 2007, Ltd. pursuant to which we act as collateral manager to it. The Saratoga CLO was initially refinanced in October 2013 and its reinvestment period ended in October 2016. On November 15, 2016, the Company completed the second refinancing of the Saratoga CLO. The Saratoga CLO refinancing, among other things, extended its reinvestment period to October 2018, and extended its legal maturity date to October 2025. Following the refinancing, the Saratoga CLO portfolio remained at the same size and with a similar capital structure of approximately $300.0 million in aggregate principal amount of predominantly senior secured first lien term loans. In addition to refinancing its liabilities, we also purchased $4.5 million in aggregate principal amount of the Class F notes tranche of the Saratoga CLO at par, with a coupon of LIBOR plus 8.5%.</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Saratoga CLO remains 100.0% owned and managed by Saratoga Investment Corp. Following the refinancing, the Company receives a base management fee of 0.10% and a subordinated management fee of 0.40% of the fee basis amount at the beginning of the collection period, paid quarterly to the extent of available proceeds. The Company is also entitled to an incentive management fee equal to 20.0% of excess cash flow to the extent the Saratoga CLO subordinated notes receive an internal rate of return paid in cash equal to or greater than 12.0%. For the years ended February 28, 2017, February 29, 2016 and February 28, 2015, we accrued $1.5 million, $1.5 million, and $1.5 million in management fee income, respectively, and $1.9 million, $2.7 million, and $2.7 million in interest income, respectively, from Saratoga CLO. We did not accrue any amounts related to the incentive management fee from Saratoga CLO as the 12.0% hurdle rate has not yet been achieved.</w:t>
      </w:r>
    </w:p>
    <w:p>
      <w:pPr>
        <w:spacing w:after="0" w:line="178"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6"/>
          <w:szCs w:val="16"/>
          <w:color w:val="auto"/>
        </w:rPr>
        <w:t>At February 28, 2017, the Company determined that the fair value of its investment in the subordinated notes of Saratoga CLO was $11.0 million. The Company determines the fair value of its investment in the subordinated notes of Saratoga CLO based on the present value of the projected future cash flows of the subordinated notes over the life of Saratoga CLO. At February 28, 2017, Saratoga CLO had investments with a principal balance of $297.1 million and a weighted average spread over LIBOR of 4.1%, and had debt with a principal balance of $282.4 million with a weighted average spread over LIBOR of</w:t>
      </w:r>
    </w:p>
    <w:p>
      <w:pPr>
        <w:spacing w:after="0" w:line="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2.4%. As a result, Saratoga CLO earns a “spread” between the interest income it receives on its investments and the interest expense it pays on its debt and other operating expenses, which is distributed quarterly to the Company as the holder of its subordinated notes. At February 28, 2017, the present value of the projected future cash flows of the subordinated notes, was approximately $11.1 million, using a 13.0% discount rate. Saratoga Investment Corp. invested $32.8 million into the CLO since January 2008, and to date has since received distributions of $49.4 million and management fees of $16.5 million.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6"/>
          <w:szCs w:val="16"/>
          <w:color w:val="auto"/>
        </w:rPr>
        <w:t>At February 29, 2016, the Company determined that the fair value of its investment in the subordinated notes of Saratoga CLO was $12.8 million. The Company determines the fair value of its investment in the subordinated notes of Saratoga CLO based on the present value of the projected future cash flows of the subordinated notes over the life of Saratoga CLO. At February 29, 2016, Saratoga CLO had investments with a principal balance of $302.7 million and a weighted average spread over LIBOR of 4.3%, and had debt with a principal balance of $282.4 million with a weighted average spread over LIBOR of</w:t>
      </w:r>
    </w:p>
    <w:p>
      <w:pPr>
        <w:spacing w:after="0" w:line="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1.8%. As a result, Saratoga CLO earns a “spread” between the interest income it receives on its investments and the interest expense it pays on its debt and other operating expenses, which is distributed quarterly to the Company as the holder of its subordinated notes. At February 29, 2016, the total “spread”, or projected future cash flows of the subordinated notes, over the life of Saratoga CLO was $13.1 million, which had a present value of approximately $12.8 million, using a 20.0% discount rate.</w:t>
      </w:r>
    </w:p>
    <w:p>
      <w:pPr>
        <w:spacing w:after="0" w:line="190" w:lineRule="exact"/>
        <w:rPr>
          <w:sz w:val="20"/>
          <w:szCs w:val="20"/>
          <w:color w:val="auto"/>
        </w:rPr>
      </w:pPr>
    </w:p>
    <w:p>
      <w:pPr>
        <w:ind w:right="1060" w:firstLine="456"/>
        <w:spacing w:after="0" w:line="342" w:lineRule="auto"/>
        <w:rPr>
          <w:sz w:val="20"/>
          <w:szCs w:val="20"/>
          <w:color w:val="auto"/>
        </w:rPr>
      </w:pPr>
      <w:r>
        <w:rPr>
          <w:rFonts w:ascii="Arial" w:cs="Arial" w:eastAsia="Arial" w:hAnsi="Arial"/>
          <w:sz w:val="16"/>
          <w:szCs w:val="16"/>
          <w:color w:val="auto"/>
        </w:rPr>
        <w:t>The separate audited financial statements of Saratoga CLO as of February 28, 2017 and February 29, 2016, pursuant to Rule 3-09 of SEC rules Regulation S-X, and for the years ended February 28, 2017, February 29, 2016 and February 28, 2015, are presented on page S-1.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Company intends to operate so as to qualify to be taxed as a RIC under Subchapter M of the Code and, as such, will not be subject to federal income tax on the portion of taxable income and gains distributed to stockholders.</w:t>
      </w:r>
    </w:p>
    <w:p>
      <w:pPr>
        <w:spacing w:after="0" w:line="170"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The Company owns 100.0% of Saratoga CLO, an exempted company incorporated in the Cayman Islands. For financial reporting purposes, the Saratoga CLO is not included as part of the consolidated financial statements. For federal income tax purposes, the Company has requested and received approval from the IRS to treat the Saratoga CLO as a disregarded entity. As such, for federal income tax purposes and for purposes of meeting the RIC qualification and diversification tests, the results of operations of the Saratoga CLO are included with those of the Company.</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qualify as a RIC, the Company is required to meet certain income and asset diversification tests in addition to distributing at least 90.0% of its investment company taxable income, as defined by the Code. Because federal income tax regulations differ from U.S. GAAP, distributions in accordance with tax regulations may differ from net investment income and realized gains recognized for financial reporting purposes. Differences may be permanent or temporary in nature. Permanent differences are reclassified among capital accounts in the financial statements to reflect their tax character. Differences in classification may also result from the treatment of short-term gains as ordinary income for tax purposes. As of February 28, 2017 and February 29, 2016, the Company reclassified for book purposes amounts arising from permanent book/tax differences primarily related to nondeductible excise tax, market discount, and interest income with respect to the Saratoga CLO which is consolidated for tax purposes as follows (dollars in thousands):</w:t>
      </w:r>
    </w:p>
    <w:p>
      <w:pPr>
        <w:spacing w:after="0" w:line="17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620" w:type="dxa"/>
            <w:vAlign w:val="bottom"/>
            <w:gridSpan w:val="4"/>
          </w:tcPr>
          <w:p>
            <w:pPr>
              <w:ind w:left="1360"/>
              <w:spacing w:after="0"/>
              <w:rPr>
                <w:sz w:val="20"/>
                <w:szCs w:val="20"/>
                <w:color w:val="auto"/>
              </w:rPr>
            </w:pPr>
            <w:r>
              <w:rPr>
                <w:rFonts w:ascii="Arial" w:cs="Arial" w:eastAsia="Arial" w:hAnsi="Arial"/>
                <w:sz w:val="14"/>
                <w:szCs w:val="14"/>
                <w:b w:val="1"/>
                <w:bCs w:val="1"/>
                <w:color w:val="auto"/>
              </w:rPr>
              <w:t>February 28,</w:t>
            </w:r>
          </w:p>
        </w:tc>
        <w:tc>
          <w:tcPr>
            <w:tcW w:w="1320" w:type="dxa"/>
            <w:vAlign w:val="bottom"/>
            <w:gridSpan w:val="4"/>
          </w:tcPr>
          <w:p>
            <w:pPr>
              <w:ind w:left="400"/>
              <w:spacing w:after="0"/>
              <w:rPr>
                <w:sz w:val="20"/>
                <w:szCs w:val="20"/>
                <w:color w:val="auto"/>
              </w:rPr>
            </w:pPr>
            <w:r>
              <w:rPr>
                <w:rFonts w:ascii="Arial" w:cs="Arial" w:eastAsia="Arial" w:hAnsi="Arial"/>
                <w:sz w:val="14"/>
                <w:szCs w:val="14"/>
                <w:b w:val="1"/>
                <w:bCs w:val="1"/>
                <w:color w:val="auto"/>
              </w:rPr>
              <w:t>February 29,</w:t>
            </w:r>
          </w:p>
        </w:tc>
      </w:tr>
      <w:tr>
        <w:trPr>
          <w:trHeight w:val="171"/>
        </w:trPr>
        <w:tc>
          <w:tcPr>
            <w:tcW w:w="474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investment income (loss)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Accumulated net realized gains on investments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r>
    </w:tbl>
    <w:p>
      <w:pPr>
        <w:spacing w:after="0" w:line="20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For income tax purposes, distributions paid to shareholders are reported as ordinary income, return of capital, long term capital gains or a combination thereof. The tax character of distributions paid for the years ended February 28, 2017, February 29, 2016 and February 28, 2015 was as follows (dollars in thousands):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February 28,</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29,</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February 28,</w:t>
            </w:r>
          </w:p>
        </w:tc>
      </w:tr>
      <w:tr>
        <w:trPr>
          <w:trHeight w:val="171"/>
        </w:trPr>
        <w:tc>
          <w:tcPr>
            <w:tcW w:w="5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Capital gains</w:t>
            </w:r>
          </w:p>
        </w:tc>
        <w:tc>
          <w:tcPr>
            <w:tcW w:w="160" w:type="dxa"/>
            <w:vAlign w:val="bottom"/>
          </w:tcPr>
          <w:p>
            <w:pPr>
              <w:spacing w:after="0"/>
              <w:rPr>
                <w:sz w:val="18"/>
                <w:szCs w:val="18"/>
                <w:color w:val="auto"/>
              </w:rPr>
            </w:pPr>
          </w:p>
        </w:tc>
        <w:tc>
          <w:tcPr>
            <w:tcW w:w="12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13,045</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6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For federal income tax purposes, as of February 28, 2017, the aggregate net unrealized depreciation for all securities is $12.4 million. The aggregate cost of securities for federal income tax purposes is $586.6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federal income tax purposes, as of February 29, 2016, the aggregate net unrealized depreciation for all securities is $15.4 million. The aggregate cost of securities for federal income tax purposes is $571.4 million.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February 28, 2017 and February 29, 2016, the components of accumulated losses on a tax basis as detailed below differ from the amounts reflected per the Company’s consolidated statements of assets and liabilities by temporary book/tax differences primarily arising from the consolidation of the Saratoga CLO for tax purposes, market discount and original issue discount income, interest income accrual on defaulted bonds, write-off of investments, and amortization of organizational expenditures (dollars in thousands).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February 28,</w:t>
            </w:r>
          </w:p>
        </w:tc>
        <w:tc>
          <w:tcPr>
            <w:tcW w:w="1180" w:type="dxa"/>
            <w:vAlign w:val="bottom"/>
            <w:gridSpan w:val="4"/>
          </w:tcPr>
          <w:p>
            <w:pPr>
              <w:ind w:left="260"/>
              <w:spacing w:after="0"/>
              <w:rPr>
                <w:sz w:val="20"/>
                <w:szCs w:val="20"/>
                <w:color w:val="auto"/>
              </w:rPr>
            </w:pPr>
            <w:r>
              <w:rPr>
                <w:rFonts w:ascii="Arial" w:cs="Arial" w:eastAsia="Arial" w:hAnsi="Arial"/>
                <w:sz w:val="14"/>
                <w:szCs w:val="14"/>
                <w:b w:val="1"/>
                <w:bCs w:val="1"/>
                <w:color w:val="auto"/>
              </w:rPr>
              <w:t>February 29,</w:t>
            </w:r>
          </w:p>
        </w:tc>
      </w:tr>
      <w:tr>
        <w:trPr>
          <w:trHeight w:val="171"/>
        </w:trPr>
        <w:tc>
          <w:tcPr>
            <w:tcW w:w="6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Post October loss deferred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Accumulated capital losses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(46,338)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(58,929)</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(1,941)</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Undistributed ordinary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8,103</w:t>
            </w:r>
          </w:p>
        </w:tc>
        <w:tc>
          <w:tcPr>
            <w:tcW w:w="12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Unrealized 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(12,372)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(15,428)</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 components of accumulated losses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(57,294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(68,195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The Company had incurred capital losses of $19.3 million and $13.0 million, respectively, for the years ended February 28, 2011 and 2010. Such capital losses will be available to offset future capital gains if any and if unused, will expire on February 28, 2019 and 2018.</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At February 28, 2017, the Company had a short-term capital loss of $10.7 million and a long-term capital loss of $3.3 million, available to offset future capital gains. Post RIC-modernization act losses are deemed to arise on the first day of the fund’s following fiscal year and there is no expiration for these losses.</w:t>
      </w:r>
    </w:p>
    <w:p>
      <w:pPr>
        <w:spacing w:after="0" w:line="18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Company is subject to a nondeductible U.S. federal excise tax of 4.0% on undistributed income if it does not distribute at least 98% of its ordinary income in any calendar year and 98.2% of its capital gain net income for each one-year period ending on October 31 of such calendar year. Depending on the level of Investment Company Taxable Income (“ICTI”) earned in a tax year, the Company may choose to carry forward ICTI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Any such carryover ICTI must be distributed before the end of that next tax year through a dividend declared prior to filing the final tax return related to the year which generated such ICTI. For the calendar year ended December 31, 2016, the Company did not distribute at least 98% of its ordinary income and 98.2% of its capital gains and subsequently paid $44,770 in federal excise taxes.</w:t>
      </w:r>
    </w:p>
    <w:p>
      <w:pPr>
        <w:spacing w:after="0" w:line="197"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Management has analyzed the Company’s tax positions taken on federal income tax returns for all open years (fiscal years 2014-2017), and has concluded that no provision for uncertain income tax positions is required in the Company’s consolidated financial statements.</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December 22, 2010, the Regulated Investment Company Modernization Act of 2010 (the “Modernization Act”) was enacted, and the provisions with the Modernization Act are effective for the Company for the year ended February 29, 2012. The Modernization Act is the first major piece of legislation affecting RICs since 1986 and it modernizes several of the federal income and excise tax provisions related to RICs. Some highlights of the enacted provisions are as follows:</w:t>
      </w:r>
    </w:p>
    <w:p>
      <w:pPr>
        <w:spacing w:after="0" w:line="18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New capital losses may now be carried forward indefinitely, and retain the character of the original loss. Under pre-enactment law, capital losses could be carried forward for eight years, and carried forward as short-term capital, irrespective of the character of the original loss.</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Modernization Act contains simplification provisions, which are aimed at preventing disqualification of a RIC for “inadvertent” failures of the asset diversification and/or qualifying income tests. Additionally, the Modernization Act exempts RICs from the preferential dividend rule, and repealed the 60-day designation requirement for certain types of pay-through income and gains.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Finally, the Modernization Act contains several provisions aimed at preserving the character of distributions made by a fiscal year RIC during the portion of its taxable year ending after October 31 or December 31, reducing the circumstances under which a RIC might be required to file amended Forms 1099 to restate previously reported distributions.</w:t>
      </w:r>
    </w:p>
    <w:p>
      <w:pPr>
        <w:spacing w:after="0" w:line="181"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SIA Avionte, Inc., SIA Easy Ice, LLC, SIA GH Inc., SIA Mercury, Inc., SIA TT, Inc., and SIA Vector, Inc., 100% owned by the Company, are each filing standalone C Corporation tax returns for federal and state purposes. As separately regarded entities for tax purposes, these entities are taxed at normal corporate rates. For tax purposes, any distributions by the entities to the parent company would generally need to be distributed to the Company’s shareholders. Generally, such distributions of the entities’ income to the Company’s shareholders will be considered as qualified dividends for tax purposes. The entities taxable net income will differ from U.S. GAAP net income because of deferred tax temporary differences adjustments. Deferred tax temporary differences may include differences for state taxes and joint venture interests.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Agreements and Related Party Transactions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30, 2010, the Company entered into the Management Agreement with our Manager. The initial term of the Management Agreement was two years, with automatic, one-year renewals at the end of each year, subject to certain approvals by our board of directors and/or the Company’s stockholders. On July 7, 2016, our board of directors approved the renewal of the Management Agreement for an additional one-year term. Pursuant to the Management Agreement, our Manager implements our business strategy on a day-to-day basis and performs certain services for us, subject to oversight by our board of directors. Our Manager is responsible for, among other duties, determining investment criteria, sourcing, analyzing and executing investments transactions, asset sales, financings and performing asset management duties. Under the Management Agreement, we have agreed to pay our Manager a management fee for investment advisory and management services consisting of a base management fee and an incentive fee.</w:t>
      </w:r>
    </w:p>
    <w:p>
      <w:pPr>
        <w:spacing w:after="0" w:line="16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base management fee of 1.75% is calculated based on the average value of our gross assets (other than cash or cash equivalents, but including assets purchased with borrowed funds) at the end of the two most recently completed fiscal quarters.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first, payable quarterly in arrears, equals 20.0% of our pre-incentive fee net investment income, expressed as a rate of return on the value of our net assets at the end of the immediately preceding quarter, that exceeds a 1.875% quarterly hurdle rate measured as of the end of each fiscal quarter, subject to a “catch-up” provision. Under this provision, in any fiscal quarter, our Manager receives no incentive fee unless our pre-incentive fee net investment income exceeds the hurdle rate of 1.875%. Our Manager will receive 100.0% of pre-incentive fee net investment income, if any, that exceeds the hurdle rate but is less than or equal to 2.344% in any fiscal quarter; and 20.0% of the amount of the our pre-incentive fee net investment income, if any, that exceeds 2.344% in any fiscal quarter. There is no accumulation of amounts on the hurdle rate from quarter to quarter, and accordingly there is no claw back of amounts previously paid if subsequent quarters are below the quarterly hurdle rate, and there is no delay of payment if prior quarters are below the quarterly hurdle rate.</w:t>
      </w:r>
    </w:p>
    <w:p>
      <w:pPr>
        <w:spacing w:after="0" w:line="19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fiscal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our Manager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79"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For the years ended February 28, 2017, February 29, 2016 and February 28, 2015, the Company incurred $4.9 million, $4.5 million and $4.2 million in base management fees, respectively. For the years ended February 28, 2017, February 29, 2016 and February 28, 2015, the Company incurred $2.8 million, $2.3 million and $2.2 million in incentive fees related to pre-incentive fee net investment income. For the year ended February 28, 2017, we accrued</w:t>
      </w:r>
    </w:p>
    <w:p>
      <w:pPr>
        <w:ind w:right="60"/>
        <w:spacing w:after="0" w:line="271" w:lineRule="auto"/>
        <w:rPr>
          <w:sz w:val="20"/>
          <w:szCs w:val="20"/>
          <w:color w:val="auto"/>
        </w:rPr>
      </w:pPr>
      <w:r>
        <w:rPr>
          <w:rFonts w:ascii="Arial" w:cs="Arial" w:eastAsia="Arial" w:hAnsi="Arial"/>
          <w:sz w:val="17"/>
          <w:szCs w:val="17"/>
          <w:color w:val="auto"/>
        </w:rPr>
        <w:t>$0.1 million in incentive fees related to capital gains. For the year ended February 29, 2016, there was a reduction of $0.05 million in incentive fees related to capital gains. For the year ended February 28, 2015, we accrued $0.3 million in incentive fees related to capital gains. The accrual is calculated using both realized and unrealized capital gains for the period. The actual incentive fee related to capital gains will be determined and payable in arrears at the end of the fiscal year and will include only realized capital gains for the period. As of February 28, 2017, the base management fees accrual was $1.2 million and the incentive fees accrual was $4.6 million and is included in base management and incentive fees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payable in the accompanying consolidated statements of assets and liabilities. As of February 29, 2016, the base management fees accrual was $1.2 million and the incentive fees accrual was $4.4 million and is included in base management and incentive fees payable in the accompanying consolidated statements of assets and liabilities.</w:t>
      </w:r>
    </w:p>
    <w:p>
      <w:pPr>
        <w:spacing w:after="0" w:line="18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July 30, 2010, the Company entered into a separate administration agreement (the “Administration Agreement”) with our Manager, pursuant to which our Manager, as our administrator, has agreed to furnish us with the facilities and administrative services necessary to conduct our day-to-day operations and provide managerial assistance on our behalf to those portfolio companies to which we are required to provide such assistance. The initial term of the Administration Agreement was two years, with automatic, one-year renewals at the end of each year subject to certain approvals by our board of directors and/or our stockholders. The amount of expenses payable or reimbursable thereunder by the Company was capped at $1.0 million for the initial two year term of the Administration Agreement and subsequent renewals. On July 8, 2015, our board of directors approved the renewal of the Administration Agreement for an additional one-year term and determined to increase the cap on the payment or reimbursement of expenses by the Company thereunder, which had not been increased since the inception of the agreement, to $1.3 million. On July 7, 2016, our board of directors approved the renewal of the Administration Agreement for an additional one-year term. On October 5, 2016, our board of directors determined to increase the cap on the payment or reimbursement of expenses by the Company under the Administration Agreement, from $1.3 million to $1.5 million, effective November 1, 2016.</w:t>
      </w:r>
    </w:p>
    <w:p>
      <w:pPr>
        <w:spacing w:after="0" w:line="16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For the years ended February 28, 2017, February 29, 2016 and February 28, 2015, we recognized $1.4 million, $1.2 million and $1.0 million, in administrator expenses, respectively, pertaining to bookkeeping, record keeping and other administrative services provided to us in addition to our allocable portion of rent and other overhead related expenses. As of February 28, 2017, $0.4 million of administrator expenses were accrued and included in due to manager in the accompanying consolidated statements of assets and liabilities. As of February 29, 2016, $0.2 million of administrator expenses were accrued and included in due to manager in the accompanying consolidated statements of assets and liabilities. For the years ended February 28, 2017, February 29, 2016 and February 28, 2015, the Company neither bought nor sold any investments from the Saratoga CLO.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a BDC, we are only allowed to employ leverage to the extent that our asset coverage, as defined in the 1940 Act, equals at least 200.0% after giving effect to such leverage. The amount of leverage that we employ at any time depends on our assessment of the market and other factors at the time of any proposed borrowing.</w:t>
      </w:r>
    </w:p>
    <w:p>
      <w:pPr>
        <w:spacing w:after="0" w:line="18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On April 11, 2007, we entered into a $100.0 million revolving securitized credit facility (the “Revolving Facility”). On May 1, 2007, we entered into a $25.7 million term securitized credit facility (the “Term Facility” and, together with the Revolving Facility, the “Facilities”), which was fully drawn at closing. In December 2007, we consolidated the Facilities by using a draw under the Revolving Facility to repay the Term Facility. In response to the market wide decline in financial asset prices, which negatively affected the value of our portfolio, we terminated the revolving period of the Revolving Facility effective January 14, 2009 and commenced a two-year amortization period during which all principal proceeds from the collateral were used to repay outstanding borrowings. A significant percentage of our total assets had been pledged under the Revolving Facility to secure our obligations thereunder. Under the Revolving Facility, funds were borrowed from or through certain lenders and interest was payable monthly at the greater of the commercial paper rate and our lender’s prime rate plus 4.00% plus a default rate of 2.00% or, if the commercial paper market was unavailable, the greater of the prevailing LIBOR rates and our lender’s prime rate plus 6.00% plus a default rate of 3.00%.</w:t>
      </w:r>
    </w:p>
    <w:p>
      <w:pPr>
        <w:spacing w:after="0" w:line="182"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In March 2009, we amended the Revolving Facility to increase the portion of the portfolio that could be invested in “CCC” rated investments in return for an increased interest rate and expedited amortization. As a result of these transactions, we expected to have additional cushion under our borrowing base under the Revolving Facility that would allow us to better manage our capital in times of declining asset prices and market dislocation.</w:t>
      </w:r>
    </w:p>
    <w:p>
      <w:pPr>
        <w:spacing w:after="0" w:line="166"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On July 30, 2009, we exceeded the permissible borrowing limit under the Revolving Facility for 30 consecutive days, resulting in an event of default under the Revolving Facility. As a result of this event of default, our lender had the right to accelerate repayment of the outstanding indebtedness under the Revolving Facility and to foreclose and liquidate the collateral pledged thereunder. Acceleration of the outstanding indebtedness and/or liquidation of the collateral could have had a material adverse effect on our liquidity, financial condition and operations.</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July 30, 2010, we used the net proceeds from (i) the stock purchase transaction and (ii) a portion of the funds available to us under the $45.0 million senior secured revolving credit facility (the “Credit Facility”) with Madison Capital Funding LLC, in each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case, to pay the full amount of principal and accrued interest, including default interest, outstanding under the Revolving Facility. As a result, the Revolving Facility was terminated in connection therewith. Substantially all of our total assets, other than those held by SBIC LP, have been pledged under the Credit Facility to secure our obligations thereunder.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131"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130" w:lineRule="exact"/>
        <w:rPr>
          <w:rFonts w:ascii="Arial" w:cs="Arial" w:eastAsia="Arial" w:hAnsi="Arial"/>
          <w:sz w:val="18"/>
          <w:szCs w:val="18"/>
          <w:color w:val="auto"/>
        </w:rPr>
      </w:pPr>
    </w:p>
    <w:p>
      <w:pPr>
        <w:ind w:left="900" w:right="340" w:hanging="446"/>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extend the period during which we may make and repay borrowings under the Credit Facility from July 30, 2013 to February 24, 2015 (the “Revolving Period”). The Revolving Period may, upon the occurrence of an event of default, by action of the lenders or automatically, be terminated. All borrowings and other amounts payable under the Credit Facility are due and payable five years after the end of the Revolving Period; and</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remove the condition that we may not acquire additional loan assets without the prior written consent of Madison Capital Funding LLC.</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September 17, 2014, we entered into a second amendment to the Credit Facility with Madison Capital Funding LLC to, among other things:</w:t>
      </w:r>
    </w:p>
    <w:p>
      <w:pPr>
        <w:spacing w:after="0" w:line="142"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extend the commitment termination date from February 24, 2015 to September 17,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extend the maturity date of the Credit Facility from February 24, 2020 to September 17, 2022 (unless terminated sooner upon certain events);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reduce the applicable margin rate on base rate borrowings from 4.50% to 3.75%, and on LIBOR borrowings from 5.50% to 4.75%;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 the floor on base rate borrowings from 3.00% to 2.25%; and on LIBOR borrowings from 2.00% to 1.25%.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February 28, 2017 and February 29, 2016, there were no outstanding borrowings under the Credit Facility and the Company was in compliance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 all of the limitations and requirements of the Credit Facility. Financing costs of $2.7 million related to the Credit Facility have been capitalized and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being amortized over the term of the facility. For the years ended February 28, 2017, February 29, 2016 and February 28, 2015, we recorded $0.4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$0.7 million and $0.9 million of interest expense, respectively. For the years ended February 28, 2017, February 29, 2016 and February 28, 2015, we recorded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$0.1 million, $0.1 million and $0.3 million of amortization of deferred financing costs related to the Credit Facility and Revolving Facility,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February 28, 2017, there were no outstanding borrowings under the Credit Facility. The interest rate during the year ended</w:t>
      </w:r>
    </w:p>
    <w:p>
      <w:pPr>
        <w:spacing w:after="0" w:line="2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February 29, 2016 on the outstanding borrowings under the Credit Facility was 6.00%. During the year ended February 29, 2016, the average dollar amount of outstanding borrowings under the Credit Facility was $4.4 million.</w:t>
      </w:r>
    </w:p>
    <w:p>
      <w:pPr>
        <w:spacing w:after="0" w:line="18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Credit Facility contains limitations as to how borrowed funds may be used, such as restrictions on industry concentrations, asset size, weighted average life, currency denomination and collateral interests. The Credit Facility also includes certain requirements relating to portfolio performance, the violation of which could result in the limit of further advances and, in some cases, result in an event of default, allowing the lenders to accelerate repayment of amounts owed thereunder. The Credit Facility has an eight year term, consisting of a three year period (the “Revolving Period”), under which the Company may make and repay borrowings, and a final maturity five years from the end of the Revolving Period. Availability on the Credit Facility will be subject to a borrowing base calculation, based on, among other things, applicable advance rates (which vary from 50.0% to 75.0% of par or fair value depending on the type of loan asset) and the value of certain “eligible” loan assets included as part of the Borrowing Base. Funds may be borrowed at the greater of the prevailing LIBOR rate and 2.00%, plus an applicable margin of 5.50%. At the Company’s option, funds may be borrowed based on an alternative base rate, which in no event will be less than 3.00%, and the applicable margin over such alternative base rate is 4.50%. In addition, the Company will pay the lenders a commitment fee of 0.75% per year on the unused amount of the Credit Facility for the duration of the Revolving Period.</w:t>
      </w:r>
    </w:p>
    <w:p>
      <w:pPr>
        <w:spacing w:after="0" w:line="16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borrowing base under the Credit Facility was $24.7 million subject to the Credit Facility cap of $45.0 million at February 28, 2017. For purposes of determining the borrowing base, most assets are assigned the values set forth in our most recent Annual Report on Form 10-K or Quarterly Report on</w:t>
      </w:r>
    </w:p>
    <w:p>
      <w:pPr>
        <w:ind w:right="100"/>
        <w:spacing w:after="0" w:line="302" w:lineRule="auto"/>
        <w:rPr>
          <w:sz w:val="20"/>
          <w:szCs w:val="20"/>
          <w:color w:val="auto"/>
        </w:rPr>
      </w:pPr>
      <w:r>
        <w:rPr>
          <w:rFonts w:ascii="Arial" w:cs="Arial" w:eastAsia="Arial" w:hAnsi="Arial"/>
          <w:sz w:val="16"/>
          <w:szCs w:val="16"/>
          <w:color w:val="auto"/>
        </w:rPr>
        <w:t>Form 10-Q filed with the Securities and Exchange Commission (“SEC”). Accordingly, the February 28, 2017 borrowing base relies upon the valuations set forth in the Quarterly Report on Form 10-Q for the period ended November 30, 2016, as filed with the SEC on January 11, 2017. The valuations presented in this Annual Report on Form 10-K will not be incorporated into the borrowing base until after this Annual Report on Form 10-K is filed with the SEC.</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 in and is subject to customary regulatory requirements including but not limited to an examination by the SBA. As of February 28, 2017, we have funded SBIC LP with $75.0 million of equity capital, and have $112.7 million of SBA-guaranteed debentures outstanding.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w:t>
      </w:r>
    </w:p>
    <w:p>
      <w:pPr>
        <w:spacing w:after="0" w:line="19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$19.5 million and have average annual fully taxed net income not exceeding $6.5 million for the two most recent fiscal years. In addition, an SBIC must devote 25.0% of its investment activity to ‘‘smaller’’ concerns as defined by the SBA. A smaller concern is one that has a tangible net worth not exceeding $6.0 million and has average annual fully taxed net income not exceeding $2.0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166"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SBIC LP is subject to regulation and oversight by the SBA, including requirements with respect to maintaining certain minimum financial ratios and other covenants. Receipt of an SBIC license does not assure that SBIC LP will receive SBA-guaranteed debenture funding, which is dependent upon SBIC LP continuing to be in compliance with SBA regulations and policies. The SBA, as a creditor, will have a superior claim to SBIC LP’s assets over our stockholders and debtholders in the event we liquidate SBIC LP or the SBA exercises its remedies under the SBA-guaranteed debentures issued by SBIC LP upon an event of default.</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Company received exemptive relief from the SEC to permit it to exclude the debt of SBIC LP guaranteed by the SBA from the definition of senior securities in the 200.0% asset coverage test under the 1940 Act. This allows the Company increased flexibility under the 200.0% asset coverage test by permitting it to borrow up to $150.0 million more than it would otherwise be able to absent the receipt of this exemptive relief.</w:t>
      </w:r>
    </w:p>
    <w:p>
      <w:pPr>
        <w:spacing w:after="0" w:line="16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As of February 28, 2017 and February 29, 2016, there was $112.7 million and $103.7 million outstanding of SBA debentures, respectively. The carrying amount of the amount outstanding of SBA debentures approximates its fair value, which is based on a waterfall analysis showing adequate collateral coverage, $4.1 million, of financing costs related to the SBA debentures, have been capitalized and are being amortized over the term of the commitment and drawdown. For the years ended February 28, 2017, February 29, 2016 and February 28, 2015, we recorded $3.4 million, $2.6 million and $2.0 million of interest expense related to the SBA debentures, respectively. For the years ended February 28, 2017, February 29, 2016 and February 28, 2015, we recorded $0.5 million, $0.4 million and $0.3 million of amortization of deferred financing costs related to the SBA debentures, respectively. The weighted average interest rate during the years ended February 28, 2017, February 29, 2016 and February 28, 2015 on the outstanding borrowings of the SBA debentures was 3.13%, 3.12% and 2.93%, respectively. During the years ended February 28, 2017 and February 29, 2016, the average dollar amount of SBA debentures outstanding was $107.6 million and $83.0 million, respectively.</w:t>
      </w:r>
    </w:p>
    <w:p>
      <w:pPr>
        <w:spacing w:after="0" w:line="182"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In December 2015, the 2016 omnibus spending bill approved by Congress and signed into law by the President increased the amount of SBA-guaranteed debentures that affiliated SBIC funds can have outstanding from $225.0 million to $350.0 million, subject to SBA approval. SBA regulations currently limit the amount of SBA-guaranteed debentures that an SBIC may issue to $150.0 million when it has at least $75.0 million in regulatory capital. Affiliated SBICs are permitted to issue up to a combined maximum amount of $350.0 million in SBA-guaranteed debentures when they have at least $175.0 million in combined regulatory capital.</w:t>
      </w:r>
    </w:p>
    <w:p>
      <w:pPr>
        <w:spacing w:after="0" w:line="18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On April 2, 2015, the SBA issued a “green light” letter inviting the Company to continue the application process to obtain a license to form and operate its second SBIC subsidiary. On September 27, 2016, the SBA informed us that as part of their continued review of our application for a second license, and in order to ensure that they were reviewing the most current information available, we would need to update all previously submitted materials and invited us to reapply. As a result of this request, with which we are in the process of complying, the existing “green light” letter that the SBA issued to us has expired. If approved in the future, a second SBIC license would provide us an incremental source of long-term capital by permitting us to issue up to $150.0 million of additional SBA-guaranteed debentures in addition to the $150.0 million already approved under the first license.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May 10, 2013, the Company issued $42.0 million in aggregate principal amount of 7.50% fixed-rate notes due 2020 (the “2020 Notes”). The 2020 Notes will mature on May 31, 2020, and since May 31, 2016, may be redeemed in whole or in part at any time or from time to time at the Company’s option. Interest will be payable quarterly beginning August 15, 2013.</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 May 17, 2013, the Company closed an additional $6.3 million in aggregate principal amount of the 2020 Notes, pursuant to the full exercise of the underwriters’ option to purchase additional 2020 Notes. On May 29, 2015, the Company entered into a Debt Distribution Agreement with Ladenburg Thalmann &amp; Co. through which the Company may offer for sale, from time to time, up to $20.0 million in aggregate principal amount of the 2020 Notes through an At-the-Market (“ATM”) offering. As of February 28, 2017, the Company sold 539,725 bonds with a principal of $13,493,125 at an average price of $25.31 for aggregate net proceeds of $13,385,766 (net of transaction costs).</w:t>
      </w:r>
    </w:p>
    <w:p>
      <w:pPr>
        <w:spacing w:after="0" w:line="173"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On December 21, 2016, the Company issued $74.5 million in aggregate principal amount of our 6.75% fixed-rate notes due 2023 (the “2023 Notes”) for net proceeds of $71.7 million after deducting underwriting commissions of approximately $2.3 million and offering costs of approximately $0.5 million. The issuance included the exercise of substantially all of the underwriters’ option to purchase an additional $9.8 million aggregate principal amount of 2023 Notes within 30 days. Interest on the 2023 Notes is paid quarterly in arrears on March 15, June 15, September 15 and December 15, at a rate of 6.75% per year, beginning March 30, 2017. The 2023 Notes mature on December 30, 2023, and commencing December 21, 2019, may be redeemed in whole or in part at any time or from time to time at our option. The net proceeds from the offering were used to repay all of the outstanding indebtedness under the 2020 Notes, which amounts to $61.8 million, and for general corporate purposes in accordance with our investment objective and strategies. The 2023 Notes are listed on the NYSE under the trading symbol “SAB” with a par value of $25.00 per share.</w:t>
      </w:r>
    </w:p>
    <w:p>
      <w:pPr>
        <w:spacing w:after="0" w:line="179"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remaining unamortized deferred debt financing costs of $1.5 million (including underwriting commissions and net of issuance premiums), was recorded within loss on debt extinguishment in the consolidated statements of operations when the related 2020 Notes were extinguished. As of February 28, 2017, $2.8 million of financing costs related to the 2023 Notes have been capitalized and are being amortized over the term of the 2023 Notes.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February 28, 2017, the carrying amount and fair value of the 2023 Notes was $74.5 million and $77.1 million, respectively. The fair value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2023 Notes, which are publicly traded, is based upon closing market quotes as of the measurement date and would be classified as a Level 1 liability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hierarchy. For the year ended February 28, 2017, we recorded $4.0 million of interest expense and $0.3 million of amortization of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financing costs related to the 2020 Notes, and $1.0 million of interest expense and $0.1 million of amortization of deferred financing costs related to the 2023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As of February 29, 2016, the carrying amount and fair value of the 2020 Notes was $61.8 million and $60.2 million, respectively. The fair value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 Notes, which were publicly traded, is based upon closing market quotes as of the measurement date and would be classified as a Level 1 liability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hierarchy. As of February 29, 2016, $2.7 million of financing costs related to the 2020 Notes (including underwriting commissions and net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premiums) had been capitalized and were being amortized over the term of the 2020 Notes. For the year ended February 29, 2016, we recorded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$4.3 million of interest expense and $0.4 million of amortization of deferred financing costs related to the 2020 Notes. During the years ended February 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and February 29, 2016, the average dollar amount of 2020 Notes outstanding was $61.8 million and of $55.9 million, respectively. During the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February 28, 2017, the average dollar amount of 2023 Notes outstanding was $74.5 million.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February 28, 2017:</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w w:val="99"/>
              </w:rPr>
              <w:t>Payment Due by Period</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1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Total</w:t>
            </w: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Less Than</w:t>
            </w: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1 - 3</w:t>
            </w:r>
          </w:p>
        </w:tc>
        <w:tc>
          <w:tcPr>
            <w:tcW w:w="300" w:type="dxa"/>
            <w:vAlign w:val="bottom"/>
          </w:tcPr>
          <w:p>
            <w:pPr>
              <w:spacing w:after="0"/>
              <w:rPr>
                <w:sz w:val="10"/>
                <w:szCs w:val="10"/>
                <w:color w:val="auto"/>
              </w:rPr>
            </w:pPr>
          </w:p>
        </w:tc>
        <w:tc>
          <w:tcPr>
            <w:tcW w:w="5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3 - 5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4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ind w:left="520"/>
              <w:spacing w:after="0" w:line="142" w:lineRule="exact"/>
              <w:rPr>
                <w:sz w:val="20"/>
                <w:szCs w:val="20"/>
                <w:color w:val="auto"/>
              </w:rPr>
            </w:pPr>
            <w:r>
              <w:rPr>
                <w:rFonts w:ascii="Arial" w:cs="Arial" w:eastAsia="Arial" w:hAnsi="Arial"/>
                <w:sz w:val="14"/>
                <w:szCs w:val="14"/>
                <w:b w:val="1"/>
                <w:bCs w:val="1"/>
                <w:color w:val="auto"/>
                <w:w w:val="99"/>
              </w:rPr>
              <w:t>($ in thousands)</w:t>
            </w: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3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187,111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$ 187,111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3480" w:type="dxa"/>
            <w:vAlign w:val="bottom"/>
            <w:gridSpan w:val="3"/>
          </w:tcPr>
          <w:p>
            <w:pPr>
              <w:ind w:left="1480"/>
              <w:spacing w:after="0"/>
              <w:rPr>
                <w:sz w:val="20"/>
                <w:szCs w:val="20"/>
                <w:color w:val="auto"/>
              </w:rPr>
            </w:pPr>
            <w:r>
              <w:rPr>
                <w:rFonts w:ascii="Arial" w:cs="Arial" w:eastAsia="Arial" w:hAnsi="Arial"/>
                <w:sz w:val="18"/>
                <w:szCs w:val="18"/>
                <w:color w:val="auto"/>
              </w:rPr>
              <w:t>F-27</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Company’s off-balance sheet arrangements consisted of $2.0 million and $2.0 million of unfunded commitments to provide debt financing to its portfolio companies or to fund limited partnership interests as of February 28, 2017 and February 29, 2016,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statements of assets and liabilities and are not reflected in the Company’s consolidated statements of assets and liabilities.</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 summary of the composition of the unfunded commitments as of February 28, 2017 and February 29, 2016 is shown in the table below (dollars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85"/>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28,</w:t>
            </w:r>
          </w:p>
        </w:tc>
        <w:tc>
          <w:tcPr>
            <w:tcW w:w="14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February 29,</w:t>
            </w:r>
          </w:p>
        </w:tc>
        <w:tc>
          <w:tcPr>
            <w:tcW w:w="60" w:type="dxa"/>
            <w:vAlign w:val="bottom"/>
          </w:tcPr>
          <w:p>
            <w:pPr>
              <w:spacing w:after="0"/>
              <w:rPr>
                <w:sz w:val="10"/>
                <w:szCs w:val="10"/>
                <w:color w:val="auto"/>
              </w:rPr>
            </w:pPr>
          </w:p>
        </w:tc>
      </w:tr>
      <w:tr>
        <w:trPr>
          <w:trHeight w:val="171"/>
        </w:trPr>
        <w:tc>
          <w:tcPr>
            <w:tcW w:w="6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Avionte Holdings,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GreyHeller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Identity Automation Systems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6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Directors Fees</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independent directors receive an annual fee of $40,000. They also receive $2,500 plus reimbursement of reasonable out-of-pocket expenses incurred in connection with attending each board meeting and receive $1,000 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 “interested persons” of the Company (as such term is defined in the 1940 Act). For the years ended February 28, 2017, February 29, 2016 and February 28, 2015, we incurred $0.2 million, $0.2 million, and $0.2 million for directors’ fees and expenses, respectively. As of February 28, 2017 and February 29, 2016, $0.05 million and $0.03 million in directors’ fees and expenses were accrued and unpaid, respectively. As of February 28, 2017, we had not issued any common stock to our directors as compensation for their services.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2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On May 16, 2006, GSC Group, Inc. capitalized the LLC, by contributing $1,000 in exchange for 67 shares, constituting all of the issued and outstanding shares of the LLC.</w:t>
      </w:r>
    </w:p>
    <w:p>
      <w:pPr>
        <w:spacing w:after="0" w:line="17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On March 20, 2007, the Company issued 95,995.5 and 8,136.2 shares of common stock, priced at $150.00 per share, to GSC Group and certain individual employees of GSC Group, respectively, in exchange for the general partnership interest and a limited partnership interest in GSC Partners CDO III GP, LP, collectively valued at $15.6 million. At this time, the 6.7 shares owned by GSC Group in the LLC were exchanged for 6.7 shares of the Company.</w:t>
      </w:r>
    </w:p>
    <w:p>
      <w:pPr>
        <w:spacing w:after="0" w:line="18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On March 28, 2007, the Company completed its IPO of 725,000 shares of common stock, priced at $150.00 per share, before underwriting discounts and commissions. Total proceeds received from the IPO, net of $7.1 million in underwriter’s discount and commissions, and $1.0 million in offering costs, were $100.7 million.</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November 13, 2009, we declared a dividend of $18.25 per share payable on December 31, 2009. Shareholders had the option to receive payment of the dividend in cash, shares of common stock, or a combination of cash and shares of common stock, provided that the aggregate cash payable to all shareholders was limited to $2.1 million or $2.50 per share. Based on shareholder elections, the dividend consisted of $2.1 million in cash and 864,872.5 of newly issued shares of common stock.</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July 30, 2010, our Manager and its affiliates purchased 986,842 shares of common stock at $15.20 per share. Total proceeds received from this sale were $15.0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On November 12, 2010, we declared a dividend of $4.40 per share payable on December 29, 2010. Shareholders had the option to receive payment of the dividend in cash, shares of common stock, or a combination of cash and shares of common stock, provided that the aggregate cash payable to all shareholders was limited to approximately $1.2 million or $0.44 per share. Based on shareholder elections, the dividend consisted of approximately</w:t>
      </w:r>
    </w:p>
    <w:p>
      <w:pPr>
        <w:spacing w:after="0"/>
        <w:rPr>
          <w:sz w:val="20"/>
          <w:szCs w:val="20"/>
          <w:color w:val="auto"/>
        </w:rPr>
      </w:pPr>
      <w:r>
        <w:rPr>
          <w:rFonts w:ascii="Arial" w:cs="Arial" w:eastAsia="Arial" w:hAnsi="Arial"/>
          <w:sz w:val="18"/>
          <w:szCs w:val="18"/>
          <w:color w:val="auto"/>
        </w:rPr>
        <w:t>$1.2 million in cash and 596,235 shares of common stock.</w:t>
      </w:r>
    </w:p>
    <w:p>
      <w:pPr>
        <w:spacing w:after="0" w:line="211"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On November 15, 2011, we declared a dividend of $3.00 per share payable on December 30, 2011. Shareholders had the option to receive payment of the dividend in cash, shares of common stock, or a combination of cash and shares of common stock, provided that the aggregate cash payable to all shareholders was limited to approximately $2.0 million or $0.60 per share. Based on shareholder elections, the dividend consisted of approximately</w:t>
      </w:r>
    </w:p>
    <w:p>
      <w:pPr>
        <w:spacing w:after="0"/>
        <w:rPr>
          <w:sz w:val="20"/>
          <w:szCs w:val="20"/>
          <w:color w:val="auto"/>
        </w:rPr>
      </w:pPr>
      <w:r>
        <w:rPr>
          <w:rFonts w:ascii="Arial" w:cs="Arial" w:eastAsia="Arial" w:hAnsi="Arial"/>
          <w:sz w:val="18"/>
          <w:szCs w:val="18"/>
          <w:color w:val="auto"/>
        </w:rPr>
        <w:t>$2.0 million in cash and 599,584 shares of common stock.</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November 9, 2012, the Company declared a dividend of $4.25 per share payable on December 31, 2012. Shareholders had the option to receive payment of the dividend in cash, shares of common stock, or a combination of cash and shares of common stock, provided that the aggregate cash payable to all shareholders was limited to approximately $3.3 million or $0.85 per share. Based on shareholder elections, the dividend consisted of approximately $3.3 million in cash and 853,455 shares of common stock.</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October 30, 2013, the Company declared a dividend of $2.65 per share payable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 Based on shareholder elections, the dividend consisted of approximately $2.5 million in cash and 649,500 shares of common stock.</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September 24, 2014, the Company declared a dividend of $0.18 per share payable on November 28, 2014. Shareholders had the option to receive payment of the dividend in cash, or receive shares of common stock pursuant to the Company’s DRIP. Based on shareholder elections, the dividend consisted of approximately $0.6 million in cash and 22,283 newly issued shares of common stock.</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On September 24, 2014, the Company declared a dividend of $0.22 per share payable on February 27, 2015. Shareholders had the option to receive payment of the dividend in cash, or receive shares of common stock, pursuant our DRIP. Based on shareholder elections, the dividend consisted of approximately $0.8 million in cash and 26,858 newly issued shares of common stock.</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April 9, 2015, the Company declared a dividend of $0.27 per share payable on May 29, 2015. Shareholders had the option to receive payment of the dividend in cash, or receive shares of common stock, pursuant our DRIP. Based on shareholder elections, the dividend consisted of approximately $0.9 million in cash and 33,766 newly issued shares of common stock.</w:t>
      </w:r>
    </w:p>
    <w:p>
      <w:pPr>
        <w:spacing w:after="0" w:line="181"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On May 14, 2015, the Company declared a special dividend of $1.00 per share payable on June 5, 2015. Shareholders had the option to receive payment of the dividend in cash, or receive shares of common stock, pursuant our DRIP. Based on shareholder elections, the dividend consisted of approximately $3.4 million in cash and 126,230 newly issued shares of common stock.</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July 8, 2015, the Company declared a dividend of $0.33 per share payable on August 31, 2015. Shareholders had the option to receive payment of the dividend in cash, or receive shares of common stock, pursuant our DRIP. Based on shareholder elections, the dividend consisted of approximately $1.1 million in cash and 47,861 newly issued shares of common stock.</w:t>
      </w:r>
    </w:p>
    <w:p>
      <w:pPr>
        <w:spacing w:after="0" w:line="18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On October 7, 2015, the Company declared a dividend of $0.36 per share payable on November 30, 2015. Shareholders had the option to receive payment of the dividend in cash, or receive shares of common stock, pursuant our DRIP. Based on shareholder elections, the dividend consisted of approximately $1.1 million in cash and 61,029 newly issued shares of common stock.</w:t>
      </w:r>
    </w:p>
    <w:p>
      <w:pPr>
        <w:spacing w:after="0" w:line="181"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On January 12, 2016, the Company declared a dividend of $0.40 per share payable on February 29, 2016. Shareholders had the option to receive payment of the dividend in cash, or receive shares of common stock, pursuant our DRIP. Based on shareholder elections, the dividend consisted of approximately $1.4 million in cash and 66,765 newly issued shares of common stock.</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March 31, 2016, the Company declared a dividend of $0.41 per share payable on April 27, 2016. Shareholders had the option to receive payment of the dividend in cash, or receive shares of common stock, pursuant our DRIP. Based on shareholder elections, the dividend consisted of approximately $1.5 million in cash and 56,728 newly issued shares of common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July 7, 2016, the Company declared a dividend of $0.43 per share payable on August 9, 2016. Shareholders had the option to receive payment of the dividend in cash, or receive shares of common stock, pursuant our DRIP. Based on shareholder elections, the dividend consisted of approximately $1.5 million in cash and 58,167 newly issued shares of common stock.</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August 8, 2016, the Company declared a special dividend of $0.20 per share payable on September 5, 2016. Shareholders had the option to receive payment of the dividend in cash, or receive shares of common stock, pursuant our DRIP. Based on shareholder elections, the dividend consisted of approximately $0.7 million in cash and 24,786 newly issued shares of common stock.</w:t>
      </w:r>
    </w:p>
    <w:p>
      <w:pPr>
        <w:spacing w:after="0" w:line="181"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On October 5, 2016, the Company declared a dividend of $0.44 per share payable on November 9, 2016. Shareholders had the option to receive payment of the dividend in cash, or receive shares of common stock, pursuant our DRIP. Based on shareholder elections, the dividend consisted of approximately $1.5 million in cash and 58,548 newly issued shares of common stock.</w:t>
      </w:r>
    </w:p>
    <w:p>
      <w:pPr>
        <w:spacing w:after="0" w:line="181"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On January 12, 2017, the Company declared a dividend of $0.45 per share payable on February 9, 2017. Shareholders had the option to receive payment of the dividend in cash, or receive shares of common stock, pursuant our DRIP. Based on shareholder elections, the dividend consisted of approximately $1.6 million in cash and 50,453 newly issued shares of common stock.</w:t>
      </w:r>
    </w:p>
    <w:p>
      <w:pPr>
        <w:spacing w:after="0" w:line="18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September 24, 2014, the Company announced the approval of an open market share repurchase plan that allowed it to repurchase up to 200,000 shares of its common stock at prices below its NAV as reported in its then most recently published consolidated financial statements. On October 7, 2015, the Company’s board of directors extended the open market share repurchase plan for another year and increased the number of shares the Company is permitted to repurchase at prices below its NAV, as reported in its then most recently published consolidated financial statements, to 400,000 shares of its common stock. On October 5, 2016, the Company’s board of directors extended the open market share repurchase plan for another year to October 15, 2017 and increased the number of shares the Company is permitted to repurchase at prices below its NAV, as reported in its then most recently published consolidated financial statements, to 600,000 shares of its common stock. As of February 28, 2017, the Company purchased 218,491 shares of common stock, at the average price of $16.87 for approximately $3.7 million pursuant to this repurchase plan.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Summarized Financial Information of Our Unconsolidated Subsidiary</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accordance with SEC Regulation S-X Rules 3-09 and 4-08(g), the Company must determine which of its unconsolidated controlled portfolio companies, if any, are considered “significant subsidiaries.” After performing this analysis, the Company determined that one of its portfolio companies, Easy Ice, LLC (“Easy Ice”) is a significant subsidiary for the year ended February 28, 2017 under at least one of the significance conditions of Rule 4-08(g) of SEC Regulation S-X. Accordingly, audited financial information for the years ended December 31, 2016, 2015 and 2014 have been included as follows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 Easy Ice, LLC</w:t>
            </w:r>
          </w:p>
        </w:tc>
        <w:tc>
          <w:tcPr>
            <w:tcW w:w="1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1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2016</w:t>
            </w:r>
          </w:p>
        </w:tc>
        <w:tc>
          <w:tcPr>
            <w:tcW w:w="1880" w:type="dxa"/>
            <w:vAlign w:val="bottom"/>
            <w:gridSpan w:val="3"/>
          </w:tcPr>
          <w:p>
            <w:pPr>
              <w:ind w:left="720"/>
              <w:spacing w:after="0" w:line="142" w:lineRule="exact"/>
              <w:rPr>
                <w:sz w:val="20"/>
                <w:szCs w:val="20"/>
                <w:color w:val="auto"/>
              </w:rPr>
            </w:pPr>
            <w:r>
              <w:rPr>
                <w:rFonts w:ascii="Arial" w:cs="Arial" w:eastAsia="Arial" w:hAnsi="Arial"/>
                <w:sz w:val="14"/>
                <w:szCs w:val="14"/>
                <w:b w:val="1"/>
                <w:bCs w:val="1"/>
                <w:color w:val="auto"/>
                <w:w w:val="90"/>
              </w:rPr>
              <w:t>December 31, 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7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21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18,245</w:t>
            </w:r>
          </w:p>
        </w:tc>
        <w:tc>
          <w:tcPr>
            <w:tcW w:w="18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1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21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23,113</w:t>
            </w:r>
          </w:p>
        </w:tc>
        <w:tc>
          <w:tcPr>
            <w:tcW w:w="18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18,295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21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(7,283)</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For the years ended</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w w:val="93"/>
              </w:rPr>
              <w:t>Statements of Operations – Easy Ice, LLC</w:t>
            </w:r>
          </w:p>
        </w:tc>
        <w:tc>
          <w:tcPr>
            <w:tcW w:w="306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10"/>
                <w:szCs w:val="10"/>
                <w:color w:val="auto"/>
              </w:rPr>
            </w:pPr>
          </w:p>
        </w:tc>
        <w:tc>
          <w:tcPr>
            <w:tcW w:w="124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4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0" w:type="dxa"/>
            <w:vAlign w:val="bottom"/>
            <w:tcBorders>
              <w:bottom w:val="single" w:sz="8" w:color="auto"/>
            </w:tcBorders>
            <w:vMerge w:val="continue"/>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2015</w:t>
            </w:r>
          </w:p>
        </w:tc>
        <w:tc>
          <w:tcPr>
            <w:tcW w:w="4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Rental expenses</w:t>
            </w:r>
          </w:p>
        </w:tc>
        <w:tc>
          <w:tcPr>
            <w:tcW w:w="3240" w:type="dxa"/>
            <w:vAlign w:val="bottom"/>
            <w:gridSpan w:val="2"/>
          </w:tcPr>
          <w:p>
            <w:pPr>
              <w:ind w:left="30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8,463</w:t>
            </w:r>
          </w:p>
        </w:tc>
        <w:tc>
          <w:tcPr>
            <w:tcW w:w="260" w:type="dxa"/>
            <w:vAlign w:val="bottom"/>
          </w:tcPr>
          <w:p>
            <w:pPr>
              <w:spacing w:after="0"/>
              <w:rPr>
                <w:sz w:val="18"/>
                <w:szCs w:val="18"/>
                <w:color w:val="auto"/>
              </w:rPr>
            </w:pPr>
          </w:p>
        </w:tc>
        <w:tc>
          <w:tcPr>
            <w:tcW w:w="58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7,238</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24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4,746</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Operating expenses</w:t>
            </w:r>
          </w:p>
        </w:tc>
        <w:tc>
          <w:tcPr>
            <w:tcW w:w="3240" w:type="dxa"/>
            <w:vAlign w:val="bottom"/>
            <w:gridSpan w:val="2"/>
          </w:tcPr>
          <w:p>
            <w:pPr>
              <w:ind w:left="30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5,123</w:t>
            </w:r>
          </w:p>
        </w:tc>
        <w:tc>
          <w:tcPr>
            <w:tcW w:w="260" w:type="dxa"/>
            <w:vAlign w:val="bottom"/>
          </w:tcPr>
          <w:p>
            <w:pPr>
              <w:spacing w:after="0"/>
              <w:rPr>
                <w:sz w:val="18"/>
                <w:szCs w:val="18"/>
                <w:color w:val="auto"/>
              </w:rPr>
            </w:pPr>
          </w:p>
        </w:tc>
        <w:tc>
          <w:tcPr>
            <w:tcW w:w="58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4,235</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24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877</w:t>
            </w:r>
          </w:p>
        </w:tc>
        <w:tc>
          <w:tcPr>
            <w:tcW w:w="5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602</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Net loss</w:t>
            </w:r>
          </w:p>
        </w:tc>
        <w:tc>
          <w:tcPr>
            <w:tcW w:w="3240" w:type="dxa"/>
            <w:vAlign w:val="bottom"/>
            <w:gridSpan w:val="2"/>
          </w:tcPr>
          <w:p>
            <w:pPr>
              <w:ind w:left="30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(1,356)</w:t>
            </w:r>
          </w:p>
        </w:tc>
        <w:tc>
          <w:tcPr>
            <w:tcW w:w="58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(1,629)</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350"/>
        </w:trPr>
        <w:tc>
          <w:tcPr>
            <w:tcW w:w="2600" w:type="dxa"/>
            <w:vAlign w:val="bottom"/>
          </w:tcPr>
          <w:p>
            <w:pPr>
              <w:spacing w:after="0"/>
              <w:rPr>
                <w:sz w:val="24"/>
                <w:szCs w:val="24"/>
                <w:color w:val="auto"/>
              </w:rPr>
            </w:pPr>
          </w:p>
        </w:tc>
        <w:tc>
          <w:tcPr>
            <w:tcW w:w="3240" w:type="dxa"/>
            <w:vAlign w:val="bottom"/>
            <w:gridSpan w:val="2"/>
          </w:tcPr>
          <w:p>
            <w:pPr>
              <w:ind w:left="2020"/>
              <w:spacing w:after="0"/>
              <w:rPr>
                <w:sz w:val="20"/>
                <w:szCs w:val="20"/>
                <w:color w:val="auto"/>
              </w:rPr>
            </w:pPr>
            <w:r>
              <w:rPr>
                <w:rFonts w:ascii="Arial" w:cs="Arial" w:eastAsia="Arial" w:hAnsi="Arial"/>
                <w:sz w:val="18"/>
                <w:szCs w:val="18"/>
                <w:color w:val="auto"/>
              </w:rPr>
              <w:t>F-30</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the provisions of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The following information sets forth the computation of the weighted average basic and diluted net increase in net assets per share from operations for the years ended February 28, 2017, February 29, 2016 and February 28, 2015 (dollars in thousands except share and per share amounts):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and diluted</w:t>
            </w:r>
          </w:p>
        </w:tc>
        <w:tc>
          <w:tcPr>
            <w:tcW w:w="108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February 28,</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29,</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28,</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Net increase in</w:t>
            </w:r>
          </w:p>
        </w:tc>
        <w:tc>
          <w:tcPr>
            <w:tcW w:w="36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assets resulting from operations</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5,740,450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5,582,453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5,385,049</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earnings per common share</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Dividend</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On January 12, 2017, the Company declared a dividend of $0.45 per share, which was paid on February 9, 2017, to common stockholders of record as of January 31, 2017. Shareholders had the option to receive payment of the dividend in cash, or receive shares of common stock, pursuant to our DRIP.</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$1.6 million in cash and 50,453 newly issued shares of common stock, or 0.9% of our outstanding common stock prior to the dividend payment. The number of shares of common stock comprising the stock portion was calculated based on a price of $20.25 per share, which equaled the volume weighted average trading price per share of the common stock on January 27, 30, 31 and February 1, 2, 3, 6, 7, 8 and 9, 2017.</w:t>
      </w:r>
    </w:p>
    <w:p>
      <w:pPr>
        <w:spacing w:after="0" w:line="18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On October 5, 2016, the Company declared a dividend of $0.44 per share, which was paid on November 9, 2016, to common stockholders of record as of October 31, 2016. Shareholders had the option to receive payment of the dividend in cash, or receive shares of common stock, pursuant to our DRIP.</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$1.5 million in cash and 58,548 newly issued shares of common stock, or 1.0% of our outstanding common stock prior to the dividend payment. The number of shares of common stock comprising the stock portion was calculated based on a price of $17.12 per share, which equaled the volume weighted average trading price per share of the common stock on October 27, 28, 31 and November 1, 2, 3, 4, 7, 8 and 9, 2016.</w:t>
      </w:r>
    </w:p>
    <w:p>
      <w:pPr>
        <w:spacing w:after="0" w:line="18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On August 8, 2016, the Company declared a special dividend of $0.20 per share, which was paid on September 5, 2016, to common stockholders of record as of August 24, 2016. Shareholders had the option to receive payment of the dividend in cash, or receive shares of common stock, pursuant to our DRIP.</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$0.7 million in cash and 24,786 newly issued shares of common stock, or 0.4% of our outstanding common stock prior to the dividend payment. The number of shares of common stock comprising the stock portion was calculated based on a price of $17.06 per share, which equaled the volume weighted average trading price per share of the common stock on August 22, 23, 24, 25, 26, 29, 30, 31 and September 1 and 2, 2016.</w:t>
      </w:r>
    </w:p>
    <w:p>
      <w:pPr>
        <w:spacing w:after="0" w:line="187"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On July 7, 2016, the Company declared a dividend of $0.43 per share, which was paid on August 9, 2016, to common stockholders of record as of July 29, 2016. Shareholders had the option to receive payment of the dividend in cash, or receive shares of common stock, pursuant to our DRIP.</w:t>
      </w:r>
    </w:p>
    <w:p>
      <w:pPr>
        <w:spacing w:after="0" w:line="1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$1.5 million in cash and 58,167 newly issued shares of common stock, or 1.0% of our outstanding common stock prior to the dividend payment. The number of shares of common stock comprising the stock portion was calculated based on a price of $16.32 per share, which equaled the volume weighted average trading price per share of the common stock on July 27, 28, 29 and August 1, 2, 3, 4, 5, 8 and 9, 2016.</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On March 31, 2016, the Company declared a dividend of $0.41 per share, which was paid on April 27, 2016, to common stockholders of record as of April 15, 2016. Shareholders had the option to receive payment of the dividend in cash, or receive shares of common stock, pursuant to our DRIP.</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$1.5 million in cash and 56,728 newly issued shares of common stock, or 1.0% of our outstanding common stock prior to the dividend payment. The number of shares of common stock comprising the stock portion was calculated based on a price of $15.43 per share, which equaled the volume weighted average trading price per share of the common stock on April 14, 15, 18, 19, 20, 21, 22, 25, 26 and 27, 2016.</w:t>
      </w:r>
    </w:p>
    <w:p>
      <w:pPr>
        <w:spacing w:after="0" w:line="18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On January 12, 2016, the Company declared a dividend of $0.40 per share, which was paid on February 29, 2016, to common stockholders of record on February 1, 2016. Shareholders had the option to receive payment of the dividend in cash, or receive shares of common stock, pursuant to our DRIP.</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shareholder elections, the dividend consisted of approximately $1.4 million in cash and 66,765 newly issued shares of common stock,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 of the Company’s outstanding common stock prior to the dividend payment. The number of shares of common stock comprising the stock portion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calculated based on a price of $13.11 per share, which equaled the volume weighted average trading price per share of the common stock on February 16, 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 19, 22, 23, 24, 25, 26 and 29, 2016.</w:t>
      </w:r>
    </w:p>
    <w:p>
      <w:pPr>
        <w:spacing w:after="0" w:line="211"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On October 7, 2015, the Company declared a dividend of $0.36 per share, which was paid on November 30, 2015, to common stockholders of record on November 2, 2015. Shareholders had the option to receive payment of the dividend in cash, or receive shares of common stock, pursuant to our DRIP.</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shareholder elections, the dividend consisted of approximately $1.1 million in cash and 61,029 newly issued shares of common stock,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 of the Company’s outstanding common stock prior to the dividend payment. The number of shares of common stock comprising the stock portion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calculated based on a price of $14.53 per share, which equaled the volume weighted average trading price per share of the common stock on November 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17, 18, 19, 20, 23, 24, 25, 27 and 30, 2015.</w:t>
      </w:r>
    </w:p>
    <w:p>
      <w:pPr>
        <w:spacing w:after="0" w:line="211"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On July 8, 2015, the Company declared a dividend of $0.33 per share, which was paid on August 31, 2015, to common stockholders of record on August 3, 2015. Shareholders had the option to receive payment of the dividend in cash, or receive shares of common stock, pursuant to our DRIP.</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shareholder elections, the dividend consisted of approximately $1.1 million in cash and 47,861 newly issued shares of common stock,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0.9% of the Company’s outstanding common stock prior to the dividend payment. The number of shares of common stock comprising the stock portion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calculated based on a price of $15.28 per share, which equaled the volume weighted average trading price per share of the common stock on August 18, 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 21, 24, 25, 26, 27, 28 and 31, 2015.</w:t>
      </w:r>
    </w:p>
    <w:p>
      <w:pPr>
        <w:spacing w:after="0" w:line="21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On May 14, 2015, the Company declared a special dividend of $1.00 per share, which was paid on June 5, 2015, to common stockholders of record on May 26, 2015. Shareholders had the option to receive payment of the dividend in cash, or receive shares of common stock, pursuant to our DRIP.</w:t>
      </w:r>
    </w:p>
    <w:p>
      <w:pPr>
        <w:spacing w:after="0" w:line="1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$3.4 million in cash and 126,230 newly issued shares of common stock, or 2.3% of the Company’s outstanding common stock prior to the dividend payment. The number of shares of common stock comprising the stock portion was calculated based on a price of $16.47 per share, which equaled the volume weighted average trading price per share of the common stock on May 22, 26, 27, 28, 29 and June 1, 2, 3, 4, and 5, 2015.</w:t>
      </w:r>
    </w:p>
    <w:p>
      <w:pPr>
        <w:spacing w:after="0" w:line="18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On April 9, 2015, the Company declared a dividend of $0.27 per share, which was paid on May 29, 2015, to common stockholders of record on May 4, 2015. Shareholders had the option to receive payment of the dividend in cash, or receive shares of common stock, pursuant to our DRIP.</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shareholder elections, the dividend consisted of approximately $0.9 million in cash and 33,766 newly issued shares of common stock,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0.6% of the Company’s outstanding common stock prior to the dividend payment. The number of shares of common stock comprising the stock portion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calculated based on a price of $16.78 per share, which equaled the volume weighted average trading price per share of the common stock on May 15, 18, 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 21, 22, 26, 27, 28 and 29, 2015.</w:t>
      </w:r>
    </w:p>
    <w:p>
      <w:pPr>
        <w:spacing w:after="0" w:line="21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On September 24, 2014, the Company declared a dividend of $0.22 per share, which was paid on February 27, 2015. Shareholders have the option to receive payment of the dividend in cash, or receive shares of common stock pursuant to the Company’s DRIP. Based on shareholder elections, the dividend consisted of approximately $0.8 million in cash and 26,858 newly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issued shares of common stock, or 0.5% of our outstanding common stock prior to the dividend payment. The number of shares of common stock comprising the stock portion was calculated based on a price of $14.97 per share, which equaled the volume weighted average trading price per share of the common stock on February 13, 17, 18, 19, 20, 23, 24, 25, 26 and 27, 2015.</w:t>
      </w:r>
    </w:p>
    <w:p>
      <w:pPr>
        <w:spacing w:after="0" w:line="18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On September 24, 2014, the Company declared a dividend of $0.18 per share, which was paid on November 28, 2014. Shareholders had the option to receive payment of the dividend in cash, or receive shares of common stock pursuant to the Company’s DRIP. Based on shareholder elections, the dividend consisted of approximately $0.6 million in cash and 22,283 newly issued shares of common stock, or 0.4% of our outstanding common stock prior to the dividend payment. The number of shares of common stock comprising the stock portion was calculated based on a price of $14.37 per share, which equaled the volume weighted average trading price per share of the common stock on November 14, 17, 18, 19, 20, 21, 24, 25, 26 and 28, 2014.</w:t>
      </w:r>
    </w:p>
    <w:p>
      <w:pPr>
        <w:spacing w:after="0" w:line="15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On October 30, 2013, the Company declared a dividend of $2.65 per share, which was paid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 This dividend was declared in reliance on certain private letter rulings issued by the IRS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w:t>
      </w:r>
    </w:p>
    <w:p>
      <w:pPr>
        <w:spacing w:after="0" w:line="178"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Based on shareholder elections, the dividend consisted of approximately $2.5 million in cash and 649,500 shares of common stock, or 13.7% of our outstanding common stock prior to the dividend payment. The number of shares of common stock comprising the stock portion was calculated based on a price of $15.439 per share, which equaled the volume weighted average trading price per share of the common stock on December 11, 13, and 16, 2013.</w:t>
      </w:r>
    </w:p>
    <w:p>
      <w:pPr>
        <w:spacing w:after="0" w:line="14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On November 9, 2012, the Company declared a dividend of $4.25 per share, which was paid on December 31,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Based on shareholder elections, the dividend consisted of approximately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88"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On November 15, 2011, the Company declared a dividend of $3.00 per share, which was paid on December 30, 2011. Shareholders had the option to receive payment of the dividend in cash, shares of common stock, or a combination of cash and shares of common stock, provided that the aggregate cash payable to all shareholders was limited to approximately $2.0 million or $0.60 per share.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Based on shareholder elections, the dividend consisted of approximately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$13.1171 per share, which equaled the volume weighted average trading price per share of the common stock on December 20, 21 and 22, 2011.</w:t>
      </w:r>
    </w:p>
    <w:p>
      <w:pPr>
        <w:spacing w:after="0" w:line="18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November 12, 2010, the Company declared a dividend of $4.40 per share, which was paid on December 23, 2010. Shareholders had the option to receive payment of the dividend in cash, shares of common stock, or a combination of cash and shares of common stock, provided that the aggregate cash payable to all shareholders was limited to approximately $1.2 million or $0.44 per share.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a price of $17.8049 per share, which equaled the volume weighted average trading price per share of the common stock on December 20, 21 and 22, 2010. The consolidated financial statements for the period ended November 30, 2010 have been retroactively adjusted to reflect the increase in common stock as a result of the dividend in accordance with the provisions of ASC 505-20-S50 regarding disclosure of a capital structure change after the interim balance sheet but before the release of the financial statements.</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tables summarize dividends declared for the years ended February 28, 2017, February 29, 2016, February 28, 2015, February 28, 2014 and February 28, 2013 (dollars in thousands except per share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Date Declared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Record Date</w:t>
            </w:r>
          </w:p>
        </w:tc>
        <w:tc>
          <w:tcPr>
            <w:tcW w:w="60" w:type="dxa"/>
            <w:vAlign w:val="bottom"/>
          </w:tcPr>
          <w:p>
            <w:pPr>
              <w:spacing w:after="0"/>
              <w:rPr>
                <w:sz w:val="14"/>
                <w:szCs w:val="14"/>
                <w:color w:val="auto"/>
              </w:rPr>
            </w:pPr>
          </w:p>
        </w:tc>
        <w:tc>
          <w:tcPr>
            <w:tcW w:w="15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Payment Date</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5"/>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7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3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Per Share*</w:t>
            </w:r>
          </w:p>
        </w:tc>
        <w:tc>
          <w:tcPr>
            <w:tcW w:w="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1"/>
              </w:rPr>
              <w:t>January 12,</w:t>
            </w:r>
          </w:p>
        </w:tc>
        <w:tc>
          <w:tcPr>
            <w:tcW w:w="4020" w:type="dxa"/>
            <w:vAlign w:val="bottom"/>
            <w:tcBorders>
              <w:top w:val="single" w:sz="8" w:color="CCEEFF"/>
            </w:tcBorders>
            <w:shd w:val="clear" w:color="auto" w:fill="CCEEFF"/>
          </w:tcPr>
          <w:p>
            <w:pPr>
              <w:jc w:val="right"/>
              <w:ind w:right="3570"/>
              <w:spacing w:after="0"/>
              <w:rPr>
                <w:sz w:val="20"/>
                <w:szCs w:val="20"/>
                <w:color w:val="auto"/>
              </w:rPr>
            </w:pPr>
            <w:r>
              <w:rPr>
                <w:rFonts w:ascii="Arial" w:cs="Arial" w:eastAsia="Arial" w:hAnsi="Arial"/>
                <w:sz w:val="18"/>
                <w:szCs w:val="18"/>
                <w:color w:val="auto"/>
                <w:w w:val="84"/>
              </w:rPr>
              <w:t>2017</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9"/>
              </w:rPr>
              <w:t>January 31, 2017</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left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7"/>
              </w:rPr>
              <w:t>February 9, 2017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2,585</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October 5, 2016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gridSpan w:val="5"/>
          </w:tcPr>
          <w:p>
            <w:pPr>
              <w:spacing w:after="0"/>
              <w:rPr>
                <w:sz w:val="20"/>
                <w:szCs w:val="20"/>
                <w:color w:val="auto"/>
              </w:rPr>
            </w:pPr>
            <w:r>
              <w:rPr>
                <w:rFonts w:ascii="Arial" w:cs="Arial" w:eastAsia="Arial" w:hAnsi="Arial"/>
                <w:sz w:val="18"/>
                <w:szCs w:val="18"/>
                <w:color w:val="auto"/>
              </w:rPr>
              <w:t>October 31, 2016</w:t>
            </w:r>
          </w:p>
        </w:tc>
        <w:tc>
          <w:tcPr>
            <w:tcW w:w="6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Arial" w:cs="Arial" w:eastAsia="Arial" w:hAnsi="Arial"/>
                <w:sz w:val="18"/>
                <w:szCs w:val="18"/>
                <w:color w:val="auto"/>
                <w:w w:val="97"/>
              </w:rPr>
              <w:t>November 9, 2016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8, 2016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August 24, 2016</w:t>
            </w:r>
          </w:p>
        </w:tc>
        <w:tc>
          <w:tcPr>
            <w:tcW w:w="60" w:type="dxa"/>
            <w:vAlign w:val="bottom"/>
            <w:tcBorders>
              <w:lef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4"/>
              </w:rPr>
              <w:t>September 5, 2016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1,151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July 7, 2016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gridSpan w:val="5"/>
          </w:tcPr>
          <w:p>
            <w:pPr>
              <w:jc w:val="center"/>
              <w:ind w:right="700"/>
              <w:spacing w:after="0"/>
              <w:rPr>
                <w:sz w:val="20"/>
                <w:szCs w:val="20"/>
                <w:color w:val="auto"/>
              </w:rPr>
            </w:pPr>
            <w:r>
              <w:rPr>
                <w:rFonts w:ascii="Arial" w:cs="Arial" w:eastAsia="Arial" w:hAnsi="Arial"/>
                <w:sz w:val="18"/>
                <w:szCs w:val="18"/>
                <w:color w:val="auto"/>
                <w:w w:val="91"/>
              </w:rPr>
              <w:t>July 29, 2016</w:t>
            </w:r>
          </w:p>
        </w:tc>
        <w:tc>
          <w:tcPr>
            <w:tcW w:w="6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Arial" w:cs="Arial" w:eastAsia="Arial" w:hAnsi="Arial"/>
                <w:sz w:val="18"/>
                <w:szCs w:val="18"/>
                <w:color w:val="auto"/>
              </w:rPr>
              <w:t>August 9, 2016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April 15, 2016</w:t>
            </w:r>
          </w:p>
        </w:tc>
        <w:tc>
          <w:tcPr>
            <w:tcW w:w="60" w:type="dxa"/>
            <w:vAlign w:val="bottom"/>
            <w:tcBorders>
              <w:lef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April 27, 2016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2,346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900" w:type="dxa"/>
            <w:vAlign w:val="bottom"/>
            <w:gridSpan w:val="3"/>
          </w:tcPr>
          <w:p>
            <w:pPr>
              <w:ind w:left="360"/>
              <w:spacing w:after="0"/>
              <w:rPr>
                <w:sz w:val="20"/>
                <w:szCs w:val="20"/>
                <w:color w:val="auto"/>
              </w:rPr>
            </w:pPr>
            <w:r>
              <w:rPr>
                <w:rFonts w:ascii="Arial" w:cs="Arial" w:eastAsia="Arial" w:hAnsi="Arial"/>
                <w:sz w:val="18"/>
                <w:szCs w:val="18"/>
                <w:color w:val="auto"/>
              </w:rPr>
              <w:t>Total dividends declared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11,057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36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Date Declared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gridSpan w:val="5"/>
            <w:vMerge w:val="restart"/>
          </w:tcPr>
          <w:p>
            <w:pPr>
              <w:jc w:val="center"/>
              <w:ind w:right="660"/>
              <w:spacing w:after="0"/>
              <w:rPr>
                <w:sz w:val="20"/>
                <w:szCs w:val="20"/>
                <w:color w:val="auto"/>
              </w:rPr>
            </w:pPr>
            <w:r>
              <w:rPr>
                <w:rFonts w:ascii="Arial" w:cs="Arial" w:eastAsia="Arial" w:hAnsi="Arial"/>
                <w:sz w:val="14"/>
                <w:szCs w:val="14"/>
                <w:b w:val="1"/>
                <w:bCs w:val="1"/>
                <w:color w:val="auto"/>
                <w:w w:val="94"/>
              </w:rPr>
              <w:t>Record Date</w:t>
            </w:r>
          </w:p>
        </w:tc>
        <w:tc>
          <w:tcPr>
            <w:tcW w:w="60" w:type="dxa"/>
            <w:vAlign w:val="bottom"/>
          </w:tcPr>
          <w:p>
            <w:pPr>
              <w:spacing w:after="0"/>
              <w:rPr>
                <w:sz w:val="24"/>
                <w:szCs w:val="24"/>
                <w:color w:val="auto"/>
              </w:rPr>
            </w:pPr>
          </w:p>
        </w:tc>
        <w:tc>
          <w:tcPr>
            <w:tcW w:w="15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Payment Date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5"/>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4"/>
                <w:szCs w:val="24"/>
                <w:color w:val="auto"/>
              </w:rPr>
            </w:pPr>
          </w:p>
        </w:tc>
        <w:tc>
          <w:tcPr>
            <w:tcW w:w="7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3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Per Share*</w:t>
            </w:r>
          </w:p>
        </w:tc>
        <w:tc>
          <w:tcPr>
            <w:tcW w:w="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1"/>
              </w:rPr>
              <w:t>January 12,</w:t>
            </w:r>
          </w:p>
        </w:tc>
        <w:tc>
          <w:tcPr>
            <w:tcW w:w="4020" w:type="dxa"/>
            <w:vAlign w:val="bottom"/>
            <w:tcBorders>
              <w:top w:val="single" w:sz="8" w:color="CCEEFF"/>
            </w:tcBorders>
            <w:shd w:val="clear" w:color="auto" w:fill="CCEEFF"/>
          </w:tcPr>
          <w:p>
            <w:pPr>
              <w:jc w:val="right"/>
              <w:ind w:right="3570"/>
              <w:spacing w:after="0"/>
              <w:rPr>
                <w:sz w:val="20"/>
                <w:szCs w:val="20"/>
                <w:color w:val="auto"/>
              </w:rPr>
            </w:pPr>
            <w:r>
              <w:rPr>
                <w:rFonts w:ascii="Arial" w:cs="Arial" w:eastAsia="Arial" w:hAnsi="Arial"/>
                <w:sz w:val="18"/>
                <w:szCs w:val="18"/>
                <w:color w:val="auto"/>
                <w:w w:val="84"/>
              </w:rPr>
              <w:t>2016</w:t>
            </w:r>
          </w:p>
        </w:tc>
        <w:tc>
          <w:tcPr>
            <w:tcW w:w="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w w:val="96"/>
              </w:rPr>
              <w:t>February 1, 2016</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480" w:type="dxa"/>
            <w:vAlign w:val="bottom"/>
            <w:tcBorders>
              <w:top w:val="single" w:sz="8" w:color="auto"/>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7"/>
              </w:rPr>
              <w:t>February 29, 2016</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2,278</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October 7, 2015</w:t>
            </w:r>
          </w:p>
        </w:tc>
        <w:tc>
          <w:tcPr>
            <w:tcW w:w="60" w:type="dxa"/>
            <w:vAlign w:val="bottom"/>
          </w:tcPr>
          <w:p>
            <w:pPr>
              <w:spacing w:after="0"/>
              <w:rPr>
                <w:sz w:val="18"/>
                <w:szCs w:val="18"/>
                <w:color w:val="auto"/>
              </w:rPr>
            </w:pPr>
          </w:p>
        </w:tc>
        <w:tc>
          <w:tcPr>
            <w:tcW w:w="1880" w:type="dxa"/>
            <w:vAlign w:val="bottom"/>
            <w:gridSpan w:val="7"/>
          </w:tcPr>
          <w:p>
            <w:pPr>
              <w:ind w:left="60"/>
              <w:spacing w:after="0"/>
              <w:rPr>
                <w:sz w:val="20"/>
                <w:szCs w:val="20"/>
                <w:color w:val="auto"/>
              </w:rPr>
            </w:pPr>
            <w:r>
              <w:rPr>
                <w:rFonts w:ascii="Arial" w:cs="Arial" w:eastAsia="Arial" w:hAnsi="Arial"/>
                <w:sz w:val="18"/>
                <w:szCs w:val="18"/>
                <w:color w:val="auto"/>
              </w:rPr>
              <w:t>November 2, 2015</w:t>
            </w:r>
          </w:p>
        </w:tc>
        <w:tc>
          <w:tcPr>
            <w:tcW w:w="1560" w:type="dxa"/>
            <w:vAlign w:val="bottom"/>
            <w:gridSpan w:val="4"/>
          </w:tcPr>
          <w:p>
            <w:pPr>
              <w:ind w:left="20"/>
              <w:spacing w:after="0"/>
              <w:rPr>
                <w:sz w:val="20"/>
                <w:szCs w:val="20"/>
                <w:color w:val="auto"/>
              </w:rPr>
            </w:pPr>
            <w:r>
              <w:rPr>
                <w:rFonts w:ascii="Arial" w:cs="Arial" w:eastAsia="Arial" w:hAnsi="Arial"/>
                <w:sz w:val="18"/>
                <w:szCs w:val="18"/>
                <w:color w:val="auto"/>
                <w:w w:val="96"/>
              </w:rPr>
              <w:t>November 30, 2015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8, 2015</w:t>
            </w:r>
          </w:p>
        </w:tc>
        <w:tc>
          <w:tcPr>
            <w:tcW w:w="60" w:type="dxa"/>
            <w:vAlign w:val="bottom"/>
            <w:shd w:val="clear" w:color="auto" w:fill="CCEEFF"/>
          </w:tcPr>
          <w:p>
            <w:pPr>
              <w:spacing w:after="0"/>
              <w:rPr>
                <w:sz w:val="18"/>
                <w:szCs w:val="18"/>
                <w:color w:val="auto"/>
              </w:rPr>
            </w:pPr>
          </w:p>
        </w:tc>
        <w:tc>
          <w:tcPr>
            <w:tcW w:w="1880" w:type="dxa"/>
            <w:vAlign w:val="bottom"/>
            <w:tcBorders>
              <w:right w:val="single" w:sz="8" w:color="CCEEFF"/>
            </w:tcBorders>
            <w:gridSpan w:val="7"/>
            <w:shd w:val="clear" w:color="auto" w:fill="CCEEFF"/>
          </w:tcPr>
          <w:p>
            <w:pPr>
              <w:ind w:left="60"/>
              <w:spacing w:after="0"/>
              <w:rPr>
                <w:sz w:val="20"/>
                <w:szCs w:val="20"/>
                <w:color w:val="auto"/>
              </w:rPr>
            </w:pPr>
            <w:r>
              <w:rPr>
                <w:rFonts w:ascii="Arial" w:cs="Arial" w:eastAsia="Arial" w:hAnsi="Arial"/>
                <w:sz w:val="18"/>
                <w:szCs w:val="18"/>
                <w:color w:val="auto"/>
              </w:rPr>
              <w:t>August 3, 2015</w:t>
            </w:r>
          </w:p>
        </w:tc>
        <w:tc>
          <w:tcPr>
            <w:tcW w:w="156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August 31, 2015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1,844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May 14, 2015</w:t>
            </w:r>
          </w:p>
        </w:tc>
        <w:tc>
          <w:tcPr>
            <w:tcW w:w="60" w:type="dxa"/>
            <w:vAlign w:val="bottom"/>
          </w:tcPr>
          <w:p>
            <w:pPr>
              <w:spacing w:after="0"/>
              <w:rPr>
                <w:sz w:val="18"/>
                <w:szCs w:val="18"/>
                <w:color w:val="auto"/>
              </w:rPr>
            </w:pPr>
          </w:p>
        </w:tc>
        <w:tc>
          <w:tcPr>
            <w:tcW w:w="1880" w:type="dxa"/>
            <w:vAlign w:val="bottom"/>
            <w:gridSpan w:val="7"/>
          </w:tcPr>
          <w:p>
            <w:pPr>
              <w:ind w:left="60"/>
              <w:spacing w:after="0"/>
              <w:rPr>
                <w:sz w:val="20"/>
                <w:szCs w:val="20"/>
                <w:color w:val="auto"/>
              </w:rPr>
            </w:pPr>
            <w:r>
              <w:rPr>
                <w:rFonts w:ascii="Arial" w:cs="Arial" w:eastAsia="Arial" w:hAnsi="Arial"/>
                <w:sz w:val="18"/>
                <w:szCs w:val="18"/>
                <w:color w:val="auto"/>
              </w:rPr>
              <w:t>May 26, 2015</w:t>
            </w:r>
          </w:p>
        </w:tc>
        <w:tc>
          <w:tcPr>
            <w:tcW w:w="1560" w:type="dxa"/>
            <w:vAlign w:val="bottom"/>
            <w:gridSpan w:val="4"/>
          </w:tcPr>
          <w:p>
            <w:pPr>
              <w:ind w:left="20"/>
              <w:spacing w:after="0"/>
              <w:rPr>
                <w:sz w:val="20"/>
                <w:szCs w:val="20"/>
                <w:color w:val="auto"/>
              </w:rPr>
            </w:pPr>
            <w:r>
              <w:rPr>
                <w:rFonts w:ascii="Arial" w:cs="Arial" w:eastAsia="Arial" w:hAnsi="Arial"/>
                <w:sz w:val="18"/>
                <w:szCs w:val="18"/>
                <w:color w:val="auto"/>
              </w:rPr>
              <w:t>June 5, 2015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5,429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9, 2015</w:t>
            </w:r>
          </w:p>
        </w:tc>
        <w:tc>
          <w:tcPr>
            <w:tcW w:w="60" w:type="dxa"/>
            <w:vAlign w:val="bottom"/>
            <w:shd w:val="clear" w:color="auto" w:fill="CCEEFF"/>
          </w:tcPr>
          <w:p>
            <w:pPr>
              <w:spacing w:after="0"/>
              <w:rPr>
                <w:sz w:val="18"/>
                <w:szCs w:val="18"/>
                <w:color w:val="auto"/>
              </w:rPr>
            </w:pPr>
          </w:p>
        </w:tc>
        <w:tc>
          <w:tcPr>
            <w:tcW w:w="1880" w:type="dxa"/>
            <w:vAlign w:val="bottom"/>
            <w:tcBorders>
              <w:right w:val="single" w:sz="8" w:color="CCEEFF"/>
            </w:tcBorders>
            <w:gridSpan w:val="7"/>
            <w:shd w:val="clear" w:color="auto" w:fill="CCEEFF"/>
          </w:tcPr>
          <w:p>
            <w:pPr>
              <w:ind w:left="60"/>
              <w:spacing w:after="0"/>
              <w:rPr>
                <w:sz w:val="20"/>
                <w:szCs w:val="20"/>
                <w:color w:val="auto"/>
              </w:rPr>
            </w:pPr>
            <w:r>
              <w:rPr>
                <w:rFonts w:ascii="Arial" w:cs="Arial" w:eastAsia="Arial" w:hAnsi="Arial"/>
                <w:sz w:val="18"/>
                <w:szCs w:val="18"/>
                <w:color w:val="auto"/>
              </w:rPr>
              <w:t>May 4, 2015</w:t>
            </w:r>
          </w:p>
        </w:tc>
        <w:tc>
          <w:tcPr>
            <w:tcW w:w="156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May 29, 2015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1,466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900" w:type="dxa"/>
            <w:vAlign w:val="bottom"/>
            <w:gridSpan w:val="3"/>
          </w:tcPr>
          <w:p>
            <w:pPr>
              <w:ind w:left="360"/>
              <w:spacing w:after="0"/>
              <w:rPr>
                <w:sz w:val="20"/>
                <w:szCs w:val="20"/>
                <w:color w:val="auto"/>
              </w:rPr>
            </w:pPr>
            <w:r>
              <w:rPr>
                <w:rFonts w:ascii="Arial" w:cs="Arial" w:eastAsia="Arial" w:hAnsi="Arial"/>
                <w:sz w:val="18"/>
                <w:szCs w:val="18"/>
                <w:color w:val="auto"/>
              </w:rPr>
              <w:t>Total dividends declared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13,045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vMerge w:val="restart"/>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02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Record Date</w:t>
            </w:r>
          </w:p>
        </w:tc>
        <w:tc>
          <w:tcPr>
            <w:tcW w:w="38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Payment Date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402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4"/>
            <w:vMerge w:val="continue"/>
          </w:tcPr>
          <w:p>
            <w:pPr>
              <w:spacing w:after="0"/>
              <w:rPr>
                <w:sz w:val="14"/>
                <w:szCs w:val="14"/>
                <w:color w:val="auto"/>
              </w:rPr>
            </w:pPr>
          </w:p>
        </w:tc>
        <w:tc>
          <w:tcPr>
            <w:tcW w:w="38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Per Share*</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24, 2014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89"/>
              </w:rPr>
              <w:t>October 30, 2014</w:t>
            </w:r>
          </w:p>
        </w:tc>
        <w:tc>
          <w:tcPr>
            <w:tcW w:w="38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89"/>
              </w:rPr>
              <w:t>November 28, 2014</w:t>
            </w:r>
          </w:p>
        </w:tc>
        <w:tc>
          <w:tcPr>
            <w:tcW w:w="3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September 24, 2014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gridSpan w:val="5"/>
          </w:tcPr>
          <w:p>
            <w:pPr>
              <w:ind w:left="40"/>
              <w:spacing w:after="0"/>
              <w:rPr>
                <w:sz w:val="20"/>
                <w:szCs w:val="20"/>
                <w:color w:val="auto"/>
              </w:rPr>
            </w:pPr>
            <w:r>
              <w:rPr>
                <w:rFonts w:ascii="Arial" w:cs="Arial" w:eastAsia="Arial" w:hAnsi="Arial"/>
                <w:sz w:val="18"/>
                <w:szCs w:val="18"/>
                <w:color w:val="auto"/>
              </w:rPr>
              <w:t>January 29, 2015</w:t>
            </w:r>
          </w:p>
        </w:tc>
        <w:tc>
          <w:tcPr>
            <w:tcW w:w="60" w:type="dxa"/>
            <w:vAlign w:val="bottom"/>
          </w:tcPr>
          <w:p>
            <w:pPr>
              <w:spacing w:after="0"/>
              <w:rPr>
                <w:sz w:val="18"/>
                <w:szCs w:val="18"/>
                <w:color w:val="auto"/>
              </w:rPr>
            </w:pPr>
          </w:p>
        </w:tc>
        <w:tc>
          <w:tcPr>
            <w:tcW w:w="1500" w:type="dxa"/>
            <w:vAlign w:val="bottom"/>
            <w:gridSpan w:val="3"/>
          </w:tcPr>
          <w:p>
            <w:pPr>
              <w:ind w:left="60"/>
              <w:spacing w:after="0"/>
              <w:rPr>
                <w:sz w:val="20"/>
                <w:szCs w:val="20"/>
                <w:color w:val="auto"/>
              </w:rPr>
            </w:pPr>
            <w:r>
              <w:rPr>
                <w:rFonts w:ascii="Arial" w:cs="Arial" w:eastAsia="Arial" w:hAnsi="Arial"/>
                <w:sz w:val="18"/>
                <w:szCs w:val="18"/>
                <w:color w:val="auto"/>
                <w:w w:val="96"/>
              </w:rPr>
              <w:t>February 27, 2015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1,189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dividends declared</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36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Date Declared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gridSpan w:val="5"/>
            <w:vMerge w:val="restart"/>
          </w:tcPr>
          <w:p>
            <w:pPr>
              <w:jc w:val="center"/>
              <w:ind w:right="700"/>
              <w:spacing w:after="0"/>
              <w:rPr>
                <w:sz w:val="20"/>
                <w:szCs w:val="20"/>
                <w:color w:val="auto"/>
              </w:rPr>
            </w:pPr>
            <w:r>
              <w:rPr>
                <w:rFonts w:ascii="Arial" w:cs="Arial" w:eastAsia="Arial" w:hAnsi="Arial"/>
                <w:sz w:val="14"/>
                <w:szCs w:val="14"/>
                <w:b w:val="1"/>
                <w:bCs w:val="1"/>
                <w:color w:val="auto"/>
                <w:w w:val="94"/>
              </w:rPr>
              <w:t>Record Date</w:t>
            </w:r>
          </w:p>
        </w:tc>
        <w:tc>
          <w:tcPr>
            <w:tcW w:w="60" w:type="dxa"/>
            <w:vAlign w:val="bottom"/>
          </w:tcPr>
          <w:p>
            <w:pPr>
              <w:spacing w:after="0"/>
              <w:rPr>
                <w:sz w:val="24"/>
                <w:szCs w:val="24"/>
                <w:color w:val="auto"/>
              </w:rPr>
            </w:pPr>
          </w:p>
        </w:tc>
        <w:tc>
          <w:tcPr>
            <w:tcW w:w="15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Payment Date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5"/>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4"/>
                <w:szCs w:val="24"/>
                <w:color w:val="auto"/>
              </w:rPr>
            </w:pPr>
          </w:p>
        </w:tc>
        <w:tc>
          <w:tcPr>
            <w:tcW w:w="7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3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Per Share*</w:t>
            </w:r>
          </w:p>
        </w:tc>
        <w:tc>
          <w:tcPr>
            <w:tcW w:w="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1"/>
              </w:rPr>
              <w:t>October 30,</w:t>
            </w:r>
          </w:p>
        </w:tc>
        <w:tc>
          <w:tcPr>
            <w:tcW w:w="4020" w:type="dxa"/>
            <w:vAlign w:val="bottom"/>
            <w:tcBorders>
              <w:top w:val="single" w:sz="8" w:color="CCEEFF"/>
            </w:tcBorders>
            <w:shd w:val="clear" w:color="auto" w:fill="CCEEFF"/>
          </w:tcPr>
          <w:p>
            <w:pPr>
              <w:jc w:val="right"/>
              <w:ind w:right="3550"/>
              <w:spacing w:after="0"/>
              <w:rPr>
                <w:sz w:val="20"/>
                <w:szCs w:val="20"/>
                <w:color w:val="auto"/>
              </w:rPr>
            </w:pPr>
            <w:r>
              <w:rPr>
                <w:rFonts w:ascii="Arial" w:cs="Arial" w:eastAsia="Arial" w:hAnsi="Arial"/>
                <w:sz w:val="18"/>
                <w:szCs w:val="18"/>
                <w:color w:val="auto"/>
                <w:w w:val="89"/>
              </w:rPr>
              <w:t>2013</w:t>
            </w:r>
          </w:p>
        </w:tc>
        <w:tc>
          <w:tcPr>
            <w:tcW w:w="1500" w:type="dxa"/>
            <w:vAlign w:val="bottom"/>
            <w:tcBorders>
              <w:top w:val="single" w:sz="8" w:color="auto"/>
            </w:tcBorders>
            <w:gridSpan w:val="5"/>
            <w:shd w:val="clear" w:color="auto" w:fill="CCEEFF"/>
          </w:tcPr>
          <w:p>
            <w:pPr>
              <w:jc w:val="center"/>
              <w:spacing w:after="0"/>
              <w:rPr>
                <w:sz w:val="20"/>
                <w:szCs w:val="20"/>
                <w:color w:val="auto"/>
              </w:rPr>
            </w:pPr>
            <w:r>
              <w:rPr>
                <w:rFonts w:ascii="Arial" w:cs="Arial" w:eastAsia="Arial" w:hAnsi="Arial"/>
                <w:sz w:val="18"/>
                <w:szCs w:val="18"/>
                <w:color w:val="auto"/>
                <w:w w:val="89"/>
              </w:rPr>
              <w:t>November 13, 2013</w:t>
            </w:r>
          </w:p>
        </w:tc>
        <w:tc>
          <w:tcPr>
            <w:tcW w:w="440" w:type="dxa"/>
            <w:vAlign w:val="bottom"/>
            <w:tcBorders>
              <w:top w:val="single" w:sz="8" w:color="CCEEFF"/>
              <w:right w:val="single" w:sz="8" w:color="CCEEFF"/>
            </w:tcBorders>
            <w:gridSpan w:val="3"/>
            <w:shd w:val="clear" w:color="auto" w:fill="CCEEFF"/>
          </w:tcPr>
          <w:p>
            <w:pPr>
              <w:spacing w:after="0"/>
              <w:rPr>
                <w:sz w:val="18"/>
                <w:szCs w:val="18"/>
                <w:color w:val="auto"/>
              </w:rPr>
            </w:pPr>
          </w:p>
        </w:tc>
        <w:tc>
          <w:tcPr>
            <w:tcW w:w="1480" w:type="dxa"/>
            <w:vAlign w:val="bottom"/>
            <w:tcBorders>
              <w:top w:val="single" w:sz="8" w:color="auto"/>
              <w:lef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w w:val="88"/>
              </w:rPr>
              <w:t>December 27, 2013</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12,535</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900" w:type="dxa"/>
            <w:vAlign w:val="bottom"/>
            <w:gridSpan w:val="3"/>
          </w:tcPr>
          <w:p>
            <w:pPr>
              <w:ind w:left="360"/>
              <w:spacing w:after="0"/>
              <w:rPr>
                <w:sz w:val="20"/>
                <w:szCs w:val="20"/>
                <w:color w:val="auto"/>
              </w:rPr>
            </w:pPr>
            <w:r>
              <w:rPr>
                <w:rFonts w:ascii="Arial" w:cs="Arial" w:eastAsia="Arial" w:hAnsi="Arial"/>
                <w:sz w:val="18"/>
                <w:szCs w:val="18"/>
                <w:color w:val="auto"/>
              </w:rPr>
              <w:t>Total dividends declared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12,535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vMerge w:val="restart"/>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02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Record Date</w:t>
            </w:r>
          </w:p>
        </w:tc>
        <w:tc>
          <w:tcPr>
            <w:tcW w:w="440" w:type="dxa"/>
            <w:vAlign w:val="bottom"/>
            <w:gridSpan w:val="3"/>
            <w:vMerge w:val="restart"/>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Payment Date</w:t>
            </w:r>
          </w:p>
        </w:tc>
        <w:tc>
          <w:tcPr>
            <w:tcW w:w="8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5"/>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4"/>
                <w:szCs w:val="24"/>
                <w:color w:val="auto"/>
              </w:rPr>
            </w:pPr>
          </w:p>
        </w:tc>
        <w:tc>
          <w:tcPr>
            <w:tcW w:w="7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Per Share*</w:t>
            </w:r>
          </w:p>
        </w:tc>
        <w:tc>
          <w:tcPr>
            <w:tcW w:w="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500" w:type="dxa"/>
            <w:vAlign w:val="bottom"/>
            <w:gridSpan w:val="5"/>
            <w:shd w:val="clear" w:color="auto" w:fill="000000"/>
          </w:tcPr>
          <w:p>
            <w:pPr>
              <w:spacing w:after="0" w:line="20" w:lineRule="exact"/>
              <w:rPr>
                <w:sz w:val="1"/>
                <w:szCs w:val="1"/>
                <w:color w:val="auto"/>
              </w:rPr>
            </w:pPr>
          </w:p>
        </w:tc>
        <w:tc>
          <w:tcPr>
            <w:tcW w:w="440" w:type="dxa"/>
            <w:vAlign w:val="bottom"/>
            <w:tcBorders>
              <w:right w:val="single" w:sz="8" w:color="CCEEFF"/>
            </w:tcBorders>
            <w:gridSpan w:val="3"/>
            <w:vMerge w:val="restart"/>
            <w:shd w:val="clear" w:color="auto" w:fill="CCEEFF"/>
          </w:tcPr>
          <w:p>
            <w:pPr>
              <w:spacing w:after="0" w:line="20" w:lineRule="exact"/>
              <w:rPr>
                <w:sz w:val="1"/>
                <w:szCs w:val="1"/>
                <w:color w:val="auto"/>
              </w:rPr>
            </w:pPr>
          </w:p>
        </w:tc>
        <w:tc>
          <w:tcPr>
            <w:tcW w:w="14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80" w:type="dxa"/>
            <w:vAlign w:val="bottom"/>
            <w:gridSpan w:val="2"/>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9, 2012</w:t>
            </w:r>
          </w:p>
        </w:tc>
        <w:tc>
          <w:tcPr>
            <w:tcW w:w="15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9"/>
              </w:rPr>
              <w:t>November 20, 2012</w:t>
            </w:r>
          </w:p>
        </w:tc>
        <w:tc>
          <w:tcPr>
            <w:tcW w:w="440" w:type="dxa"/>
            <w:vAlign w:val="bottom"/>
            <w:tcBorders>
              <w:right w:val="single" w:sz="8" w:color="CCEEFF"/>
            </w:tcBorders>
            <w:gridSpan w:val="3"/>
            <w:vMerge w:val="continue"/>
            <w:shd w:val="clear" w:color="auto" w:fill="CCEEFF"/>
          </w:tcPr>
          <w:p>
            <w:pPr>
              <w:spacing w:after="0"/>
              <w:rPr>
                <w:sz w:val="18"/>
                <w:szCs w:val="18"/>
                <w:color w:val="auto"/>
              </w:rPr>
            </w:pPr>
          </w:p>
        </w:tc>
        <w:tc>
          <w:tcPr>
            <w:tcW w:w="1480" w:type="dxa"/>
            <w:vAlign w:val="bottom"/>
            <w:tcBorders>
              <w:lef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w w:val="88"/>
              </w:rPr>
              <w:t>December 31, 2012</w:t>
            </w:r>
          </w:p>
        </w:tc>
        <w:tc>
          <w:tcPr>
            <w:tcW w:w="8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16,476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900" w:type="dxa"/>
            <w:vAlign w:val="bottom"/>
            <w:gridSpan w:val="3"/>
          </w:tcPr>
          <w:p>
            <w:pPr>
              <w:ind w:left="360"/>
              <w:spacing w:after="0"/>
              <w:rPr>
                <w:sz w:val="20"/>
                <w:szCs w:val="20"/>
                <w:color w:val="auto"/>
              </w:rPr>
            </w:pPr>
            <w:r>
              <w:rPr>
                <w:rFonts w:ascii="Arial" w:cs="Arial" w:eastAsia="Arial" w:hAnsi="Arial"/>
                <w:sz w:val="18"/>
                <w:szCs w:val="18"/>
                <w:color w:val="auto"/>
              </w:rPr>
              <w:t>Total dividends declared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16,476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540" w:right="3740" w:hanging="5532"/>
        <w:spacing w:after="0" w:line="449" w:lineRule="auto"/>
        <w:tabs>
          <w:tab w:leader="none" w:pos="45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 per share is calculated based on the number of shares outstanding at the date of declaration. F-34</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schedule of financial highlights for the years ended February 28, 2017, February 29, 2016, February 28, 2015, February 28,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February 28,</w:t>
            </w:r>
          </w:p>
        </w:tc>
        <w:tc>
          <w:tcPr>
            <w:tcW w:w="10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February 29,</w:t>
            </w:r>
          </w:p>
        </w:tc>
        <w:tc>
          <w:tcPr>
            <w:tcW w:w="1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February 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February 28,</w:t>
            </w:r>
          </w:p>
        </w:tc>
        <w:tc>
          <w:tcPr>
            <w:tcW w:w="10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February 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 data:</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22.06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22.70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21.08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22.71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w w:val="92"/>
              </w:rPr>
              <w:t>Net realized and unrealized gains and losses on investments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and derivatives(1)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Distributions declared from net investment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 to stockholders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Dilution(4)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127,294,777</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125,149,875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122,598,742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113,427,929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107,437,874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5,794,600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5,672,227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5,401,899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5,379,616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4,730,116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22.74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14.22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15.76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15.85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return based on net asset value(3)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6"/>
              </w:rPr>
              <w:t>Ratio of incentive management fees to average net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2"/>
              </w:rPr>
              <w:t>Ratio of credit facility related expenses to average net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rate(5)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Asset coverage ratio per unit(6)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market value per unit: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Credit Facility(7)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SBA Debentures(7)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2020 Notes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2023 Notes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25.89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described in prior year financial statements, we identified errors that impacted the years ended February 28, 2014 and February 28, 2013. The corrections for the errors, which we have concluded are immaterial to all prior period consolidated financial statements, are reflected in the selected financial data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6"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 share amounts are calculated using the weighted average shares outstanding during the period.</w:t>
      </w:r>
    </w:p>
    <w:p>
      <w:pPr>
        <w:spacing w:after="0" w:line="130"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periods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92" w:lineRule="exact"/>
        <w:rPr>
          <w:rFonts w:ascii="Arial" w:cs="Arial" w:eastAsia="Arial" w:hAnsi="Arial"/>
          <w:sz w:val="18"/>
          <w:szCs w:val="18"/>
          <w:color w:val="auto"/>
        </w:rPr>
      </w:pPr>
    </w:p>
    <w:p>
      <w:pPr>
        <w:jc w:val="both"/>
        <w:ind w:left="460" w:right="220" w:hanging="452"/>
        <w:spacing w:after="0" w:line="286" w:lineRule="auto"/>
        <w:tabs>
          <w:tab w:leader="none" w:pos="4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Total investment return is calculated assuming a purchase of common shares at the current net asset value on the first day and a sale at the current net asset value on the last day of the periods reported. Dividends and distributions, if any, are assumed for purposes of this calculation to be reinvested at prices obtained under the Company’s DRIP. Total investment return does not reflect brokerage commissions.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40" w:hanging="452"/>
        <w:spacing w:after="0" w:line="277"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the dilutive effect of issuing common stock below net asset value per share during the period in connection with the satisfaction of the Company’s annual RIC distribution requirement. See Note 13, Dividend.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Portfolio turnover rate is calculated using the lesser of year-to-date sales or year-to-date purchases over the average of the invested assets at fair value.</w:t>
      </w:r>
    </w:p>
    <w:p>
      <w:pPr>
        <w:spacing w:after="0" w:line="153" w:lineRule="exact"/>
        <w:rPr>
          <w:rFonts w:ascii="Arial" w:cs="Arial" w:eastAsia="Arial" w:hAnsi="Arial"/>
          <w:sz w:val="16"/>
          <w:szCs w:val="16"/>
          <w:color w:val="auto"/>
        </w:rPr>
      </w:pPr>
    </w:p>
    <w:p>
      <w:pPr>
        <w:ind w:left="460" w:hanging="452"/>
        <w:spacing w:after="0" w:line="279" w:lineRule="auto"/>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Asset coverage ratio per unit is the ratio of the carrying value of our total consolidated assets, less all liabilities and indebtedness not represented by senior securities, to the aggregate amount of senior securities representing indebtedness. Asset coverage ratio per unit is expressed in terms of dollar amounts per $1,000 of indebtedness. Asset coverage ratio per unit does not include unfunded commitments. The inclusion of unfunded commitments in the calculation of the asset coverage ratio per unit would not cause us to be below the required amount of regulatory coverage.</w:t>
      </w:r>
    </w:p>
    <w:p>
      <w:pPr>
        <w:spacing w:after="0" w:line="76" w:lineRule="exact"/>
        <w:rPr>
          <w:rFonts w:ascii="Arial" w:cs="Arial" w:eastAsia="Arial" w:hAnsi="Arial"/>
          <w:sz w:val="17"/>
          <w:szCs w:val="17"/>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Credit Facility and SBA Debentures are not registered for public trading.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Selected Quarterly Data (Unaudited)</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 except per share numbers)</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Qtr 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7"/>
              </w:rPr>
              <w:t>Qtr 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Qtr 2</w:t>
            </w:r>
          </w:p>
        </w:tc>
        <w:tc>
          <w:tcPr>
            <w:tcW w:w="120" w:type="dxa"/>
            <w:vAlign w:val="bottom"/>
          </w:tcPr>
          <w:p>
            <w:pPr>
              <w:spacing w:after="0"/>
              <w:rPr>
                <w:sz w:val="12"/>
                <w:szCs w:val="12"/>
                <w:color w:val="auto"/>
              </w:rPr>
            </w:pPr>
          </w:p>
        </w:tc>
        <w:tc>
          <w:tcPr>
            <w:tcW w:w="50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Qtr 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Interest and related portfolio income</w:t>
            </w:r>
          </w:p>
        </w:tc>
        <w:tc>
          <w:tcPr>
            <w:tcW w:w="36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8,359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8,442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7,908</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3,419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2,604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2,539</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1,254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1,574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5,272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3,288</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per common share at end of each quarter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w w:val="97"/>
              </w:rPr>
              <w:t>Net realized and unrealized gain (loss) per common share at end of each quarter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0.46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Net asset value per common share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21.97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22.21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22.39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22.11</w:t>
            </w:r>
          </w:p>
        </w:tc>
        <w:tc>
          <w:tcPr>
            <w:tcW w:w="0" w:type="dxa"/>
            <w:vAlign w:val="bottom"/>
          </w:tcPr>
          <w:p>
            <w:pPr>
              <w:spacing w:after="0"/>
              <w:rPr>
                <w:sz w:val="1"/>
                <w:szCs w:val="1"/>
                <w:color w:val="auto"/>
              </w:rPr>
            </w:pPr>
          </w:p>
        </w:tc>
      </w:tr>
      <w:tr>
        <w:trPr>
          <w:trHeight w:val="350"/>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 except per share numbers)</w:t>
            </w:r>
          </w:p>
        </w:tc>
        <w:tc>
          <w:tcPr>
            <w:tcW w:w="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Qtr 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7"/>
              </w:rPr>
              <w:t>Qtr 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Qtr 2</w:t>
            </w:r>
          </w:p>
        </w:tc>
        <w:tc>
          <w:tcPr>
            <w:tcW w:w="120" w:type="dxa"/>
            <w:vAlign w:val="bottom"/>
          </w:tcPr>
          <w:p>
            <w:pPr>
              <w:spacing w:after="0"/>
              <w:rPr>
                <w:sz w:val="12"/>
                <w:szCs w:val="12"/>
                <w:color w:val="auto"/>
              </w:rPr>
            </w:pPr>
          </w:p>
        </w:tc>
        <w:tc>
          <w:tcPr>
            <w:tcW w:w="50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Qtr 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Interest and related portfolio income</w:t>
            </w:r>
          </w:p>
        </w:tc>
        <w:tc>
          <w:tcPr>
            <w:tcW w:w="36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7,795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6,936</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7,561</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3,100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2,150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3,657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1,771</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(3,503)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(2,415)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5,614</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3,421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7,385</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per common share at end of each quarter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w w:val="97"/>
              </w:rPr>
              <w:t>Net realized and unrealized gain (loss) per common share at end of each quarter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0.23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Net asset value per common share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22.06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22.59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22.42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22.75</w:t>
            </w:r>
          </w:p>
        </w:tc>
        <w:tc>
          <w:tcPr>
            <w:tcW w:w="0" w:type="dxa"/>
            <w:vAlign w:val="bottom"/>
          </w:tcPr>
          <w:p>
            <w:pPr>
              <w:spacing w:after="0"/>
              <w:rPr>
                <w:sz w:val="1"/>
                <w:szCs w:val="1"/>
                <w:color w:val="auto"/>
              </w:rPr>
            </w:pPr>
          </w:p>
        </w:tc>
      </w:tr>
      <w:tr>
        <w:trPr>
          <w:trHeight w:val="350"/>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 except per share numbers)</w:t>
            </w:r>
          </w:p>
        </w:tc>
        <w:tc>
          <w:tcPr>
            <w:tcW w:w="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Qtr 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7"/>
              </w:rPr>
              <w:t>Qtr 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Qtr 2</w:t>
            </w:r>
          </w:p>
        </w:tc>
        <w:tc>
          <w:tcPr>
            <w:tcW w:w="120" w:type="dxa"/>
            <w:vAlign w:val="bottom"/>
          </w:tcPr>
          <w:p>
            <w:pPr>
              <w:spacing w:after="0"/>
              <w:rPr>
                <w:sz w:val="12"/>
                <w:szCs w:val="12"/>
                <w:color w:val="auto"/>
              </w:rPr>
            </w:pPr>
          </w:p>
        </w:tc>
        <w:tc>
          <w:tcPr>
            <w:tcW w:w="50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Qtr 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Interest and related portfolio income</w:t>
            </w:r>
          </w:p>
        </w:tc>
        <w:tc>
          <w:tcPr>
            <w:tcW w:w="36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7,451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7,305</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6,144</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2,889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2,629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2,063</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2,705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3,385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3,157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1,760</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per common share at end of each quarter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w w:val="97"/>
              </w:rPr>
              <w:t>Net realized and unrealized gain (loss) per common share at end of each quarter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0.14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(0.06)</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Net asset value per common share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22.70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22.45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22.00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21.41</w:t>
            </w:r>
          </w:p>
        </w:tc>
        <w:tc>
          <w:tcPr>
            <w:tcW w:w="0" w:type="dxa"/>
            <w:vAlign w:val="bottom"/>
          </w:tcPr>
          <w:p>
            <w:pPr>
              <w:spacing w:after="0"/>
              <w:rPr>
                <w:sz w:val="1"/>
                <w:szCs w:val="1"/>
                <w:color w:val="auto"/>
              </w:rPr>
            </w:pPr>
          </w:p>
        </w:tc>
      </w:tr>
      <w:tr>
        <w:trPr>
          <w:trHeight w:val="715"/>
        </w:trPr>
        <w:tc>
          <w:tcPr>
            <w:tcW w:w="2660" w:type="dxa"/>
            <w:vAlign w:val="bottom"/>
          </w:tcPr>
          <w:p>
            <w:pPr>
              <w:spacing w:after="0"/>
              <w:rPr>
                <w:sz w:val="24"/>
                <w:szCs w:val="24"/>
                <w:color w:val="auto"/>
              </w:rPr>
            </w:pPr>
          </w:p>
        </w:tc>
        <w:tc>
          <w:tcPr>
            <w:tcW w:w="3640" w:type="dxa"/>
            <w:vAlign w:val="bottom"/>
          </w:tcPr>
          <w:p>
            <w:pPr>
              <w:ind w:left="2420"/>
              <w:spacing w:after="0"/>
              <w:rPr>
                <w:sz w:val="20"/>
                <w:szCs w:val="20"/>
                <w:color w:val="auto"/>
              </w:rPr>
            </w:pPr>
            <w:r>
              <w:rPr>
                <w:rFonts w:ascii="Arial" w:cs="Arial" w:eastAsia="Arial" w:hAnsi="Arial"/>
                <w:sz w:val="18"/>
                <w:szCs w:val="18"/>
                <w:color w:val="auto"/>
              </w:rPr>
              <w:t>F-36</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Company has evaluated subsequent events through the filing of this Form 10-K and determined that there have been no events that have occurred that would require adjustments to the Company’s consolidated financial statements and disclosures in the consolidated financial statements except for the following:</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February 28, 2017, the Company declared a dividend of $0.46 per share payable on March 28, 2017, to common stockholders of record on March 15, 2017. Shareholders had the option to receive payment of the dividend in cash, or receive shares of common stock, pursuant the Company’s DRIP. Based on shareholder elections, the dividend consisted of approximately $2.0 million in cash and 29,096 newly issued shares of common stock, or 0.5% of our outstanding common stock prior to the dividend payment. The number of shares of common stock comprising the stock portion was calculated based on a price of $21.38 per share, which equaled 95.0% of the volume weighted average trading price per share of the common stock on March 15, 16, 17, 20, 21, 22, 23, 24, 27 and 28, 2017.</w:t>
      </w:r>
    </w:p>
    <w:p>
      <w:pPr>
        <w:spacing w:after="0" w:line="19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March 16, 2017, we entered into an equity distribution agreement with Ladenburg Thalmann &amp; Co. Inc., through which we may offer for sale, from time to time, up to $30.0 million of our common stock through an ATM offering. As of May 15, 2017, the Company sold 60,679 shares for gross proceeds of $1.4 million at an average price of $22.49 for aggregate net proceeds of $1.3 million (net of transaction costs).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80"/>
          </w:cols>
          <w:pgMar w:left="240" w:top="459" w:right="27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9880" w:type="dxa"/>
            <w:vAlign w:val="bottom"/>
            <w:gridSpan w:val="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4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80" w:type="dxa"/>
            <w:vAlign w:val="bottom"/>
            <w:gridSpan w:val="6"/>
          </w:tcPr>
          <w:p>
            <w:pPr>
              <w:ind w:left="1460"/>
              <w:spacing w:after="0"/>
              <w:rPr>
                <w:sz w:val="20"/>
                <w:szCs w:val="20"/>
                <w:color w:val="auto"/>
              </w:rPr>
            </w:pPr>
            <w:r>
              <w:rPr>
                <w:rFonts w:ascii="Arial" w:cs="Arial" w:eastAsia="Arial" w:hAnsi="Arial"/>
                <w:sz w:val="18"/>
                <w:szCs w:val="18"/>
                <w:b w:val="1"/>
                <w:bCs w:val="1"/>
                <w:color w:val="auto"/>
              </w:rPr>
              <w:t>INDEX TO OTHER FINANCIAL STATEMENTS</w:t>
            </w:r>
          </w:p>
        </w:tc>
        <w:tc>
          <w:tcPr>
            <w:tcW w:w="1460" w:type="dxa"/>
            <w:vAlign w:val="bottom"/>
          </w:tcPr>
          <w:p>
            <w:pPr>
              <w:spacing w:after="0"/>
              <w:rPr>
                <w:sz w:val="24"/>
                <w:szCs w:val="24"/>
                <w:color w:val="auto"/>
              </w:rPr>
            </w:pPr>
          </w:p>
        </w:tc>
      </w:tr>
      <w:tr>
        <w:trPr>
          <w:trHeight w:val="432"/>
        </w:trPr>
        <w:tc>
          <w:tcPr>
            <w:tcW w:w="9880" w:type="dxa"/>
            <w:vAlign w:val="bottom"/>
            <w:gridSpan w:val="9"/>
          </w:tcPr>
          <w:p>
            <w:pPr>
              <w:spacing w:after="0"/>
              <w:rPr>
                <w:sz w:val="20"/>
                <w:szCs w:val="20"/>
                <w:color w:val="auto"/>
              </w:rPr>
            </w:pPr>
            <w:r>
              <w:rPr>
                <w:rFonts w:ascii="Arial" w:cs="Arial" w:eastAsia="Arial" w:hAnsi="Arial"/>
                <w:sz w:val="18"/>
                <w:szCs w:val="18"/>
                <w:b w:val="1"/>
                <w:bCs w:val="1"/>
                <w:color w:val="auto"/>
              </w:rPr>
              <w:t>Saratoga Investment Corp. CLO 2013-1, Ltd.</w:t>
            </w:r>
          </w:p>
        </w:tc>
        <w:tc>
          <w:tcPr>
            <w:tcW w:w="1460" w:type="dxa"/>
            <w:vAlign w:val="bottom"/>
          </w:tcPr>
          <w:p>
            <w:pPr>
              <w:spacing w:after="0"/>
              <w:rPr>
                <w:sz w:val="24"/>
                <w:szCs w:val="24"/>
                <w:color w:val="auto"/>
              </w:rPr>
            </w:pPr>
          </w:p>
        </w:tc>
      </w:tr>
      <w:tr>
        <w:trPr>
          <w:trHeight w:val="419"/>
        </w:trPr>
        <w:tc>
          <w:tcPr>
            <w:tcW w:w="9880" w:type="dxa"/>
            <w:vAlign w:val="bottom"/>
            <w:gridSpan w:val="9"/>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Report of Independent Auditors</w:t>
              </w:r>
            </w:hyperlink>
          </w:p>
        </w:tc>
        <w:tc>
          <w:tcPr>
            <w:tcW w:w="1460" w:type="dxa"/>
            <w:vAlign w:val="bottom"/>
          </w:tcPr>
          <w:p>
            <w:pPr>
              <w:ind w:left="1300"/>
              <w:spacing w:after="0"/>
              <w:rPr>
                <w:sz w:val="20"/>
                <w:szCs w:val="20"/>
                <w:color w:val="auto"/>
              </w:rPr>
            </w:pPr>
            <w:r>
              <w:rPr>
                <w:rFonts w:ascii="Arial" w:cs="Arial" w:eastAsia="Arial" w:hAnsi="Arial"/>
                <w:sz w:val="18"/>
                <w:szCs w:val="18"/>
                <w:color w:val="auto"/>
                <w:w w:val="77"/>
              </w:rPr>
              <w:t>S-</w:t>
            </w:r>
          </w:p>
        </w:tc>
      </w:tr>
      <w:tr>
        <w:trPr>
          <w:trHeight w:val="222"/>
        </w:trPr>
        <w:tc>
          <w:tcPr>
            <w:tcW w:w="136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60" w:type="dxa"/>
            <w:vAlign w:val="bottom"/>
          </w:tcPr>
          <w:p>
            <w:pPr>
              <w:ind w:left="1300"/>
              <w:spacing w:after="0"/>
              <w:rPr>
                <w:sz w:val="20"/>
                <w:szCs w:val="20"/>
                <w:color w:val="auto"/>
              </w:rPr>
            </w:pPr>
            <w:r>
              <w:rPr>
                <w:rFonts w:ascii="Arial" w:cs="Arial" w:eastAsia="Arial" w:hAnsi="Arial"/>
                <w:sz w:val="18"/>
                <w:szCs w:val="18"/>
                <w:color w:val="auto"/>
              </w:rPr>
              <w:t>2</w:t>
            </w:r>
          </w:p>
        </w:tc>
      </w:tr>
      <w:tr>
        <w:trPr>
          <w:trHeight w:val="190"/>
        </w:trPr>
        <w:tc>
          <w:tcPr>
            <w:tcW w:w="9880" w:type="dxa"/>
            <w:vAlign w:val="bottom"/>
            <w:gridSpan w:val="9"/>
          </w:tcPr>
          <w:p>
            <w:pPr>
              <w:spacing w:after="0" w:line="190" w:lineRule="exact"/>
              <w:rPr>
                <w:rFonts w:ascii="Arial" w:cs="Arial" w:eastAsia="Arial" w:hAnsi="Arial"/>
                <w:sz w:val="18"/>
                <w:szCs w:val="18"/>
                <w:color w:val="0000EE"/>
              </w:rPr>
            </w:pPr>
            <w:hyperlink w:anchor="page136">
              <w:r>
                <w:rPr>
                  <w:rFonts w:ascii="Arial" w:cs="Arial" w:eastAsia="Arial" w:hAnsi="Arial"/>
                  <w:sz w:val="18"/>
                  <w:szCs w:val="18"/>
                  <w:color w:val="0000EE"/>
                </w:rPr>
                <w:t>Statements of Assets and Liabilities as of February 28, 2017 and February 29, 2016</w:t>
              </w:r>
            </w:hyperlink>
          </w:p>
        </w:tc>
        <w:tc>
          <w:tcPr>
            <w:tcW w:w="1460" w:type="dxa"/>
            <w:vAlign w:val="bottom"/>
          </w:tcPr>
          <w:p>
            <w:pPr>
              <w:ind w:left="1300"/>
              <w:spacing w:after="0" w:line="190" w:lineRule="exact"/>
              <w:rPr>
                <w:sz w:val="20"/>
                <w:szCs w:val="20"/>
                <w:color w:val="auto"/>
              </w:rPr>
            </w:pPr>
            <w:r>
              <w:rPr>
                <w:rFonts w:ascii="Arial" w:cs="Arial" w:eastAsia="Arial" w:hAnsi="Arial"/>
                <w:sz w:val="18"/>
                <w:szCs w:val="18"/>
                <w:color w:val="auto"/>
                <w:w w:val="77"/>
              </w:rPr>
              <w:t>S-</w:t>
            </w:r>
          </w:p>
        </w:tc>
      </w:tr>
      <w:tr>
        <w:trPr>
          <w:trHeight w:val="222"/>
        </w:trPr>
        <w:tc>
          <w:tcPr>
            <w:tcW w:w="136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2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60" w:type="dxa"/>
            <w:vAlign w:val="bottom"/>
          </w:tcPr>
          <w:p>
            <w:pPr>
              <w:ind w:left="1300"/>
              <w:spacing w:after="0"/>
              <w:rPr>
                <w:sz w:val="20"/>
                <w:szCs w:val="20"/>
                <w:color w:val="auto"/>
              </w:rPr>
            </w:pPr>
            <w:r>
              <w:rPr>
                <w:rFonts w:ascii="Arial" w:cs="Arial" w:eastAsia="Arial" w:hAnsi="Arial"/>
                <w:sz w:val="18"/>
                <w:szCs w:val="18"/>
                <w:color w:val="auto"/>
              </w:rPr>
              <w:t>3</w:t>
            </w:r>
          </w:p>
        </w:tc>
      </w:tr>
      <w:tr>
        <w:trPr>
          <w:trHeight w:val="190"/>
        </w:trPr>
        <w:tc>
          <w:tcPr>
            <w:tcW w:w="9880" w:type="dxa"/>
            <w:vAlign w:val="bottom"/>
            <w:gridSpan w:val="9"/>
          </w:tcPr>
          <w:p>
            <w:pPr>
              <w:spacing w:after="0" w:line="190" w:lineRule="exact"/>
              <w:rPr>
                <w:rFonts w:ascii="Arial" w:cs="Arial" w:eastAsia="Arial" w:hAnsi="Arial"/>
                <w:sz w:val="18"/>
                <w:szCs w:val="18"/>
                <w:color w:val="0000EE"/>
              </w:rPr>
            </w:pPr>
            <w:hyperlink w:anchor="page137">
              <w:r>
                <w:rPr>
                  <w:rFonts w:ascii="Arial" w:cs="Arial" w:eastAsia="Arial" w:hAnsi="Arial"/>
                  <w:sz w:val="18"/>
                  <w:szCs w:val="18"/>
                  <w:color w:val="0000EE"/>
                </w:rPr>
                <w:t>Statements of Operations for the years ended February 28, 2017, February 29, 2016 and February 28, 2015</w:t>
              </w:r>
            </w:hyperlink>
          </w:p>
        </w:tc>
        <w:tc>
          <w:tcPr>
            <w:tcW w:w="1460" w:type="dxa"/>
            <w:vAlign w:val="bottom"/>
          </w:tcPr>
          <w:p>
            <w:pPr>
              <w:ind w:left="1300"/>
              <w:spacing w:after="0" w:line="190" w:lineRule="exact"/>
              <w:rPr>
                <w:sz w:val="20"/>
                <w:szCs w:val="20"/>
                <w:color w:val="auto"/>
              </w:rPr>
            </w:pPr>
            <w:r>
              <w:rPr>
                <w:rFonts w:ascii="Arial" w:cs="Arial" w:eastAsia="Arial" w:hAnsi="Arial"/>
                <w:sz w:val="18"/>
                <w:szCs w:val="18"/>
                <w:color w:val="auto"/>
                <w:w w:val="77"/>
              </w:rPr>
              <w:t>S-</w:t>
            </w:r>
          </w:p>
        </w:tc>
      </w:tr>
      <w:tr>
        <w:trPr>
          <w:trHeight w:val="222"/>
        </w:trPr>
        <w:tc>
          <w:tcPr>
            <w:tcW w:w="136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2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17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60" w:type="dxa"/>
            <w:vAlign w:val="bottom"/>
          </w:tcPr>
          <w:p>
            <w:pPr>
              <w:ind w:left="1300"/>
              <w:spacing w:after="0"/>
              <w:rPr>
                <w:sz w:val="20"/>
                <w:szCs w:val="20"/>
                <w:color w:val="auto"/>
              </w:rPr>
            </w:pPr>
            <w:r>
              <w:rPr>
                <w:rFonts w:ascii="Arial" w:cs="Arial" w:eastAsia="Arial" w:hAnsi="Arial"/>
                <w:sz w:val="18"/>
                <w:szCs w:val="18"/>
                <w:color w:val="auto"/>
              </w:rPr>
              <w:t>4</w:t>
            </w:r>
          </w:p>
        </w:tc>
      </w:tr>
      <w:tr>
        <w:trPr>
          <w:trHeight w:val="190"/>
        </w:trPr>
        <w:tc>
          <w:tcPr>
            <w:tcW w:w="9880" w:type="dxa"/>
            <w:vAlign w:val="bottom"/>
            <w:gridSpan w:val="9"/>
          </w:tcPr>
          <w:p>
            <w:pPr>
              <w:spacing w:after="0" w:line="190" w:lineRule="exact"/>
              <w:rPr>
                <w:rFonts w:ascii="Arial" w:cs="Arial" w:eastAsia="Arial" w:hAnsi="Arial"/>
                <w:sz w:val="18"/>
                <w:szCs w:val="18"/>
                <w:color w:val="0000EE"/>
              </w:rPr>
            </w:pPr>
            <w:hyperlink w:anchor="page138">
              <w:r>
                <w:rPr>
                  <w:rFonts w:ascii="Arial" w:cs="Arial" w:eastAsia="Arial" w:hAnsi="Arial"/>
                  <w:sz w:val="18"/>
                  <w:szCs w:val="18"/>
                  <w:color w:val="0000EE"/>
                </w:rPr>
                <w:t>Schedules of Investments as of February 28, 2017 and February 29, 2016</w:t>
              </w:r>
            </w:hyperlink>
          </w:p>
        </w:tc>
        <w:tc>
          <w:tcPr>
            <w:tcW w:w="1460" w:type="dxa"/>
            <w:vAlign w:val="bottom"/>
          </w:tcPr>
          <w:p>
            <w:pPr>
              <w:ind w:left="1300"/>
              <w:spacing w:after="0" w:line="190" w:lineRule="exact"/>
              <w:rPr>
                <w:sz w:val="20"/>
                <w:szCs w:val="20"/>
                <w:color w:val="auto"/>
              </w:rPr>
            </w:pPr>
            <w:r>
              <w:rPr>
                <w:rFonts w:ascii="Arial" w:cs="Arial" w:eastAsia="Arial" w:hAnsi="Arial"/>
                <w:sz w:val="18"/>
                <w:szCs w:val="18"/>
                <w:color w:val="auto"/>
                <w:w w:val="77"/>
              </w:rPr>
              <w:t>S-</w:t>
            </w:r>
          </w:p>
        </w:tc>
      </w:tr>
      <w:tr>
        <w:trPr>
          <w:trHeight w:val="222"/>
        </w:trPr>
        <w:tc>
          <w:tcPr>
            <w:tcW w:w="136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20" w:type="dxa"/>
            <w:vAlign w:val="bottom"/>
            <w:tcBorders>
              <w:top w:val="single" w:sz="8" w:color="0000EE"/>
            </w:tcBorders>
          </w:tcPr>
          <w:p>
            <w:pPr>
              <w:spacing w:after="0"/>
              <w:rPr>
                <w:sz w:val="19"/>
                <w:szCs w:val="19"/>
                <w:color w:val="auto"/>
              </w:rPr>
            </w:pPr>
          </w:p>
        </w:tc>
        <w:tc>
          <w:tcPr>
            <w:tcW w:w="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60" w:type="dxa"/>
            <w:vAlign w:val="bottom"/>
          </w:tcPr>
          <w:p>
            <w:pPr>
              <w:ind w:left="1300"/>
              <w:spacing w:after="0"/>
              <w:rPr>
                <w:sz w:val="20"/>
                <w:szCs w:val="20"/>
                <w:color w:val="auto"/>
              </w:rPr>
            </w:pPr>
            <w:r>
              <w:rPr>
                <w:rFonts w:ascii="Arial" w:cs="Arial" w:eastAsia="Arial" w:hAnsi="Arial"/>
                <w:sz w:val="18"/>
                <w:szCs w:val="18"/>
                <w:color w:val="auto"/>
              </w:rPr>
              <w:t>5</w:t>
            </w:r>
          </w:p>
        </w:tc>
      </w:tr>
      <w:tr>
        <w:trPr>
          <w:trHeight w:val="190"/>
        </w:trPr>
        <w:tc>
          <w:tcPr>
            <w:tcW w:w="9880" w:type="dxa"/>
            <w:vAlign w:val="bottom"/>
            <w:gridSpan w:val="9"/>
          </w:tcPr>
          <w:p>
            <w:pPr>
              <w:spacing w:after="0" w:line="190" w:lineRule="exact"/>
              <w:rPr>
                <w:rFonts w:ascii="Arial" w:cs="Arial" w:eastAsia="Arial" w:hAnsi="Arial"/>
                <w:sz w:val="18"/>
                <w:szCs w:val="18"/>
                <w:color w:val="0000EE"/>
              </w:rPr>
            </w:pPr>
            <w:hyperlink w:anchor="page146">
              <w:r>
                <w:rPr>
                  <w:rFonts w:ascii="Arial" w:cs="Arial" w:eastAsia="Arial" w:hAnsi="Arial"/>
                  <w:sz w:val="18"/>
                  <w:szCs w:val="18"/>
                  <w:color w:val="0000EE"/>
                </w:rPr>
                <w:t>Statements of Changes in Net Assets for the years ended February 28, 2017, February 29, 2016 and February 28, 2015</w:t>
              </w:r>
            </w:hyperlink>
          </w:p>
        </w:tc>
        <w:tc>
          <w:tcPr>
            <w:tcW w:w="1460" w:type="dxa"/>
            <w:vAlign w:val="bottom"/>
          </w:tcPr>
          <w:p>
            <w:pPr>
              <w:ind w:left="1300"/>
              <w:spacing w:after="0" w:line="190" w:lineRule="exact"/>
              <w:rPr>
                <w:sz w:val="20"/>
                <w:szCs w:val="20"/>
                <w:color w:val="auto"/>
              </w:rPr>
            </w:pPr>
            <w:r>
              <w:rPr>
                <w:rFonts w:ascii="Arial" w:cs="Arial" w:eastAsia="Arial" w:hAnsi="Arial"/>
                <w:sz w:val="18"/>
                <w:szCs w:val="18"/>
                <w:color w:val="auto"/>
                <w:w w:val="77"/>
              </w:rPr>
              <w:t>S-</w:t>
            </w:r>
          </w:p>
        </w:tc>
      </w:tr>
      <w:tr>
        <w:trPr>
          <w:trHeight w:val="222"/>
        </w:trPr>
        <w:tc>
          <w:tcPr>
            <w:tcW w:w="136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2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17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1300" w:type="dxa"/>
            <w:vAlign w:val="bottom"/>
          </w:tcPr>
          <w:p>
            <w:pPr>
              <w:spacing w:after="0"/>
              <w:rPr>
                <w:sz w:val="19"/>
                <w:szCs w:val="19"/>
                <w:color w:val="auto"/>
              </w:rPr>
            </w:pPr>
          </w:p>
        </w:tc>
        <w:tc>
          <w:tcPr>
            <w:tcW w:w="1460" w:type="dxa"/>
            <w:vAlign w:val="bottom"/>
          </w:tcPr>
          <w:p>
            <w:pPr>
              <w:ind w:left="1300"/>
              <w:spacing w:after="0"/>
              <w:rPr>
                <w:sz w:val="20"/>
                <w:szCs w:val="20"/>
                <w:color w:val="auto"/>
              </w:rPr>
            </w:pPr>
            <w:r>
              <w:rPr>
                <w:rFonts w:ascii="Arial" w:cs="Arial" w:eastAsia="Arial" w:hAnsi="Arial"/>
                <w:sz w:val="18"/>
                <w:szCs w:val="18"/>
                <w:color w:val="auto"/>
              </w:rPr>
              <w:t>7</w:t>
            </w:r>
          </w:p>
        </w:tc>
      </w:tr>
      <w:tr>
        <w:trPr>
          <w:trHeight w:val="190"/>
        </w:trPr>
        <w:tc>
          <w:tcPr>
            <w:tcW w:w="9880" w:type="dxa"/>
            <w:vAlign w:val="bottom"/>
            <w:gridSpan w:val="9"/>
          </w:tcPr>
          <w:p>
            <w:pPr>
              <w:spacing w:after="0" w:line="190" w:lineRule="exact"/>
              <w:rPr>
                <w:rFonts w:ascii="Arial" w:cs="Arial" w:eastAsia="Arial" w:hAnsi="Arial"/>
                <w:sz w:val="18"/>
                <w:szCs w:val="18"/>
                <w:color w:val="0000EE"/>
              </w:rPr>
            </w:pPr>
            <w:hyperlink w:anchor="page147">
              <w:r>
                <w:rPr>
                  <w:rFonts w:ascii="Arial" w:cs="Arial" w:eastAsia="Arial" w:hAnsi="Arial"/>
                  <w:sz w:val="18"/>
                  <w:szCs w:val="18"/>
                  <w:color w:val="0000EE"/>
                </w:rPr>
                <w:t>Statements of Cash Flows for the years ended February 28, 2017, February 29, 2016 and February 28, 2015</w:t>
              </w:r>
            </w:hyperlink>
          </w:p>
        </w:tc>
        <w:tc>
          <w:tcPr>
            <w:tcW w:w="1460" w:type="dxa"/>
            <w:vAlign w:val="bottom"/>
          </w:tcPr>
          <w:p>
            <w:pPr>
              <w:ind w:left="1300"/>
              <w:spacing w:after="0" w:line="190" w:lineRule="exact"/>
              <w:rPr>
                <w:sz w:val="20"/>
                <w:szCs w:val="20"/>
                <w:color w:val="auto"/>
              </w:rPr>
            </w:pPr>
            <w:r>
              <w:rPr>
                <w:rFonts w:ascii="Arial" w:cs="Arial" w:eastAsia="Arial" w:hAnsi="Arial"/>
                <w:sz w:val="18"/>
                <w:szCs w:val="18"/>
                <w:color w:val="auto"/>
                <w:w w:val="77"/>
              </w:rPr>
              <w:t>S-</w:t>
            </w:r>
          </w:p>
        </w:tc>
      </w:tr>
      <w:tr>
        <w:trPr>
          <w:trHeight w:val="222"/>
        </w:trPr>
        <w:tc>
          <w:tcPr>
            <w:tcW w:w="136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2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17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60" w:type="dxa"/>
            <w:vAlign w:val="bottom"/>
          </w:tcPr>
          <w:p>
            <w:pPr>
              <w:ind w:left="1300"/>
              <w:spacing w:after="0"/>
              <w:rPr>
                <w:sz w:val="20"/>
                <w:szCs w:val="20"/>
                <w:color w:val="auto"/>
              </w:rPr>
            </w:pPr>
            <w:r>
              <w:rPr>
                <w:rFonts w:ascii="Arial" w:cs="Arial" w:eastAsia="Arial" w:hAnsi="Arial"/>
                <w:sz w:val="18"/>
                <w:szCs w:val="18"/>
                <w:color w:val="auto"/>
              </w:rPr>
              <w:t>8</w:t>
            </w:r>
          </w:p>
        </w:tc>
      </w:tr>
      <w:tr>
        <w:trPr>
          <w:trHeight w:val="190"/>
        </w:trPr>
        <w:tc>
          <w:tcPr>
            <w:tcW w:w="9880" w:type="dxa"/>
            <w:vAlign w:val="bottom"/>
            <w:gridSpan w:val="9"/>
          </w:tcPr>
          <w:p>
            <w:pPr>
              <w:spacing w:after="0" w:line="190" w:lineRule="exact"/>
              <w:rPr>
                <w:rFonts w:ascii="Arial" w:cs="Arial" w:eastAsia="Arial" w:hAnsi="Arial"/>
                <w:sz w:val="18"/>
                <w:szCs w:val="18"/>
                <w:color w:val="0000EE"/>
              </w:rPr>
            </w:pPr>
            <w:hyperlink w:anchor="page148">
              <w:r>
                <w:rPr>
                  <w:rFonts w:ascii="Arial" w:cs="Arial" w:eastAsia="Arial" w:hAnsi="Arial"/>
                  <w:sz w:val="18"/>
                  <w:szCs w:val="18"/>
                  <w:color w:val="0000EE"/>
                </w:rPr>
                <w:t>Notes to Financial Statements</w:t>
              </w:r>
            </w:hyperlink>
          </w:p>
        </w:tc>
        <w:tc>
          <w:tcPr>
            <w:tcW w:w="1460" w:type="dxa"/>
            <w:vAlign w:val="bottom"/>
          </w:tcPr>
          <w:p>
            <w:pPr>
              <w:ind w:left="1300"/>
              <w:spacing w:after="0" w:line="190" w:lineRule="exact"/>
              <w:rPr>
                <w:sz w:val="20"/>
                <w:szCs w:val="20"/>
                <w:color w:val="auto"/>
              </w:rPr>
            </w:pPr>
            <w:r>
              <w:rPr>
                <w:rFonts w:ascii="Arial" w:cs="Arial" w:eastAsia="Arial" w:hAnsi="Arial"/>
                <w:sz w:val="18"/>
                <w:szCs w:val="18"/>
                <w:color w:val="auto"/>
                <w:w w:val="77"/>
              </w:rPr>
              <w:t>S-</w:t>
            </w:r>
          </w:p>
        </w:tc>
      </w:tr>
      <w:tr>
        <w:trPr>
          <w:trHeight w:val="237"/>
        </w:trPr>
        <w:tc>
          <w:tcPr>
            <w:tcW w:w="136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60" w:type="dxa"/>
            <w:vAlign w:val="bottom"/>
          </w:tcPr>
          <w:p>
            <w:pPr>
              <w:ind w:left="1300"/>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IMPORTANT NOTE</w:t>
      </w:r>
    </w:p>
    <w:p>
      <w:pPr>
        <w:spacing w:after="0" w:line="2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In accordance with certain SEC rules, Saratoga Investment Corp. (the “Company”) is providing additional information regarding one of its portfolio companies, Saratoga Investment Corp. CLO 2013-1, Ltd. (“Saratoga CLO”). The Company owns 100% of the subordinated notes of the Saratoga CLO. The additional financial information regarding the Saratoga CLO does not directly impact the Company’s financial position, results of operations or cash flows.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40"/>
          </w:cols>
          <w:pgMar w:left="240" w:top="446" w:right="3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Auditors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Manager,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Saratoga Investment Corp. CLO 2013-1, Ltd.</w:t>
      </w:r>
    </w:p>
    <w:p>
      <w:pPr>
        <w:spacing w:after="0" w:line="21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We have audited the accompanying financial statements of Saratoga Investment Corp. CLO 2013-1, Ltd., which comprise the statements of assets and liabilities, including the schedules of investments, as of February 28, 2017 and February 29, 2016, and the statements of operations, changes in net assets and cash flows for the years ended February 28, 2017, February 29, 2016 and February 28, 2015, and the related notes to the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Saratoga Investment Corp. CLO 2013-1, Ltd. at February 28, 2017 and February 29, 2016, and the results of its operations, changes in its net assets and its cash flows for the years ended February 28, 2017, February 29, 2016 and February 28, 2015, in conformity with U.S. generally accepted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16,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w w:val="85"/>
              </w:rPr>
              <w:t>As of</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right"/>
              <w:ind w:right="388"/>
              <w:spacing w:after="0" w:line="119" w:lineRule="exact"/>
              <w:rPr>
                <w:sz w:val="20"/>
                <w:szCs w:val="20"/>
                <w:color w:val="auto"/>
              </w:rPr>
            </w:pPr>
            <w:r>
              <w:rPr>
                <w:rFonts w:ascii="Arial" w:cs="Arial" w:eastAsia="Arial" w:hAnsi="Arial"/>
                <w:sz w:val="13"/>
                <w:szCs w:val="13"/>
                <w:b w:val="1"/>
                <w:bCs w:val="1"/>
                <w:color w:val="auto"/>
              </w:rPr>
              <w:t>February 28,</w:t>
            </w:r>
          </w:p>
        </w:tc>
        <w:tc>
          <w:tcPr>
            <w:tcW w:w="120" w:type="dxa"/>
            <w:vAlign w:val="bottom"/>
          </w:tcPr>
          <w:p>
            <w:pPr>
              <w:spacing w:after="0"/>
              <w:rPr>
                <w:sz w:val="10"/>
                <w:szCs w:val="10"/>
                <w:color w:val="auto"/>
              </w:rPr>
            </w:pPr>
          </w:p>
        </w:tc>
        <w:tc>
          <w:tcPr>
            <w:tcW w:w="980" w:type="dxa"/>
            <w:vAlign w:val="bottom"/>
          </w:tcPr>
          <w:p>
            <w:pPr>
              <w:jc w:val="right"/>
              <w:ind w:right="71"/>
              <w:spacing w:after="0" w:line="119" w:lineRule="exact"/>
              <w:rPr>
                <w:sz w:val="20"/>
                <w:szCs w:val="20"/>
                <w:color w:val="auto"/>
              </w:rPr>
            </w:pPr>
            <w:r>
              <w:rPr>
                <w:rFonts w:ascii="Arial" w:cs="Arial" w:eastAsia="Arial" w:hAnsi="Arial"/>
                <w:sz w:val="13"/>
                <w:szCs w:val="13"/>
                <w:b w:val="1"/>
                <w:bCs w:val="1"/>
                <w:color w:val="auto"/>
              </w:rPr>
              <w:t>February 29,</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85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Loans (amortized cost of $294,270,284 and $300,112,538, respectively)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292,437,930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284,652,926</w:t>
            </w: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w w:val="96"/>
              </w:rPr>
              <w:t>Fair Value Other/Structured finance securities (amortized cost of $3,531,218 and $3,531,218, respectively)</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22,718</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investments at fair value (amortized cost of $297,801,502 and $303,643,756, respectively)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292,460,648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284,844,789</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13,046,555</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2,349,633</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open trades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2,691,831</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Interest receivable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1,443,865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1,698,562</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6,049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308,462,117</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291,584,815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Interest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1,031,457</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626,040</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Payable from open trades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9,431,552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7,123,854</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Accrued base management fee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34,221</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85,008</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Accrued subordinated management fee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136,885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85,008</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Class A-1 Notes—SIC CLO 2013-1, Ltd.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170,000,000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170,000,000</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A-1 Notes—SIC CLO 2013-1, Ltd.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(1,319,258)</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Class A-2 Notes—SIC CLO 2013-1, Ltd.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20,000,000</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20,000,000</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A-2 Notes—SIC CLO 2013-1, Ltd.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(136,750)</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Class B Notes—SIC CLO 2013-1, Ltd.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44,800,000</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44,800,000</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B Notes—SIC CLO 2013-1, Ltd.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(888,328)</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Class C Notes—SIC CLO 2013-1, Ltd.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16,000,000</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16,000,000</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C Notes—SIC CLO 2013-1, Ltd.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(77,383)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(553,078)</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Class D Notes—SIC CLO 2013-1, Ltd.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14,000,000</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14,000,000</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D Notes—SIC CLO 2013-1, Ltd.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(359,249)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(717,938)</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Class E Notes—SIC CLO 2013-1, Ltd.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13,100,000</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13,100,000</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E Notes—SIC CLO 2013-1, Ltd.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(1,353,521)</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Class F Notes—SIC CLO 2013-1, Ltd.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4,500,000</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F Notes—SIC CLO 2013-1, Ltd.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(492,300)</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debt financing costs, SIC CLO 2013-1, Ltd. Notes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8"/>
              <w:spacing w:after="0"/>
              <w:rPr>
                <w:sz w:val="20"/>
                <w:szCs w:val="20"/>
                <w:color w:val="auto"/>
              </w:rPr>
            </w:pPr>
            <w:r>
              <w:rPr>
                <w:rFonts w:ascii="Arial" w:cs="Arial" w:eastAsia="Arial" w:hAnsi="Arial"/>
                <w:sz w:val="18"/>
                <w:szCs w:val="18"/>
                <w:color w:val="auto"/>
              </w:rPr>
              <w:t>(1,161,590)</w:t>
            </w: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(1,716,554)</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30,000,000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30,000,000</w:t>
            </w: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321,435,893</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313,142,183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NET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w w:val="92"/>
              </w:rPr>
              <w:t>Ordinary equity, par value $1.00, 250 ordinary shares authorized, 250 and 250 issued and outstanding, respectively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Accumulated loss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8"/>
              <w:spacing w:after="0"/>
              <w:rPr>
                <w:sz w:val="20"/>
                <w:szCs w:val="20"/>
                <w:color w:val="auto"/>
              </w:rPr>
            </w:pPr>
            <w:r>
              <w:rPr>
                <w:rFonts w:ascii="Arial" w:cs="Arial" w:eastAsia="Arial" w:hAnsi="Arial"/>
                <w:sz w:val="18"/>
                <w:szCs w:val="18"/>
                <w:color w:val="auto"/>
                <w:w w:val="99"/>
              </w:rPr>
              <w:t>(21,557,618)</w:t>
            </w: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(5,803,406)</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gain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8,583,592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(15,754,212)</w:t>
            </w:r>
          </w:p>
        </w:tc>
      </w:tr>
      <w:tr>
        <w:trPr>
          <w:trHeight w:val="230"/>
        </w:trPr>
        <w:tc>
          <w:tcPr>
            <w:tcW w:w="20" w:type="dxa"/>
            <w:vAlign w:val="bottom"/>
          </w:tcPr>
          <w:p>
            <w:pPr>
              <w:spacing w:after="0"/>
              <w:rPr>
                <w:sz w:val="20"/>
                <w:szCs w:val="20"/>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Total net assets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(12,973,776)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(21,557,368)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5"/>
              </w:rPr>
              <w:t>308,462,117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291,584,815</w:t>
            </w: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For the year ended</w:t>
            </w: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28, 2017</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29, 2016</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February 28, 2015</w:t>
            </w:r>
          </w:p>
        </w:tc>
      </w:tr>
      <w:tr>
        <w:trPr>
          <w:trHeight w:val="196"/>
        </w:trPr>
        <w:tc>
          <w:tcPr>
            <w:tcW w:w="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15,443,693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14,372,377</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13,091,019</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w:t>
            </w: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643,457</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316,187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investment income</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16,098,366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14,689,777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13,280,645</w:t>
            </w: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12,574,838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11,696,757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9,635,136</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106,564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292,754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219,293</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 expense</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49,279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34,303</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Base management fee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585,575</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747,390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760,102</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Subordinated management fee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913,426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747,390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760,102</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Trustee expenses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128,083</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121,299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123,999</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829,475</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955,858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953,862</w:t>
            </w: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6,143,816</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21,331,056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14,585,190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12,486,797</w:t>
            </w:r>
          </w:p>
        </w:tc>
      </w:tr>
      <w:tr>
        <w:trPr>
          <w:trHeight w:val="230"/>
        </w:trPr>
        <w:tc>
          <w:tcPr>
            <w:tcW w:w="20" w:type="dxa"/>
            <w:vAlign w:val="bottom"/>
          </w:tcPr>
          <w:p>
            <w:pPr>
              <w:spacing w:after="0"/>
              <w:rPr>
                <w:sz w:val="20"/>
                <w:szCs w:val="20"/>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NET INVESTMENT INCOME (LOSS)</w:t>
            </w: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(5,232,690)</w:t>
            </w:r>
          </w:p>
        </w:tc>
        <w:tc>
          <w:tcPr>
            <w:tcW w:w="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104,587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793,848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358,169</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419,096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620,817</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13,458,113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(16,277,895)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(3,874,583)</w:t>
            </w:r>
          </w:p>
        </w:tc>
      </w:tr>
      <w:tr>
        <w:trPr>
          <w:trHeight w:val="230"/>
        </w:trPr>
        <w:tc>
          <w:tcPr>
            <w:tcW w:w="20" w:type="dxa"/>
            <w:vAlign w:val="bottom"/>
          </w:tcPr>
          <w:p>
            <w:pPr>
              <w:spacing w:after="0"/>
              <w:rPr>
                <w:sz w:val="20"/>
                <w:szCs w:val="20"/>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Net gain (loss) on investments</w:t>
            </w: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13,816,282</w:t>
            </w:r>
          </w:p>
        </w:tc>
        <w:tc>
          <w:tcPr>
            <w:tcW w:w="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(15,858,799)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(3,253,766)</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(DECREASE) IN NET ASSETS RESULTING FROM</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8,583,592</w:t>
            </w: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(15,754,212)</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(2,459,918)</w:t>
            </w: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Asset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LIBOR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Current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Maturity</w:t>
            </w:r>
          </w:p>
        </w:tc>
        <w:tc>
          <w:tcPr>
            <w:tcW w:w="6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Principal/</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40" w:type="dxa"/>
            <w:vAlign w:val="bottom"/>
          </w:tcPr>
          <w:p>
            <w:pPr>
              <w:spacing w:after="0"/>
              <w:rPr>
                <w:sz w:val="12"/>
                <w:szCs w:val="12"/>
                <w:color w:val="auto"/>
              </w:rPr>
            </w:pPr>
          </w:p>
        </w:tc>
        <w:tc>
          <w:tcPr>
            <w:tcW w:w="18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Industry</w:t>
            </w: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Asset Name</w:t>
            </w:r>
          </w:p>
        </w:tc>
        <w:tc>
          <w:tcPr>
            <w:tcW w:w="46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Spread</w:t>
            </w:r>
          </w:p>
        </w:tc>
        <w:tc>
          <w:tcPr>
            <w:tcW w:w="700" w:type="dxa"/>
            <w:vAlign w:val="bottom"/>
            <w:gridSpan w:val="2"/>
            <w:vMerge w:val="continue"/>
          </w:tcPr>
          <w:p>
            <w:pPr>
              <w:spacing w:after="0"/>
              <w:rPr>
                <w:sz w:val="12"/>
                <w:szCs w:val="12"/>
                <w:color w:val="auto"/>
              </w:rPr>
            </w:pPr>
          </w:p>
        </w:tc>
        <w:tc>
          <w:tcPr>
            <w:tcW w:w="5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PIK</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Rate</w:t>
            </w: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Type</w:t>
            </w:r>
          </w:p>
        </w:tc>
        <w:tc>
          <w:tcPr>
            <w:tcW w:w="700" w:type="dxa"/>
            <w:vAlign w:val="bottom"/>
            <w:gridSpan w:val="2"/>
            <w:vMerge w:val="continue"/>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Floor</w:t>
            </w:r>
          </w:p>
        </w:tc>
        <w:tc>
          <w:tcPr>
            <w:tcW w:w="540" w:type="dxa"/>
            <w:vAlign w:val="bottom"/>
            <w:gridSpan w:val="2"/>
            <w:vMerge w:val="continue"/>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(All In)</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Date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Education</w:t>
            </w:r>
          </w:p>
        </w:tc>
        <w:tc>
          <w:tcPr>
            <w:tcW w:w="9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w w:val="97"/>
              </w:rPr>
              <w:t>Management II,</w:t>
            </w:r>
          </w:p>
        </w:tc>
        <w:tc>
          <w:tcPr>
            <w:tcW w:w="40" w:type="dxa"/>
            <w:vAlign w:val="bottom"/>
            <w:tcBorders>
              <w:top w:val="single" w:sz="8" w:color="CCEEFF"/>
            </w:tcBorders>
            <w:shd w:val="clear" w:color="auto" w:fill="CCEEFF"/>
          </w:tcPr>
          <w:p>
            <w:pPr>
              <w:spacing w:after="0"/>
              <w:rPr>
                <w:sz w:val="10"/>
                <w:szCs w:val="10"/>
                <w:color w:val="auto"/>
              </w:rPr>
            </w:pPr>
          </w:p>
        </w:tc>
        <w:tc>
          <w:tcPr>
            <w:tcW w:w="17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Leisure</w:t>
            </w:r>
          </w:p>
        </w:tc>
        <w:tc>
          <w:tcPr>
            <w:tcW w:w="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A-1 Preferred</w:t>
            </w:r>
          </w:p>
        </w:tc>
        <w:tc>
          <w:tcPr>
            <w:tcW w:w="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Goods/Activities/Movies</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6,692</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669,214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6,725</w:t>
            </w: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rPr>
              <w:t>Education Management II,</w:t>
            </w:r>
          </w:p>
        </w:tc>
        <w:tc>
          <w:tcPr>
            <w:tcW w:w="186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Leisure</w:t>
            </w: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A-2 Preferred</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tcPr>
          <w:p>
            <w:pPr>
              <w:ind w:left="160"/>
              <w:spacing w:after="0"/>
              <w:rPr>
                <w:sz w:val="20"/>
                <w:szCs w:val="20"/>
                <w:color w:val="auto"/>
              </w:rPr>
            </w:pPr>
            <w:r>
              <w:rPr>
                <w:rFonts w:ascii="Arial" w:cs="Arial" w:eastAsia="Arial" w:hAnsi="Arial"/>
                <w:sz w:val="14"/>
                <w:szCs w:val="14"/>
                <w:color w:val="auto"/>
              </w:rPr>
              <w:t>LLC</w:t>
            </w: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Goods/Activities/Movies</w:t>
            </w:r>
          </w:p>
        </w:tc>
        <w:tc>
          <w:tcPr>
            <w:tcW w:w="1260" w:type="dxa"/>
            <w:vAlign w:val="bottom"/>
            <w:gridSpan w:val="2"/>
          </w:tcPr>
          <w:p>
            <w:pPr>
              <w:spacing w:after="0"/>
              <w:rPr>
                <w:sz w:val="20"/>
                <w:szCs w:val="20"/>
                <w:color w:val="auto"/>
              </w:rPr>
            </w:pPr>
            <w:r>
              <w:rPr>
                <w:rFonts w:ascii="Arial" w:cs="Arial" w:eastAsia="Arial" w:hAnsi="Arial"/>
                <w:sz w:val="14"/>
                <w:szCs w:val="14"/>
                <w:color w:val="auto"/>
              </w:rPr>
              <w:t>Shares</w:t>
            </w:r>
          </w:p>
        </w:tc>
        <w:tc>
          <w:tcPr>
            <w:tcW w:w="460" w:type="dxa"/>
            <w:vAlign w:val="bottom"/>
            <w:gridSpan w:val="2"/>
          </w:tcPr>
          <w:p>
            <w:pPr>
              <w:spacing w:after="0"/>
              <w:rPr>
                <w:sz w:val="20"/>
                <w:szCs w:val="20"/>
                <w:color w:val="auto"/>
              </w:rPr>
            </w:pPr>
            <w:r>
              <w:rPr>
                <w:rFonts w:ascii="Arial" w:cs="Arial" w:eastAsia="Arial" w:hAnsi="Arial"/>
                <w:sz w:val="14"/>
                <w:szCs w:val="14"/>
                <w:color w:val="auto"/>
              </w:rPr>
              <w:t>Equity</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0.00%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18,975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1,897,538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New Millennium Holdco,</w:t>
            </w:r>
          </w:p>
        </w:tc>
        <w:tc>
          <w:tcPr>
            <w:tcW w:w="186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Pharmaceuticals</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14,813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964,466</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15,746</w:t>
            </w: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rPr>
              <w:t>24 Hour Holdings III, LLC</w:t>
            </w:r>
          </w:p>
        </w:tc>
        <w:tc>
          <w:tcPr>
            <w:tcW w:w="186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Leisure</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Goods/Activities/Movies</w:t>
            </w:r>
          </w:p>
        </w:tc>
        <w:tc>
          <w:tcPr>
            <w:tcW w:w="1260" w:type="dxa"/>
            <w:vAlign w:val="bottom"/>
            <w:gridSpan w:val="2"/>
          </w:tcPr>
          <w:p>
            <w:pPr>
              <w:spacing w:after="0"/>
              <w:rPr>
                <w:sz w:val="20"/>
                <w:szCs w:val="20"/>
                <w:color w:val="auto"/>
              </w:rPr>
            </w:pPr>
            <w:r>
              <w:rPr>
                <w:rFonts w:ascii="Arial" w:cs="Arial" w:eastAsia="Arial" w:hAnsi="Arial"/>
                <w:sz w:val="14"/>
                <w:szCs w:val="14"/>
                <w:color w:val="auto"/>
              </w:rPr>
              <w:t>Term Loan</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3.75%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4.75%</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5/28/2021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487,500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484,284</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476,127</w:t>
            </w: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ABB Con-Cise Optical</w:t>
            </w:r>
          </w:p>
        </w:tc>
        <w:tc>
          <w:tcPr>
            <w:tcW w:w="186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Group, LLC</w:t>
            </w: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Pharmaceuticals</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B</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6/15/2023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1,995,000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1,975,193</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2,009,963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80" w:type="dxa"/>
            <w:vAlign w:val="bottom"/>
            <w:gridSpan w:val="2"/>
          </w:tcPr>
          <w:p>
            <w:pPr>
              <w:spacing w:after="0" w:line="149" w:lineRule="exact"/>
              <w:rPr>
                <w:sz w:val="20"/>
                <w:szCs w:val="20"/>
                <w:color w:val="auto"/>
              </w:rPr>
            </w:pPr>
            <w:r>
              <w:rPr>
                <w:rFonts w:ascii="Arial" w:cs="Arial" w:eastAsia="Arial" w:hAnsi="Arial"/>
                <w:sz w:val="14"/>
                <w:szCs w:val="14"/>
                <w:color w:val="auto"/>
              </w:rPr>
              <w:t>Acosta Holdco, Inc.</w:t>
            </w:r>
          </w:p>
        </w:tc>
        <w:tc>
          <w:tcPr>
            <w:tcW w:w="18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Media</w:t>
            </w: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Term Loan B1</w:t>
            </w:r>
          </w:p>
        </w:tc>
        <w:tc>
          <w:tcPr>
            <w:tcW w:w="4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3.25%</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4.29%</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9/26/2021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1,940,025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1,929,297</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1,893,348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Advantage Sales &amp;</w:t>
            </w:r>
          </w:p>
        </w:tc>
        <w:tc>
          <w:tcPr>
            <w:tcW w:w="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Delayed Draw Term</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Marketing, Inc.</w:t>
            </w: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7/25/2021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2,446,206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2,443,710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2,438,574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rPr>
              <w:t>Aegis Toxicology Science</w:t>
            </w:r>
          </w:p>
        </w:tc>
        <w:tc>
          <w:tcPr>
            <w:tcW w:w="186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Pharmaceuticals</w:t>
            </w:r>
          </w:p>
        </w:tc>
        <w:tc>
          <w:tcPr>
            <w:tcW w:w="1260" w:type="dxa"/>
            <w:vAlign w:val="bottom"/>
            <w:gridSpan w:val="2"/>
          </w:tcPr>
          <w:p>
            <w:pPr>
              <w:spacing w:after="0"/>
              <w:rPr>
                <w:sz w:val="20"/>
                <w:szCs w:val="20"/>
                <w:color w:val="auto"/>
              </w:rPr>
            </w:pPr>
            <w:r>
              <w:rPr>
                <w:rFonts w:ascii="Arial" w:cs="Arial" w:eastAsia="Arial" w:hAnsi="Arial"/>
                <w:sz w:val="14"/>
                <w:szCs w:val="14"/>
                <w:color w:val="auto"/>
              </w:rPr>
              <w:t>Term B Loan</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4.50%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5.50%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2/24/2021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2,463,550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2,337,204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2,412,234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Agrofresh, Inc.</w:t>
            </w:r>
          </w:p>
        </w:tc>
        <w:tc>
          <w:tcPr>
            <w:tcW w:w="18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Food Services</w:t>
            </w:r>
          </w:p>
        </w:tc>
        <w:tc>
          <w:tcPr>
            <w:tcW w:w="1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4.75%</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5.75%</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7/30/2021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1,970,000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1,962,367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1,898,587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rPr>
              <w:t>AI MISTRAL T/L (V.</w:t>
            </w:r>
          </w:p>
        </w:tc>
        <w:tc>
          <w:tcPr>
            <w:tcW w:w="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tcPr>
          <w:p>
            <w:pPr>
              <w:ind w:left="160"/>
              <w:spacing w:after="0"/>
              <w:rPr>
                <w:sz w:val="20"/>
                <w:szCs w:val="20"/>
                <w:color w:val="auto"/>
              </w:rPr>
            </w:pPr>
            <w:r>
              <w:rPr>
                <w:rFonts w:ascii="Arial" w:cs="Arial" w:eastAsia="Arial" w:hAnsi="Arial"/>
                <w:sz w:val="14"/>
                <w:szCs w:val="14"/>
                <w:color w:val="auto"/>
              </w:rPr>
              <w:t>GROUP)</w:t>
            </w: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Utilities</w:t>
            </w:r>
          </w:p>
        </w:tc>
        <w:tc>
          <w:tcPr>
            <w:tcW w:w="1260" w:type="dxa"/>
            <w:vAlign w:val="bottom"/>
            <w:gridSpan w:val="2"/>
          </w:tcPr>
          <w:p>
            <w:pPr>
              <w:spacing w:after="0"/>
              <w:rPr>
                <w:sz w:val="20"/>
                <w:szCs w:val="20"/>
                <w:color w:val="auto"/>
              </w:rPr>
            </w:pPr>
            <w:r>
              <w:rPr>
                <w:rFonts w:ascii="Arial" w:cs="Arial" w:eastAsia="Arial" w:hAnsi="Arial"/>
                <w:sz w:val="14"/>
                <w:szCs w:val="14"/>
                <w:color w:val="auto"/>
              </w:rPr>
              <w:t>Term Loan</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4.00%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3/11/2024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500,000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500,000</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500,940</w:t>
            </w: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Akorn, Inc.</w:t>
            </w:r>
          </w:p>
        </w:tc>
        <w:tc>
          <w:tcPr>
            <w:tcW w:w="186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Pharmaceuticals</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B</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4/16/2021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398,056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396,948</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403,529</w:t>
            </w: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rPr>
              <w:t>Albertson’s LLC</w:t>
            </w:r>
          </w:p>
        </w:tc>
        <w:tc>
          <w:tcPr>
            <w:tcW w:w="186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Drugs)</w:t>
            </w:r>
          </w:p>
        </w:tc>
        <w:tc>
          <w:tcPr>
            <w:tcW w:w="1260" w:type="dxa"/>
            <w:vAlign w:val="bottom"/>
            <w:gridSpan w:val="2"/>
          </w:tcPr>
          <w:p>
            <w:pPr>
              <w:spacing w:after="0"/>
              <w:rPr>
                <w:sz w:val="20"/>
                <w:szCs w:val="20"/>
                <w:color w:val="auto"/>
              </w:rPr>
            </w:pPr>
            <w:r>
              <w:rPr>
                <w:rFonts w:ascii="Arial" w:cs="Arial" w:eastAsia="Arial" w:hAnsi="Arial"/>
                <w:sz w:val="14"/>
                <w:szCs w:val="14"/>
                <w:color w:val="auto"/>
              </w:rPr>
              <w:t>Term Loan B-4</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0.75%</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3.78%</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8/25/2021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2,896,193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2,879,009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2,931,179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Alere Inc. (fka IM US</w:t>
            </w:r>
          </w:p>
        </w:tc>
        <w:tc>
          <w:tcPr>
            <w:tcW w:w="186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Holdings, LLC)</w:t>
            </w: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Pharmaceuticals</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B</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6/20/2022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917,946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916,144</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919,479</w:t>
            </w: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rPr>
              <w:t>Alion Science and</w:t>
            </w:r>
          </w:p>
        </w:tc>
        <w:tc>
          <w:tcPr>
            <w:tcW w:w="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Term Loan B (First</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tcPr>
          <w:p>
            <w:pPr>
              <w:ind w:left="160"/>
              <w:spacing w:after="0"/>
              <w:rPr>
                <w:sz w:val="20"/>
                <w:szCs w:val="20"/>
                <w:color w:val="auto"/>
              </w:rPr>
            </w:pPr>
            <w:r>
              <w:rPr>
                <w:rFonts w:ascii="Arial" w:cs="Arial" w:eastAsia="Arial" w:hAnsi="Arial"/>
                <w:sz w:val="14"/>
                <w:szCs w:val="14"/>
                <w:color w:val="auto"/>
              </w:rPr>
              <w:t>Technology Corporation</w:t>
            </w: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High Tech Industries</w:t>
            </w:r>
          </w:p>
        </w:tc>
        <w:tc>
          <w:tcPr>
            <w:tcW w:w="1260" w:type="dxa"/>
            <w:vAlign w:val="bottom"/>
            <w:gridSpan w:val="2"/>
          </w:tcPr>
          <w:p>
            <w:pPr>
              <w:spacing w:after="0"/>
              <w:rPr>
                <w:sz w:val="20"/>
                <w:szCs w:val="20"/>
                <w:color w:val="auto"/>
              </w:rPr>
            </w:pPr>
            <w:r>
              <w:rPr>
                <w:rFonts w:ascii="Arial" w:cs="Arial" w:eastAsia="Arial" w:hAnsi="Arial"/>
                <w:sz w:val="14"/>
                <w:szCs w:val="14"/>
                <w:color w:val="auto"/>
              </w:rPr>
              <w:t>Lien)</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4.50%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5.50%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8/19/2021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2,955,000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2,943,621</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2,951,306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Alliance Healthcare</w:t>
            </w:r>
          </w:p>
        </w:tc>
        <w:tc>
          <w:tcPr>
            <w:tcW w:w="186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Services, Inc.</w:t>
            </w: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Pharmaceuticals</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B</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6/3/2019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984,570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981,094</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977,184</w:t>
            </w: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rPr>
              <w:t>ALPHA 3 T/L B1</w:t>
            </w:r>
          </w:p>
        </w:tc>
        <w:tc>
          <w:tcPr>
            <w:tcW w:w="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tcPr>
          <w:p>
            <w:pPr>
              <w:ind w:left="160"/>
              <w:spacing w:after="0"/>
              <w:rPr>
                <w:sz w:val="20"/>
                <w:szCs w:val="20"/>
                <w:color w:val="auto"/>
              </w:rPr>
            </w:pPr>
            <w:r>
              <w:rPr>
                <w:rFonts w:ascii="Arial" w:cs="Arial" w:eastAsia="Arial" w:hAnsi="Arial"/>
                <w:sz w:val="14"/>
                <w:szCs w:val="14"/>
                <w:color w:val="auto"/>
              </w:rPr>
              <w:t>(ATOTECH)</w:t>
            </w: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Chemicals/Plastics</w:t>
            </w:r>
          </w:p>
        </w:tc>
        <w:tc>
          <w:tcPr>
            <w:tcW w:w="1260" w:type="dxa"/>
            <w:vAlign w:val="bottom"/>
            <w:gridSpan w:val="2"/>
          </w:tcPr>
          <w:p>
            <w:pPr>
              <w:spacing w:after="0"/>
              <w:rPr>
                <w:sz w:val="20"/>
                <w:szCs w:val="20"/>
                <w:color w:val="auto"/>
              </w:rPr>
            </w:pPr>
            <w:r>
              <w:rPr>
                <w:rFonts w:ascii="Arial" w:cs="Arial" w:eastAsia="Arial" w:hAnsi="Arial"/>
                <w:sz w:val="14"/>
                <w:szCs w:val="14"/>
                <w:color w:val="auto"/>
              </w:rPr>
              <w:t>Term Loan B 1</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4.00%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1/31/2024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250,000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249,377</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252,500</w:t>
            </w:r>
          </w:p>
        </w:tc>
        <w:tc>
          <w:tcPr>
            <w:tcW w:w="0" w:type="dxa"/>
            <w:vAlign w:val="bottom"/>
          </w:tcPr>
          <w:p>
            <w:pPr>
              <w:spacing w:after="0"/>
              <w:rPr>
                <w:sz w:val="1"/>
                <w:szCs w:val="1"/>
                <w:color w:val="auto"/>
              </w:rPr>
            </w:pPr>
          </w:p>
        </w:tc>
      </w:tr>
      <w:tr>
        <w:trPr>
          <w:trHeight w:val="149"/>
        </w:trPr>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Anchor Glass T/L (11/16)</w:t>
            </w:r>
          </w:p>
        </w:tc>
        <w:tc>
          <w:tcPr>
            <w:tcW w:w="18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Containers/Glass Products</w:t>
            </w:r>
          </w:p>
        </w:tc>
        <w:tc>
          <w:tcPr>
            <w:tcW w:w="1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3.25%</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4.25%</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12/7/2023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500,000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497,626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505,780</w:t>
            </w:r>
          </w:p>
        </w:tc>
        <w:tc>
          <w:tcPr>
            <w:tcW w:w="0" w:type="dxa"/>
            <w:vAlign w:val="bottom"/>
          </w:tcPr>
          <w:p>
            <w:pPr>
              <w:spacing w:after="0"/>
              <w:rPr>
                <w:sz w:val="1"/>
                <w:szCs w:val="1"/>
                <w:color w:val="auto"/>
              </w:rPr>
            </w:pPr>
          </w:p>
        </w:tc>
      </w:tr>
      <w:tr>
        <w:trPr>
          <w:trHeight w:val="149"/>
        </w:trPr>
        <w:tc>
          <w:tcPr>
            <w:tcW w:w="1680" w:type="dxa"/>
            <w:vAlign w:val="bottom"/>
            <w:gridSpan w:val="2"/>
          </w:tcPr>
          <w:p>
            <w:pPr>
              <w:spacing w:after="0" w:line="149" w:lineRule="exact"/>
              <w:rPr>
                <w:sz w:val="20"/>
                <w:szCs w:val="20"/>
                <w:color w:val="auto"/>
              </w:rPr>
            </w:pPr>
            <w:r>
              <w:rPr>
                <w:rFonts w:ascii="Arial" w:cs="Arial" w:eastAsia="Arial" w:hAnsi="Arial"/>
                <w:sz w:val="14"/>
                <w:szCs w:val="14"/>
                <w:color w:val="auto"/>
              </w:rPr>
              <w:t>APCO Holdings, Inc.</w:t>
            </w:r>
          </w:p>
        </w:tc>
        <w:tc>
          <w:tcPr>
            <w:tcW w:w="18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Automotive</w:t>
            </w: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7.00%</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1/31/2022</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1,933,919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1,887,037</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1,885,571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18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Food Products</w:t>
            </w:r>
          </w:p>
        </w:tc>
        <w:tc>
          <w:tcPr>
            <w:tcW w:w="1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Term F Loan</w:t>
            </w:r>
          </w:p>
        </w:tc>
        <w:tc>
          <w:tcPr>
            <w:tcW w:w="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0.75%</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2/24/2021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3,118,358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3,118,358</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3,147,327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w w:val="95"/>
              </w:rPr>
              <w:t>Aspen Dental Management,</w:t>
            </w:r>
          </w:p>
        </w:tc>
        <w:tc>
          <w:tcPr>
            <w:tcW w:w="186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tcPr>
          <w:p>
            <w:pPr>
              <w:ind w:left="160"/>
              <w:spacing w:after="0"/>
              <w:rPr>
                <w:sz w:val="20"/>
                <w:szCs w:val="20"/>
                <w:color w:val="auto"/>
              </w:rPr>
            </w:pPr>
            <w:r>
              <w:rPr>
                <w:rFonts w:ascii="Arial" w:cs="Arial" w:eastAsia="Arial" w:hAnsi="Arial"/>
                <w:sz w:val="14"/>
                <w:szCs w:val="14"/>
                <w:color w:val="auto"/>
              </w:rPr>
              <w:t>Inc.</w:t>
            </w: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Pharmaceuticals</w:t>
            </w:r>
          </w:p>
        </w:tc>
        <w:tc>
          <w:tcPr>
            <w:tcW w:w="1260" w:type="dxa"/>
            <w:vAlign w:val="bottom"/>
            <w:gridSpan w:val="2"/>
          </w:tcPr>
          <w:p>
            <w:pPr>
              <w:spacing w:after="0"/>
              <w:rPr>
                <w:sz w:val="20"/>
                <w:szCs w:val="20"/>
                <w:color w:val="auto"/>
              </w:rPr>
            </w:pPr>
            <w:r>
              <w:rPr>
                <w:rFonts w:ascii="Arial" w:cs="Arial" w:eastAsia="Arial" w:hAnsi="Arial"/>
                <w:sz w:val="14"/>
                <w:szCs w:val="14"/>
                <w:color w:val="auto"/>
              </w:rPr>
              <w:t>Term Loan Initial</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4.25%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5.25%</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4/29/2022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1,484,941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1,481,061</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1,491,446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Astoria Energy T/L B</w:t>
            </w:r>
          </w:p>
        </w:tc>
        <w:tc>
          <w:tcPr>
            <w:tcW w:w="18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Utilities</w:t>
            </w:r>
          </w:p>
        </w:tc>
        <w:tc>
          <w:tcPr>
            <w:tcW w:w="1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4.00%</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12/24/2021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1,495,307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1,480,354</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1,499,045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rPr>
              <w:t>Asurion, LLC (fka Asurion</w:t>
            </w:r>
          </w:p>
        </w:tc>
        <w:tc>
          <w:tcPr>
            <w:tcW w:w="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Replacement Term</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Insurance</w:t>
            </w:r>
          </w:p>
        </w:tc>
        <w:tc>
          <w:tcPr>
            <w:tcW w:w="1260" w:type="dxa"/>
            <w:vAlign w:val="bottom"/>
            <w:gridSpan w:val="2"/>
          </w:tcPr>
          <w:p>
            <w:pPr>
              <w:spacing w:after="0"/>
              <w:rPr>
                <w:sz w:val="20"/>
                <w:szCs w:val="20"/>
                <w:color w:val="auto"/>
              </w:rPr>
            </w:pPr>
            <w:r>
              <w:rPr>
                <w:rFonts w:ascii="Arial" w:cs="Arial" w:eastAsia="Arial" w:hAnsi="Arial"/>
                <w:sz w:val="14"/>
                <w:szCs w:val="14"/>
                <w:color w:val="auto"/>
              </w:rPr>
              <w:t>Loan B-2</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3.25%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0.75%</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4.03%</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7/8/2020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531,422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526,976</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537,024</w:t>
            </w: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Asurion, LLC (fka Asurion</w:t>
            </w:r>
          </w:p>
        </w:tc>
        <w:tc>
          <w:tcPr>
            <w:tcW w:w="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Term Loan B4 (First</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Insurance</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Lien)</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8/4/2022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2,434,375</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2,422,950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2,463,661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rPr>
              <w:t>Auction.com, LLC</w:t>
            </w:r>
          </w:p>
        </w:tc>
        <w:tc>
          <w:tcPr>
            <w:tcW w:w="186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Banking, Finance, Insurance</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&amp; Real Estate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Term Loan</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5.00%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6.00%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5/13/2019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2,718,634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2,718,434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2,739,024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Avantor Performance</w:t>
            </w:r>
          </w:p>
        </w:tc>
        <w:tc>
          <w:tcPr>
            <w:tcW w:w="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Materials Holdings, Inc.</w:t>
            </w: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Chemicals/Plastics</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6/21/2022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2,784,429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2,760,689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2,819,234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rPr>
              <w:t>AVOLON TLB</w:t>
            </w:r>
          </w:p>
        </w:tc>
        <w:tc>
          <w:tcPr>
            <w:tcW w:w="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BORROWER 1</w:t>
            </w:r>
          </w:p>
        </w:tc>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LUXEMBOURG</w:t>
            </w:r>
          </w:p>
        </w:tc>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gridSpan w:val="2"/>
          </w:tcPr>
          <w:p>
            <w:pPr>
              <w:ind w:left="160"/>
              <w:spacing w:after="0"/>
              <w:rPr>
                <w:sz w:val="20"/>
                <w:szCs w:val="20"/>
                <w:color w:val="auto"/>
              </w:rPr>
            </w:pPr>
            <w:r>
              <w:rPr>
                <w:rFonts w:ascii="Arial" w:cs="Arial" w:eastAsia="Arial" w:hAnsi="Arial"/>
                <w:sz w:val="14"/>
                <w:szCs w:val="14"/>
                <w:color w:val="auto"/>
              </w:rPr>
              <w:t>S.A.R.L.</w:t>
            </w: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Capital Equipment</w:t>
            </w:r>
          </w:p>
        </w:tc>
        <w:tc>
          <w:tcPr>
            <w:tcW w:w="1260" w:type="dxa"/>
            <w:vAlign w:val="bottom"/>
            <w:gridSpan w:val="2"/>
          </w:tcPr>
          <w:p>
            <w:pPr>
              <w:spacing w:after="0"/>
              <w:rPr>
                <w:sz w:val="20"/>
                <w:szCs w:val="20"/>
                <w:color w:val="auto"/>
              </w:rPr>
            </w:pPr>
            <w:r>
              <w:rPr>
                <w:rFonts w:ascii="Arial" w:cs="Arial" w:eastAsia="Arial" w:hAnsi="Arial"/>
                <w:sz w:val="14"/>
                <w:szCs w:val="14"/>
                <w:color w:val="auto"/>
              </w:rPr>
              <w:t>Term Loan B-2</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2.75%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0.75%</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3.50%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3/20/2022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1,000,000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995,000</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1,017,300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Bass Pro Group, LLC</w:t>
            </w:r>
          </w:p>
        </w:tc>
        <w:tc>
          <w:tcPr>
            <w:tcW w:w="186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0.75%</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6/5/2020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1,473,750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1,471,637</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1,411,116</w:t>
            </w:r>
          </w:p>
        </w:tc>
        <w:tc>
          <w:tcPr>
            <w:tcW w:w="0" w:type="dxa"/>
            <w:vAlign w:val="bottom"/>
          </w:tcPr>
          <w:p>
            <w:pPr>
              <w:spacing w:after="0"/>
              <w:rPr>
                <w:sz w:val="1"/>
                <w:szCs w:val="1"/>
                <w:color w:val="auto"/>
              </w:rPr>
            </w:pPr>
          </w:p>
        </w:tc>
      </w:tr>
      <w:tr>
        <w:trPr>
          <w:trHeight w:val="149"/>
        </w:trPr>
        <w:tc>
          <w:tcPr>
            <w:tcW w:w="1680" w:type="dxa"/>
            <w:vAlign w:val="bottom"/>
            <w:gridSpan w:val="2"/>
          </w:tcPr>
          <w:p>
            <w:pPr>
              <w:spacing w:after="0" w:line="149" w:lineRule="exact"/>
              <w:rPr>
                <w:sz w:val="20"/>
                <w:szCs w:val="20"/>
                <w:color w:val="auto"/>
              </w:rPr>
            </w:pPr>
            <w:r>
              <w:rPr>
                <w:rFonts w:ascii="Arial" w:cs="Arial" w:eastAsia="Arial" w:hAnsi="Arial"/>
                <w:sz w:val="14"/>
                <w:szCs w:val="14"/>
                <w:color w:val="auto"/>
              </w:rPr>
              <w:t>Belmond Interfin Ltd.</w:t>
            </w:r>
          </w:p>
        </w:tc>
        <w:tc>
          <w:tcPr>
            <w:tcW w:w="18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Lodging &amp; Casinos</w:t>
            </w: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3/19/2021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2,481,122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2,484,502</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2,488,888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BJ’s Wholesale Club, Inc.</w:t>
            </w:r>
          </w:p>
        </w:tc>
        <w:tc>
          <w:tcPr>
            <w:tcW w:w="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New 2013</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(November)</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Replacement Loan</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Food/Drug Retailers</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 Lien)</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2/2/2024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1,500,000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1,496,335</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1,487,385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80" w:type="dxa"/>
            <w:vAlign w:val="bottom"/>
            <w:gridSpan w:val="2"/>
          </w:tcPr>
          <w:p>
            <w:pPr>
              <w:spacing w:after="0" w:line="149" w:lineRule="exact"/>
              <w:rPr>
                <w:sz w:val="20"/>
                <w:szCs w:val="20"/>
                <w:color w:val="auto"/>
              </w:rPr>
            </w:pPr>
            <w:r>
              <w:rPr>
                <w:rFonts w:ascii="Arial" w:cs="Arial" w:eastAsia="Arial" w:hAnsi="Arial"/>
                <w:sz w:val="14"/>
                <w:szCs w:val="14"/>
                <w:color w:val="auto"/>
              </w:rPr>
              <w:t>Blackboard T/L B4</w:t>
            </w:r>
          </w:p>
        </w:tc>
        <w:tc>
          <w:tcPr>
            <w:tcW w:w="18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Term Loan B4</w:t>
            </w:r>
          </w:p>
        </w:tc>
        <w:tc>
          <w:tcPr>
            <w:tcW w:w="4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6.02%</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6/30/2021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2,992,500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2,969,529</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3,008,390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BMC Software</w:t>
            </w:r>
          </w:p>
        </w:tc>
        <w:tc>
          <w:tcPr>
            <w:tcW w:w="18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Technology</w:t>
            </w:r>
          </w:p>
        </w:tc>
        <w:tc>
          <w:tcPr>
            <w:tcW w:w="1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4.00%</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9/10/2020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1,959,596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1,917,256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1,965,729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gridSpan w:val="2"/>
          </w:tcPr>
          <w:p>
            <w:pPr>
              <w:spacing w:after="0" w:line="149" w:lineRule="exact"/>
              <w:rPr>
                <w:sz w:val="20"/>
                <w:szCs w:val="20"/>
                <w:color w:val="auto"/>
              </w:rPr>
            </w:pPr>
            <w:r>
              <w:rPr>
                <w:rFonts w:ascii="Arial" w:cs="Arial" w:eastAsia="Arial" w:hAnsi="Arial"/>
                <w:sz w:val="14"/>
                <w:szCs w:val="14"/>
                <w:color w:val="auto"/>
              </w:rPr>
              <w:t>BMC Software T/L US</w:t>
            </w:r>
          </w:p>
        </w:tc>
        <w:tc>
          <w:tcPr>
            <w:tcW w:w="18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Technology</w:t>
            </w: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9/10/2020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676,193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665,400</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679,607</w:t>
            </w: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Brickman Group Holdings,</w:t>
            </w:r>
          </w:p>
        </w:tc>
        <w:tc>
          <w:tcPr>
            <w:tcW w:w="186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Brokers/Dealers/Investment</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Initial Term Loan</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Houses</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 Lien)</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12/18/2020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1,461,186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1,451,382</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1,467,952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rPr>
              <w:t>BWAY Holding Company</w:t>
            </w:r>
          </w:p>
        </w:tc>
        <w:tc>
          <w:tcPr>
            <w:tcW w:w="186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Leisure</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Goods/Activities/Movies</w:t>
            </w:r>
          </w:p>
        </w:tc>
        <w:tc>
          <w:tcPr>
            <w:tcW w:w="1260" w:type="dxa"/>
            <w:vAlign w:val="bottom"/>
            <w:gridSpan w:val="2"/>
          </w:tcPr>
          <w:p>
            <w:pPr>
              <w:spacing w:after="0"/>
              <w:rPr>
                <w:sz w:val="20"/>
                <w:szCs w:val="20"/>
                <w:color w:val="auto"/>
              </w:rPr>
            </w:pPr>
            <w:r>
              <w:rPr>
                <w:rFonts w:ascii="Arial" w:cs="Arial" w:eastAsia="Arial" w:hAnsi="Arial"/>
                <w:sz w:val="14"/>
                <w:szCs w:val="14"/>
                <w:color w:val="auto"/>
              </w:rPr>
              <w:t>Term Loan B</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3.25%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4.75%</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8/14/2023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1,189,327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1,179,242</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1,189,826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Candy Intermediate</w:t>
            </w:r>
          </w:p>
        </w:tc>
        <w:tc>
          <w:tcPr>
            <w:tcW w:w="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Holdings, Inc.</w:t>
            </w: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Beverage, Food &amp; Tobacco</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6/15/2023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497,500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495,317</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500,609</w:t>
            </w: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rPr>
              <w:t>Capital Automotive L.P.</w:t>
            </w:r>
          </w:p>
        </w:tc>
        <w:tc>
          <w:tcPr>
            <w:tcW w:w="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Tranche B-1 Term</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Conglomerate</w:t>
            </w:r>
          </w:p>
        </w:tc>
        <w:tc>
          <w:tcPr>
            <w:tcW w:w="1260" w:type="dxa"/>
            <w:vAlign w:val="bottom"/>
            <w:gridSpan w:val="2"/>
          </w:tcPr>
          <w:p>
            <w:pPr>
              <w:spacing w:after="0"/>
              <w:rPr>
                <w:sz w:val="20"/>
                <w:szCs w:val="20"/>
                <w:color w:val="auto"/>
              </w:rPr>
            </w:pPr>
            <w:r>
              <w:rPr>
                <w:rFonts w:ascii="Arial" w:cs="Arial" w:eastAsia="Arial" w:hAnsi="Arial"/>
                <w:sz w:val="14"/>
                <w:szCs w:val="14"/>
                <w:color w:val="auto"/>
              </w:rPr>
              <w:t>Loan Facility</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4.00%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4/10/2019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1,487,353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1,489,058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1,500,829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CASA SYSTEMS T/L</w:t>
            </w:r>
          </w:p>
        </w:tc>
        <w:tc>
          <w:tcPr>
            <w:tcW w:w="18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Telecommunications</w:t>
            </w:r>
          </w:p>
        </w:tc>
        <w:tc>
          <w:tcPr>
            <w:tcW w:w="1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4.00%</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12/20/2023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1,500,000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1,485,318</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w w:val="97"/>
              </w:rPr>
              <w:t>Catalent Pharma Solutions,</w:t>
            </w:r>
          </w:p>
        </w:tc>
        <w:tc>
          <w:tcPr>
            <w:tcW w:w="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tcPr>
          <w:p>
            <w:pPr>
              <w:ind w:left="160"/>
              <w:spacing w:after="0"/>
              <w:rPr>
                <w:sz w:val="20"/>
                <w:szCs w:val="20"/>
                <w:color w:val="auto"/>
              </w:rPr>
            </w:pPr>
            <w:r>
              <w:rPr>
                <w:rFonts w:ascii="Arial" w:cs="Arial" w:eastAsia="Arial" w:hAnsi="Arial"/>
                <w:sz w:val="14"/>
                <w:szCs w:val="14"/>
                <w:color w:val="auto"/>
              </w:rPr>
              <w:t>Inc</w:t>
            </w: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Drugs</w:t>
            </w:r>
          </w:p>
        </w:tc>
        <w:tc>
          <w:tcPr>
            <w:tcW w:w="1260" w:type="dxa"/>
            <w:vAlign w:val="bottom"/>
            <w:gridSpan w:val="2"/>
          </w:tcPr>
          <w:p>
            <w:pPr>
              <w:spacing w:after="0"/>
              <w:rPr>
                <w:sz w:val="20"/>
                <w:szCs w:val="20"/>
                <w:color w:val="auto"/>
              </w:rPr>
            </w:pPr>
            <w:r>
              <w:rPr>
                <w:rFonts w:ascii="Arial" w:cs="Arial" w:eastAsia="Arial" w:hAnsi="Arial"/>
                <w:sz w:val="14"/>
                <w:szCs w:val="14"/>
                <w:color w:val="auto"/>
              </w:rPr>
              <w:t>Initial Term B Loan</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2.75%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3.75%</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5/20/2021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424,821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423,456</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429,953</w:t>
            </w: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Cengage Learning</w:t>
            </w:r>
          </w:p>
        </w:tc>
        <w:tc>
          <w:tcPr>
            <w:tcW w:w="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Acquisitions, Inc.</w:t>
            </w: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Publishing</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6/7/2023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1,492,500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1,477,575</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1,411,965</w:t>
            </w: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rPr>
              <w:t>CH HOLD (CALIBER</w:t>
            </w:r>
          </w:p>
        </w:tc>
        <w:tc>
          <w:tcPr>
            <w:tcW w:w="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tcPr>
          <w:p>
            <w:pPr>
              <w:ind w:left="160"/>
              <w:spacing w:after="0"/>
              <w:rPr>
                <w:sz w:val="20"/>
                <w:szCs w:val="20"/>
                <w:color w:val="auto"/>
              </w:rPr>
            </w:pPr>
            <w:r>
              <w:rPr>
                <w:rFonts w:ascii="Arial" w:cs="Arial" w:eastAsia="Arial" w:hAnsi="Arial"/>
                <w:sz w:val="14"/>
                <w:szCs w:val="14"/>
                <w:color w:val="auto"/>
              </w:rPr>
              <w:t>COLLISION) T/L</w:t>
            </w: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Automotive</w:t>
            </w:r>
          </w:p>
        </w:tc>
        <w:tc>
          <w:tcPr>
            <w:tcW w:w="1260" w:type="dxa"/>
            <w:vAlign w:val="bottom"/>
            <w:gridSpan w:val="2"/>
          </w:tcPr>
          <w:p>
            <w:pPr>
              <w:spacing w:after="0"/>
              <w:rPr>
                <w:sz w:val="20"/>
                <w:szCs w:val="20"/>
                <w:color w:val="auto"/>
              </w:rPr>
            </w:pPr>
            <w:r>
              <w:rPr>
                <w:rFonts w:ascii="Arial" w:cs="Arial" w:eastAsia="Arial" w:hAnsi="Arial"/>
                <w:sz w:val="14"/>
                <w:szCs w:val="14"/>
                <w:color w:val="auto"/>
              </w:rPr>
              <w:t>Term Loan</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4.00%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2/1/2024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227,273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226,758</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229,545</w:t>
            </w: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Charter Communications</w:t>
            </w:r>
          </w:p>
        </w:tc>
        <w:tc>
          <w:tcPr>
            <w:tcW w:w="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Operating, LLC</w:t>
            </w: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7"/>
              </w:rPr>
              <w:t>Cable and Satellite Television</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F Loan</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1/3/2021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1,609,533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1,603,525</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1,617,130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rPr>
              <w:t>CHS/Community Health</w:t>
            </w:r>
          </w:p>
        </w:tc>
        <w:tc>
          <w:tcPr>
            <w:tcW w:w="186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tcPr>
          <w:p>
            <w:pPr>
              <w:ind w:left="160"/>
              <w:spacing w:after="0"/>
              <w:rPr>
                <w:sz w:val="20"/>
                <w:szCs w:val="20"/>
                <w:color w:val="auto"/>
              </w:rPr>
            </w:pPr>
            <w:r>
              <w:rPr>
                <w:rFonts w:ascii="Arial" w:cs="Arial" w:eastAsia="Arial" w:hAnsi="Arial"/>
                <w:sz w:val="14"/>
                <w:szCs w:val="14"/>
                <w:color w:val="auto"/>
              </w:rPr>
              <w:t>Systems, Inc.</w:t>
            </w: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Pharmaceuticals</w:t>
            </w:r>
          </w:p>
        </w:tc>
        <w:tc>
          <w:tcPr>
            <w:tcW w:w="1260" w:type="dxa"/>
            <w:vAlign w:val="bottom"/>
            <w:gridSpan w:val="2"/>
          </w:tcPr>
          <w:p>
            <w:pPr>
              <w:spacing w:after="0"/>
              <w:rPr>
                <w:sz w:val="20"/>
                <w:szCs w:val="20"/>
                <w:color w:val="auto"/>
              </w:rPr>
            </w:pPr>
            <w:r>
              <w:rPr>
                <w:rFonts w:ascii="Arial" w:cs="Arial" w:eastAsia="Arial" w:hAnsi="Arial"/>
                <w:sz w:val="14"/>
                <w:szCs w:val="14"/>
                <w:color w:val="auto"/>
              </w:rPr>
              <w:t>Term G Loan</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2.75%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3.80%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12/31/2019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981,177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960,939</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972,866</w:t>
            </w: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CHS/Community Health</w:t>
            </w:r>
          </w:p>
        </w:tc>
        <w:tc>
          <w:tcPr>
            <w:tcW w:w="186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Systems, Inc.</w:t>
            </w: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Pharmaceuticals</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H Loan</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1/27/2021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1,805,352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1,763,950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1,773,940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rPr>
              <w:t>CITGO Petroleum</w:t>
            </w:r>
          </w:p>
        </w:tc>
        <w:tc>
          <w:tcPr>
            <w:tcW w:w="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Oil &amp; Gas</w:t>
            </w:r>
          </w:p>
        </w:tc>
        <w:tc>
          <w:tcPr>
            <w:tcW w:w="1260" w:type="dxa"/>
            <w:vAlign w:val="bottom"/>
            <w:gridSpan w:val="2"/>
          </w:tcPr>
          <w:p>
            <w:pPr>
              <w:spacing w:after="0"/>
              <w:rPr>
                <w:sz w:val="20"/>
                <w:szCs w:val="20"/>
                <w:color w:val="auto"/>
              </w:rPr>
            </w:pPr>
            <w:r>
              <w:rPr>
                <w:rFonts w:ascii="Arial" w:cs="Arial" w:eastAsia="Arial" w:hAnsi="Arial"/>
                <w:sz w:val="14"/>
                <w:szCs w:val="14"/>
                <w:color w:val="auto"/>
              </w:rPr>
              <w:t>Term Loan B</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3.50%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4.50%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7/29/2021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1,964,874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1,946,245</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1,976,172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Communications Sales &amp;</w:t>
            </w:r>
          </w:p>
        </w:tc>
        <w:tc>
          <w:tcPr>
            <w:tcW w:w="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B (First</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Leasing, Inc.</w:t>
            </w: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Telecommunications</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Lien)</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10/24/2022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1,970,062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1,958,282</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1,980,405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rPr>
              <w:t>Concordia Healthcare</w:t>
            </w:r>
          </w:p>
        </w:tc>
        <w:tc>
          <w:tcPr>
            <w:tcW w:w="186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Pharmaceuticals</w:t>
            </w:r>
          </w:p>
        </w:tc>
        <w:tc>
          <w:tcPr>
            <w:tcW w:w="1260" w:type="dxa"/>
            <w:vAlign w:val="bottom"/>
            <w:gridSpan w:val="2"/>
          </w:tcPr>
          <w:p>
            <w:pPr>
              <w:spacing w:after="0"/>
              <w:rPr>
                <w:sz w:val="20"/>
                <w:szCs w:val="20"/>
                <w:color w:val="auto"/>
              </w:rPr>
            </w:pPr>
            <w:r>
              <w:rPr>
                <w:rFonts w:ascii="Arial" w:cs="Arial" w:eastAsia="Arial" w:hAnsi="Arial"/>
                <w:sz w:val="14"/>
                <w:szCs w:val="14"/>
                <w:color w:val="auto"/>
              </w:rPr>
              <w:t>Term Loan B</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4.25%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5.25%</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10/21/2021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1,980,000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1,891,488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1,615,522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Consolidated Aerospace</w:t>
            </w:r>
          </w:p>
        </w:tc>
        <w:tc>
          <w:tcPr>
            <w:tcW w:w="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(First</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Manufacturing, LLC</w:t>
            </w: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Aerospace and Defense</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Lien)</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8/11/2022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1,418,750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1,412,839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1,365,547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80" w:type="dxa"/>
            <w:vAlign w:val="bottom"/>
            <w:gridSpan w:val="2"/>
          </w:tcPr>
          <w:p>
            <w:pPr>
              <w:spacing w:after="0" w:line="130" w:lineRule="exact"/>
              <w:rPr>
                <w:sz w:val="20"/>
                <w:szCs w:val="20"/>
                <w:color w:val="auto"/>
              </w:rPr>
            </w:pPr>
            <w:r>
              <w:rPr>
                <w:rFonts w:ascii="Arial" w:cs="Arial" w:eastAsia="Arial" w:hAnsi="Arial"/>
                <w:sz w:val="14"/>
                <w:szCs w:val="14"/>
                <w:color w:val="auto"/>
              </w:rPr>
              <w:t>Consolidated</w:t>
            </w:r>
          </w:p>
        </w:tc>
        <w:tc>
          <w:tcPr>
            <w:tcW w:w="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gridSpan w:val="2"/>
          </w:tcPr>
          <w:p>
            <w:pPr>
              <w:ind w:left="160"/>
              <w:spacing w:after="0"/>
              <w:rPr>
                <w:sz w:val="20"/>
                <w:szCs w:val="20"/>
                <w:color w:val="auto"/>
              </w:rPr>
            </w:pPr>
            <w:r>
              <w:rPr>
                <w:rFonts w:ascii="Arial" w:cs="Arial" w:eastAsia="Arial" w:hAnsi="Arial"/>
                <w:sz w:val="14"/>
                <w:szCs w:val="14"/>
                <w:color w:val="auto"/>
              </w:rPr>
              <w:t>Communications, Inc.</w:t>
            </w:r>
          </w:p>
        </w:tc>
        <w:tc>
          <w:tcPr>
            <w:tcW w:w="1860" w:type="dxa"/>
            <w:vAlign w:val="bottom"/>
            <w:gridSpan w:val="3"/>
          </w:tcPr>
          <w:p>
            <w:pPr>
              <w:ind w:left="40"/>
              <w:spacing w:after="0"/>
              <w:rPr>
                <w:sz w:val="20"/>
                <w:szCs w:val="20"/>
                <w:color w:val="auto"/>
              </w:rPr>
            </w:pPr>
            <w:r>
              <w:rPr>
                <w:rFonts w:ascii="Arial" w:cs="Arial" w:eastAsia="Arial" w:hAnsi="Arial"/>
                <w:sz w:val="14"/>
                <w:szCs w:val="14"/>
                <w:color w:val="auto"/>
              </w:rPr>
              <w:t>Telecommunications</w:t>
            </w:r>
          </w:p>
        </w:tc>
        <w:tc>
          <w:tcPr>
            <w:tcW w:w="1260" w:type="dxa"/>
            <w:vAlign w:val="bottom"/>
            <w:gridSpan w:val="2"/>
          </w:tcPr>
          <w:p>
            <w:pPr>
              <w:spacing w:after="0"/>
              <w:rPr>
                <w:sz w:val="20"/>
                <w:szCs w:val="20"/>
                <w:color w:val="auto"/>
              </w:rPr>
            </w:pPr>
            <w:r>
              <w:rPr>
                <w:rFonts w:ascii="Arial" w:cs="Arial" w:eastAsia="Arial" w:hAnsi="Arial"/>
                <w:sz w:val="14"/>
                <w:szCs w:val="14"/>
                <w:color w:val="auto"/>
              </w:rPr>
              <w:t>Term Loan B-2</w:t>
            </w:r>
          </w:p>
        </w:tc>
        <w:tc>
          <w:tcPr>
            <w:tcW w:w="460" w:type="dxa"/>
            <w:vAlign w:val="bottom"/>
            <w:gridSpan w:val="2"/>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4.00%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10/5/2023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500,000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497,500</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502,890</w:t>
            </w: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CPI Acquisition Inc.</w:t>
            </w:r>
          </w:p>
        </w:tc>
        <w:tc>
          <w:tcPr>
            <w:tcW w:w="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B (First</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Technology</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Lien)</w:t>
            </w: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8/17/2022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1,436,782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1,418,783</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1,289,511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20"/>
                <w:szCs w:val="20"/>
                <w:color w:val="auto"/>
              </w:rPr>
            </w:pPr>
            <w:r>
              <w:rPr>
                <w:rFonts w:ascii="Arial" w:cs="Arial" w:eastAsia="Arial" w:hAnsi="Arial"/>
                <w:sz w:val="14"/>
                <w:szCs w:val="14"/>
                <w:color w:val="auto"/>
              </w:rPr>
              <w:t>CPI International</w:t>
            </w: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1680" w:type="dxa"/>
            <w:vAlign w:val="bottom"/>
          </w:tcPr>
          <w:p>
            <w:pPr>
              <w:ind w:left="160"/>
              <w:spacing w:after="0" w:line="149" w:lineRule="exact"/>
              <w:rPr>
                <w:sz w:val="20"/>
                <w:szCs w:val="20"/>
                <w:color w:val="auto"/>
              </w:rPr>
            </w:pPr>
            <w:r>
              <w:rPr>
                <w:rFonts w:ascii="Arial" w:cs="Arial" w:eastAsia="Arial" w:hAnsi="Arial"/>
                <w:sz w:val="14"/>
                <w:szCs w:val="14"/>
                <w:color w:val="auto"/>
              </w:rPr>
              <w:t>Acquisition, Inc. (f/k/a</w:t>
            </w:r>
          </w:p>
        </w:tc>
        <w:tc>
          <w:tcPr>
            <w:tcW w:w="1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Catalyst Holdings, Inc.)</w:t>
            </w:r>
          </w:p>
        </w:tc>
        <w:tc>
          <w:tcPr>
            <w:tcW w:w="1780" w:type="dxa"/>
            <w:vAlign w:val="bottom"/>
          </w:tcPr>
          <w:p>
            <w:pPr>
              <w:ind w:left="40"/>
              <w:spacing w:after="0"/>
              <w:rPr>
                <w:sz w:val="20"/>
                <w:szCs w:val="20"/>
                <w:color w:val="auto"/>
              </w:rPr>
            </w:pPr>
            <w:r>
              <w:rPr>
                <w:rFonts w:ascii="Arial" w:cs="Arial" w:eastAsia="Arial" w:hAnsi="Arial"/>
                <w:sz w:val="14"/>
                <w:szCs w:val="14"/>
                <w:color w:val="auto"/>
              </w:rPr>
              <w:t>Electronics/Electric</w:t>
            </w:r>
          </w:p>
        </w:tc>
        <w:tc>
          <w:tcPr>
            <w:tcW w:w="1300" w:type="dxa"/>
            <w:vAlign w:val="bottom"/>
          </w:tcPr>
          <w:p>
            <w:pPr>
              <w:ind w:left="80"/>
              <w:spacing w:after="0"/>
              <w:rPr>
                <w:sz w:val="20"/>
                <w:szCs w:val="20"/>
                <w:color w:val="auto"/>
              </w:rPr>
            </w:pPr>
            <w:r>
              <w:rPr>
                <w:rFonts w:ascii="Arial" w:cs="Arial" w:eastAsia="Arial" w:hAnsi="Arial"/>
                <w:sz w:val="14"/>
                <w:szCs w:val="14"/>
                <w:color w:val="auto"/>
              </w:rPr>
              <w:t>Term B Loan</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tcPr>
          <w:p>
            <w:pPr>
              <w:jc w:val="right"/>
              <w:spacing w:after="0"/>
              <w:rPr>
                <w:sz w:val="20"/>
                <w:szCs w:val="20"/>
                <w:color w:val="auto"/>
              </w:rPr>
            </w:pPr>
            <w:r>
              <w:rPr>
                <w:rFonts w:ascii="Arial" w:cs="Arial" w:eastAsia="Arial" w:hAnsi="Arial"/>
                <w:sz w:val="14"/>
                <w:szCs w:val="14"/>
                <w:color w:val="auto"/>
              </w:rPr>
              <w:t>11/17/2017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2,462,342</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2,461,490</w:t>
            </w:r>
          </w:p>
        </w:tc>
        <w:tc>
          <w:tcPr>
            <w:tcW w:w="800" w:type="dxa"/>
            <w:vAlign w:val="bottom"/>
          </w:tcPr>
          <w:p>
            <w:pPr>
              <w:jc w:val="right"/>
              <w:spacing w:after="0"/>
              <w:rPr>
                <w:sz w:val="20"/>
                <w:szCs w:val="20"/>
                <w:color w:val="auto"/>
              </w:rPr>
            </w:pPr>
            <w:r>
              <w:rPr>
                <w:rFonts w:ascii="Arial" w:cs="Arial" w:eastAsia="Arial" w:hAnsi="Arial"/>
                <w:sz w:val="14"/>
                <w:szCs w:val="14"/>
                <w:color w:val="auto"/>
              </w:rPr>
              <w:t>2,457,934</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Crosby US Acquisition</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w:t>
            </w: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Industrial Equipment</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(First Lien)</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727,500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726,911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667,329</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CT Technologies</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Intermediate Hldgs, Inc</w:t>
            </w:r>
          </w:p>
        </w:tc>
        <w:tc>
          <w:tcPr>
            <w:tcW w:w="1780" w:type="dxa"/>
            <w:vAlign w:val="bottom"/>
          </w:tcPr>
          <w:p>
            <w:pPr>
              <w:ind w:left="40"/>
              <w:spacing w:after="0"/>
              <w:rPr>
                <w:sz w:val="20"/>
                <w:szCs w:val="20"/>
                <w:color w:val="auto"/>
              </w:rPr>
            </w:pPr>
            <w:r>
              <w:rPr>
                <w:rFonts w:ascii="Arial" w:cs="Arial" w:eastAsia="Arial" w:hAnsi="Arial"/>
                <w:sz w:val="14"/>
                <w:szCs w:val="14"/>
                <w:color w:val="auto"/>
              </w:rPr>
              <w:t>Pharmaceuticals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5.25%</w:t>
            </w:r>
          </w:p>
        </w:tc>
        <w:tc>
          <w:tcPr>
            <w:tcW w:w="800" w:type="dxa"/>
            <w:vAlign w:val="bottom"/>
          </w:tcPr>
          <w:p>
            <w:pPr>
              <w:jc w:val="right"/>
              <w:spacing w:after="0"/>
              <w:rPr>
                <w:sz w:val="20"/>
                <w:szCs w:val="20"/>
                <w:color w:val="auto"/>
              </w:rPr>
            </w:pPr>
            <w:r>
              <w:rPr>
                <w:rFonts w:ascii="Arial" w:cs="Arial" w:eastAsia="Arial" w:hAnsi="Arial"/>
                <w:sz w:val="14"/>
                <w:szCs w:val="14"/>
                <w:color w:val="auto"/>
              </w:rPr>
              <w:t>12/1/2021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1,470,113</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1,458,924</w:t>
            </w:r>
          </w:p>
        </w:tc>
        <w:tc>
          <w:tcPr>
            <w:tcW w:w="800" w:type="dxa"/>
            <w:vAlign w:val="bottom"/>
          </w:tcPr>
          <w:p>
            <w:pPr>
              <w:jc w:val="right"/>
              <w:spacing w:after="0"/>
              <w:rPr>
                <w:sz w:val="20"/>
                <w:szCs w:val="20"/>
                <w:color w:val="auto"/>
              </w:rPr>
            </w:pPr>
            <w:r>
              <w:rPr>
                <w:rFonts w:ascii="Arial" w:cs="Arial" w:eastAsia="Arial" w:hAnsi="Arial"/>
                <w:sz w:val="14"/>
                <w:szCs w:val="14"/>
                <w:color w:val="auto"/>
              </w:rPr>
              <w:t>1,389,256</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Culligan International</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Company-T/L</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Conglomerate</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12/13/2023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2,050,000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2,049,738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2,083,313</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Cumulus Media Holdings</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rPr>
              <w:t>Broadcast Radio and</w:t>
            </w:r>
          </w:p>
        </w:tc>
        <w:tc>
          <w:tcPr>
            <w:tcW w:w="1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Inc.</w:t>
            </w:r>
          </w:p>
        </w:tc>
        <w:tc>
          <w:tcPr>
            <w:tcW w:w="1780" w:type="dxa"/>
            <w:vAlign w:val="bottom"/>
          </w:tcPr>
          <w:p>
            <w:pPr>
              <w:ind w:left="40"/>
              <w:spacing w:after="0"/>
              <w:rPr>
                <w:sz w:val="20"/>
                <w:szCs w:val="20"/>
                <w:color w:val="auto"/>
              </w:rPr>
            </w:pPr>
            <w:r>
              <w:rPr>
                <w:rFonts w:ascii="Arial" w:cs="Arial" w:eastAsia="Arial" w:hAnsi="Arial"/>
                <w:sz w:val="14"/>
                <w:szCs w:val="14"/>
                <w:color w:val="auto"/>
              </w:rPr>
              <w:t>Television</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tcPr>
          <w:p>
            <w:pPr>
              <w:jc w:val="right"/>
              <w:spacing w:after="0"/>
              <w:rPr>
                <w:sz w:val="20"/>
                <w:szCs w:val="20"/>
                <w:color w:val="auto"/>
              </w:rPr>
            </w:pPr>
            <w:r>
              <w:rPr>
                <w:rFonts w:ascii="Arial" w:cs="Arial" w:eastAsia="Arial" w:hAnsi="Arial"/>
                <w:sz w:val="14"/>
                <w:szCs w:val="14"/>
                <w:color w:val="auto"/>
              </w:rPr>
              <w:t>12/23/2020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470,093</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467,345</w:t>
            </w:r>
          </w:p>
        </w:tc>
        <w:tc>
          <w:tcPr>
            <w:tcW w:w="800" w:type="dxa"/>
            <w:vAlign w:val="bottom"/>
          </w:tcPr>
          <w:p>
            <w:pPr>
              <w:jc w:val="right"/>
              <w:spacing w:after="0"/>
              <w:rPr>
                <w:sz w:val="20"/>
                <w:szCs w:val="20"/>
                <w:color w:val="auto"/>
              </w:rPr>
            </w:pPr>
            <w:r>
              <w:rPr>
                <w:rFonts w:ascii="Arial" w:cs="Arial" w:eastAsia="Arial" w:hAnsi="Arial"/>
                <w:sz w:val="14"/>
                <w:szCs w:val="14"/>
                <w:color w:val="auto"/>
              </w:rPr>
              <w:t>342,580</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DAE Aviation</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(StandardAero)</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Aerospace and Defense</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1,975,000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1,967,190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1,987,838</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DASEKE T/L</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(HENNESSY CAPITAL)</w:t>
            </w:r>
          </w:p>
        </w:tc>
        <w:tc>
          <w:tcPr>
            <w:tcW w:w="1780" w:type="dxa"/>
            <w:vAlign w:val="bottom"/>
          </w:tcPr>
          <w:p>
            <w:pPr>
              <w:ind w:left="40"/>
              <w:spacing w:after="0"/>
              <w:rPr>
                <w:sz w:val="20"/>
                <w:szCs w:val="20"/>
                <w:color w:val="auto"/>
              </w:rPr>
            </w:pPr>
            <w:r>
              <w:rPr>
                <w:rFonts w:ascii="Arial" w:cs="Arial" w:eastAsia="Arial" w:hAnsi="Arial"/>
                <w:sz w:val="14"/>
                <w:szCs w:val="14"/>
                <w:color w:val="auto"/>
              </w:rPr>
              <w:t>Transportation</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6.50%</w:t>
            </w:r>
          </w:p>
        </w:tc>
        <w:tc>
          <w:tcPr>
            <w:tcW w:w="800" w:type="dxa"/>
            <w:vAlign w:val="bottom"/>
          </w:tcPr>
          <w:p>
            <w:pPr>
              <w:jc w:val="right"/>
              <w:spacing w:after="0"/>
              <w:rPr>
                <w:sz w:val="20"/>
                <w:szCs w:val="20"/>
                <w:color w:val="auto"/>
              </w:rPr>
            </w:pPr>
            <w:r>
              <w:rPr>
                <w:rFonts w:ascii="Arial" w:cs="Arial" w:eastAsia="Arial" w:hAnsi="Arial"/>
                <w:sz w:val="14"/>
                <w:szCs w:val="14"/>
                <w:color w:val="auto"/>
              </w:rPr>
              <w:t>2/27/2024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714,286</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707,143</w:t>
            </w:r>
          </w:p>
        </w:tc>
        <w:tc>
          <w:tcPr>
            <w:tcW w:w="800" w:type="dxa"/>
            <w:vAlign w:val="bottom"/>
          </w:tcPr>
          <w:p>
            <w:pPr>
              <w:jc w:val="right"/>
              <w:spacing w:after="0"/>
              <w:rPr>
                <w:sz w:val="20"/>
                <w:szCs w:val="20"/>
                <w:color w:val="auto"/>
              </w:rPr>
            </w:pPr>
            <w:r>
              <w:rPr>
                <w:rFonts w:ascii="Arial" w:cs="Arial" w:eastAsia="Arial" w:hAnsi="Arial"/>
                <w:sz w:val="14"/>
                <w:szCs w:val="14"/>
                <w:color w:val="auto"/>
              </w:rPr>
              <w:t>717,857</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DCS Business Services, Inc.</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Financial Intermediaries</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B Loan</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1.50%</w:t>
            </w:r>
          </w:p>
        </w:tc>
        <w:tc>
          <w:tcPr>
            <w:tcW w:w="6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3/19/2018</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6"/>
              </w:rPr>
              <w:t>2,101,458</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2,096,045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2,101,458</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Delta 2 (Lux) S.a.r.l.</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Lodging &amp; Casinos</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 B-3</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7/30/2021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6"/>
              </w:rPr>
              <w:t>1,000,000</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996,568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1,002,920</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DELL INTERNATIONAL</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1ST LIEN T/L</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High Tech Industries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(01/17)</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9/7/2023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1,000,000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998,850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1,006,480</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Deluxe Entertainment</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Term Loan</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Service Group, Inc.</w:t>
            </w:r>
          </w:p>
        </w:tc>
        <w:tc>
          <w:tcPr>
            <w:tcW w:w="1780" w:type="dxa"/>
            <w:vAlign w:val="bottom"/>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tcPr>
          <w:p>
            <w:pPr>
              <w:ind w:left="80"/>
              <w:spacing w:after="0"/>
              <w:rPr>
                <w:sz w:val="20"/>
                <w:szCs w:val="20"/>
                <w:color w:val="auto"/>
              </w:rPr>
            </w:pPr>
            <w:r>
              <w:rPr>
                <w:rFonts w:ascii="Arial" w:cs="Arial" w:eastAsia="Arial" w:hAnsi="Arial"/>
                <w:sz w:val="14"/>
                <w:szCs w:val="14"/>
                <w:color w:val="auto"/>
              </w:rPr>
              <w:t>(Incremental)</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6.00%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7.04%</w:t>
            </w:r>
          </w:p>
        </w:tc>
        <w:tc>
          <w:tcPr>
            <w:tcW w:w="800" w:type="dxa"/>
            <w:vAlign w:val="bottom"/>
          </w:tcPr>
          <w:p>
            <w:pPr>
              <w:jc w:val="right"/>
              <w:spacing w:after="0"/>
              <w:rPr>
                <w:sz w:val="20"/>
                <w:szCs w:val="20"/>
                <w:color w:val="auto"/>
              </w:rPr>
            </w:pPr>
            <w:r>
              <w:rPr>
                <w:rFonts w:ascii="Arial" w:cs="Arial" w:eastAsia="Arial" w:hAnsi="Arial"/>
                <w:sz w:val="14"/>
                <w:szCs w:val="14"/>
                <w:color w:val="auto"/>
              </w:rPr>
              <w:t>2/28/2020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1,000,000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972,672</w:t>
            </w:r>
          </w:p>
        </w:tc>
        <w:tc>
          <w:tcPr>
            <w:tcW w:w="800" w:type="dxa"/>
            <w:vAlign w:val="bottom"/>
          </w:tcPr>
          <w:p>
            <w:pPr>
              <w:jc w:val="right"/>
              <w:spacing w:after="0"/>
              <w:rPr>
                <w:sz w:val="20"/>
                <w:szCs w:val="20"/>
                <w:color w:val="auto"/>
              </w:rPr>
            </w:pPr>
            <w:r>
              <w:rPr>
                <w:rFonts w:ascii="Arial" w:cs="Arial" w:eastAsia="Arial" w:hAnsi="Arial"/>
                <w:sz w:val="14"/>
                <w:szCs w:val="14"/>
                <w:color w:val="auto"/>
              </w:rPr>
              <w:t>997,500</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Deluxe Entertainment</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 Group, Inc.</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1,868,084</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1,869,141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1,864,199</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DEX MEDIA, INC.</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Media</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 (07/16)</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7/29/2021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43,444</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43,444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44,041</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Diebold, Inc.</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4.50%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5.31%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11/6/2023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398,750</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395,190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404,731</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DIGITALGLOBE T/L B</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(12/16)</w:t>
            </w:r>
          </w:p>
        </w:tc>
        <w:tc>
          <w:tcPr>
            <w:tcW w:w="1780" w:type="dxa"/>
            <w:vAlign w:val="bottom"/>
          </w:tcPr>
          <w:p>
            <w:pPr>
              <w:ind w:left="40"/>
              <w:spacing w:after="0"/>
              <w:rPr>
                <w:sz w:val="20"/>
                <w:szCs w:val="20"/>
                <w:color w:val="auto"/>
              </w:rPr>
            </w:pPr>
            <w:r>
              <w:rPr>
                <w:rFonts w:ascii="Arial" w:cs="Arial" w:eastAsia="Arial" w:hAnsi="Arial"/>
                <w:sz w:val="14"/>
                <w:szCs w:val="14"/>
                <w:color w:val="auto"/>
              </w:rPr>
              <w:t>Aerospace and Defense</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 B</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3.53%</w:t>
            </w:r>
          </w:p>
        </w:tc>
        <w:tc>
          <w:tcPr>
            <w:tcW w:w="800" w:type="dxa"/>
            <w:vAlign w:val="bottom"/>
          </w:tcPr>
          <w:p>
            <w:pPr>
              <w:jc w:val="right"/>
              <w:spacing w:after="0"/>
              <w:rPr>
                <w:sz w:val="20"/>
                <w:szCs w:val="20"/>
                <w:color w:val="auto"/>
              </w:rPr>
            </w:pPr>
            <w:r>
              <w:rPr>
                <w:rFonts w:ascii="Arial" w:cs="Arial" w:eastAsia="Arial" w:hAnsi="Arial"/>
                <w:sz w:val="14"/>
                <w:szCs w:val="14"/>
                <w:color w:val="auto"/>
              </w:rPr>
              <w:t>1/15/2024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500,000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498,815</w:t>
            </w:r>
          </w:p>
        </w:tc>
        <w:tc>
          <w:tcPr>
            <w:tcW w:w="800" w:type="dxa"/>
            <w:vAlign w:val="bottom"/>
          </w:tcPr>
          <w:p>
            <w:pPr>
              <w:jc w:val="right"/>
              <w:spacing w:after="0"/>
              <w:rPr>
                <w:sz w:val="20"/>
                <w:szCs w:val="20"/>
                <w:color w:val="auto"/>
              </w:rPr>
            </w:pPr>
            <w:r>
              <w:rPr>
                <w:rFonts w:ascii="Arial" w:cs="Arial" w:eastAsia="Arial" w:hAnsi="Arial"/>
                <w:sz w:val="14"/>
                <w:szCs w:val="14"/>
                <w:color w:val="auto"/>
              </w:rPr>
              <w:t>502,030</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DJO Finance, LLC</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Pharmaceuticals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492,500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490,933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483,388</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DPX Holdings B.V.</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Term Loan 2015</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Pharmaceuticals</w:t>
            </w:r>
          </w:p>
        </w:tc>
        <w:tc>
          <w:tcPr>
            <w:tcW w:w="1300" w:type="dxa"/>
            <w:vAlign w:val="bottom"/>
          </w:tcPr>
          <w:p>
            <w:pPr>
              <w:ind w:left="80"/>
              <w:spacing w:after="0"/>
              <w:rPr>
                <w:sz w:val="20"/>
                <w:szCs w:val="20"/>
                <w:color w:val="auto"/>
              </w:rPr>
            </w:pPr>
            <w:r>
              <w:rPr>
                <w:rFonts w:ascii="Arial" w:cs="Arial" w:eastAsia="Arial" w:hAnsi="Arial"/>
                <w:sz w:val="14"/>
                <w:szCs w:val="14"/>
                <w:color w:val="auto"/>
              </w:rPr>
              <w:t>Incr Dollar</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tcPr>
          <w:p>
            <w:pPr>
              <w:jc w:val="right"/>
              <w:spacing w:after="0"/>
              <w:rPr>
                <w:sz w:val="20"/>
                <w:szCs w:val="20"/>
                <w:color w:val="auto"/>
              </w:rPr>
            </w:pPr>
            <w:r>
              <w:rPr>
                <w:rFonts w:ascii="Arial" w:cs="Arial" w:eastAsia="Arial" w:hAnsi="Arial"/>
                <w:sz w:val="14"/>
                <w:szCs w:val="14"/>
                <w:color w:val="auto"/>
              </w:rPr>
              <w:t>3/11/2021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2,925,000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2,919,916</w:t>
            </w:r>
          </w:p>
        </w:tc>
        <w:tc>
          <w:tcPr>
            <w:tcW w:w="800" w:type="dxa"/>
            <w:vAlign w:val="bottom"/>
          </w:tcPr>
          <w:p>
            <w:pPr>
              <w:jc w:val="right"/>
              <w:spacing w:after="0"/>
              <w:rPr>
                <w:sz w:val="20"/>
                <w:szCs w:val="20"/>
                <w:color w:val="auto"/>
              </w:rPr>
            </w:pPr>
            <w:r>
              <w:rPr>
                <w:rFonts w:ascii="Arial" w:cs="Arial" w:eastAsia="Arial" w:hAnsi="Arial"/>
                <w:sz w:val="14"/>
                <w:szCs w:val="14"/>
                <w:color w:val="auto"/>
              </w:rPr>
              <w:t>2,937,431</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Drew Marine Group, Inc.</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Chemicals/Plastics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2,950,591</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2,923,591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2,928,461</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DTZ U.S. Borrower, LLC</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Term Loan B Add-</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Construction &amp; Building</w:t>
            </w:r>
          </w:p>
        </w:tc>
        <w:tc>
          <w:tcPr>
            <w:tcW w:w="1300" w:type="dxa"/>
            <w:vAlign w:val="bottom"/>
          </w:tcPr>
          <w:p>
            <w:pPr>
              <w:ind w:left="80"/>
              <w:spacing w:after="0"/>
              <w:rPr>
                <w:sz w:val="20"/>
                <w:szCs w:val="20"/>
                <w:color w:val="auto"/>
              </w:rPr>
            </w:pPr>
            <w:r>
              <w:rPr>
                <w:rFonts w:ascii="Arial" w:cs="Arial" w:eastAsia="Arial" w:hAnsi="Arial"/>
                <w:sz w:val="14"/>
                <w:szCs w:val="14"/>
                <w:color w:val="auto"/>
              </w:rPr>
              <w:t>on</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4.30%</w:t>
            </w:r>
          </w:p>
        </w:tc>
        <w:tc>
          <w:tcPr>
            <w:tcW w:w="800" w:type="dxa"/>
            <w:vAlign w:val="bottom"/>
          </w:tcPr>
          <w:p>
            <w:pPr>
              <w:jc w:val="right"/>
              <w:spacing w:after="0"/>
              <w:rPr>
                <w:sz w:val="20"/>
                <w:szCs w:val="20"/>
                <w:color w:val="auto"/>
              </w:rPr>
            </w:pPr>
            <w:r>
              <w:rPr>
                <w:rFonts w:ascii="Arial" w:cs="Arial" w:eastAsia="Arial" w:hAnsi="Arial"/>
                <w:sz w:val="14"/>
                <w:szCs w:val="14"/>
                <w:color w:val="auto"/>
              </w:rPr>
              <w:t>11/4/2021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1,962,557</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1,954,741</w:t>
            </w:r>
          </w:p>
        </w:tc>
        <w:tc>
          <w:tcPr>
            <w:tcW w:w="800" w:type="dxa"/>
            <w:vAlign w:val="bottom"/>
          </w:tcPr>
          <w:p>
            <w:pPr>
              <w:jc w:val="right"/>
              <w:spacing w:after="0"/>
              <w:rPr>
                <w:sz w:val="20"/>
                <w:szCs w:val="20"/>
                <w:color w:val="auto"/>
              </w:rPr>
            </w:pPr>
            <w:r>
              <w:rPr>
                <w:rFonts w:ascii="Arial" w:cs="Arial" w:eastAsia="Arial" w:hAnsi="Arial"/>
                <w:sz w:val="14"/>
                <w:szCs w:val="14"/>
                <w:color w:val="auto"/>
              </w:rPr>
              <w:t>1,973,703</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DUKE FINANCE (OM</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6"/>
              </w:rPr>
              <w:t>Banking, Finance, Insurance</w:t>
            </w:r>
          </w:p>
        </w:tc>
        <w:tc>
          <w:tcPr>
            <w:tcW w:w="1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GROUP/VECTRA) T/L</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&amp; Real Estate</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2/21/2024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1,500,000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1,395,987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1,511,250</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Edelman Financial Group,</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w w:val="96"/>
              </w:rPr>
              <w:t>Banking, Finance, Insurance</w:t>
            </w:r>
          </w:p>
        </w:tc>
        <w:tc>
          <w:tcPr>
            <w:tcW w:w="1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Inc.</w:t>
            </w:r>
          </w:p>
        </w:tc>
        <w:tc>
          <w:tcPr>
            <w:tcW w:w="1780" w:type="dxa"/>
            <w:vAlign w:val="bottom"/>
          </w:tcPr>
          <w:p>
            <w:pPr>
              <w:ind w:left="40"/>
              <w:spacing w:after="0"/>
              <w:rPr>
                <w:sz w:val="20"/>
                <w:szCs w:val="20"/>
                <w:color w:val="auto"/>
              </w:rPr>
            </w:pPr>
            <w:r>
              <w:rPr>
                <w:rFonts w:ascii="Arial" w:cs="Arial" w:eastAsia="Arial" w:hAnsi="Arial"/>
                <w:sz w:val="14"/>
                <w:szCs w:val="14"/>
                <w:color w:val="auto"/>
              </w:rPr>
              <w:t>&amp; Real Estate</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6.51%</w:t>
            </w:r>
          </w:p>
        </w:tc>
        <w:tc>
          <w:tcPr>
            <w:tcW w:w="800" w:type="dxa"/>
            <w:vAlign w:val="bottom"/>
          </w:tcPr>
          <w:p>
            <w:pPr>
              <w:jc w:val="right"/>
              <w:spacing w:after="0"/>
              <w:rPr>
                <w:sz w:val="20"/>
                <w:szCs w:val="20"/>
                <w:color w:val="auto"/>
              </w:rPr>
            </w:pPr>
            <w:r>
              <w:rPr>
                <w:rFonts w:ascii="Arial" w:cs="Arial" w:eastAsia="Arial" w:hAnsi="Arial"/>
                <w:sz w:val="14"/>
                <w:szCs w:val="14"/>
                <w:color w:val="auto"/>
              </w:rPr>
              <w:t>12/19/2022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1,485,000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1,459,535</w:t>
            </w:r>
          </w:p>
        </w:tc>
        <w:tc>
          <w:tcPr>
            <w:tcW w:w="800" w:type="dxa"/>
            <w:vAlign w:val="bottom"/>
          </w:tcPr>
          <w:p>
            <w:pPr>
              <w:jc w:val="right"/>
              <w:spacing w:after="0"/>
              <w:rPr>
                <w:sz w:val="20"/>
                <w:szCs w:val="20"/>
                <w:color w:val="auto"/>
              </w:rPr>
            </w:pPr>
            <w:r>
              <w:rPr>
                <w:rFonts w:ascii="Arial" w:cs="Arial" w:eastAsia="Arial" w:hAnsi="Arial"/>
                <w:sz w:val="14"/>
                <w:szCs w:val="14"/>
                <w:color w:val="auto"/>
              </w:rPr>
              <w:t>1,487,317</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Education Management II,</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A</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501,970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488,778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177,446</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Education Management II,</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Term Loan B</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1680" w:type="dxa"/>
            <w:vAlign w:val="bottom"/>
          </w:tcPr>
          <w:p>
            <w:pPr>
              <w:ind w:left="160"/>
              <w:spacing w:after="0" w:line="149" w:lineRule="exact"/>
              <w:rPr>
                <w:sz w:val="20"/>
                <w:szCs w:val="20"/>
                <w:color w:val="auto"/>
              </w:rPr>
            </w:pPr>
            <w:r>
              <w:rPr>
                <w:rFonts w:ascii="Arial" w:cs="Arial" w:eastAsia="Arial" w:hAnsi="Arial"/>
                <w:sz w:val="14"/>
                <w:szCs w:val="14"/>
                <w:color w:val="auto"/>
              </w:rPr>
              <w:t>LLC</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Leisure</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w w:val="96"/>
              </w:rPr>
              <w:t>(2.00% Cash/6.50%</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168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tcPr>
          <w:p>
            <w:pPr>
              <w:ind w:left="80"/>
              <w:spacing w:after="0"/>
              <w:rPr>
                <w:sz w:val="20"/>
                <w:szCs w:val="20"/>
                <w:color w:val="auto"/>
              </w:rPr>
            </w:pPr>
            <w:r>
              <w:rPr>
                <w:rFonts w:ascii="Arial" w:cs="Arial" w:eastAsia="Arial" w:hAnsi="Arial"/>
                <w:sz w:val="14"/>
                <w:szCs w:val="14"/>
                <w:color w:val="auto"/>
              </w:rPr>
              <w:t>PIK)</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6.50%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8.51%</w:t>
            </w:r>
          </w:p>
        </w:tc>
        <w:tc>
          <w:tcPr>
            <w:tcW w:w="800" w:type="dxa"/>
            <w:vAlign w:val="bottom"/>
          </w:tcPr>
          <w:p>
            <w:pPr>
              <w:jc w:val="right"/>
              <w:spacing w:after="0"/>
              <w:rPr>
                <w:sz w:val="20"/>
                <w:szCs w:val="20"/>
                <w:color w:val="auto"/>
              </w:rPr>
            </w:pPr>
            <w:r>
              <w:rPr>
                <w:rFonts w:ascii="Arial" w:cs="Arial" w:eastAsia="Arial" w:hAnsi="Arial"/>
                <w:sz w:val="14"/>
                <w:szCs w:val="14"/>
                <w:color w:val="auto"/>
              </w:rPr>
              <w:t>7/2/2020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954,307</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934,189</w:t>
            </w:r>
          </w:p>
        </w:tc>
        <w:tc>
          <w:tcPr>
            <w:tcW w:w="800" w:type="dxa"/>
            <w:vAlign w:val="bottom"/>
          </w:tcPr>
          <w:p>
            <w:pPr>
              <w:jc w:val="right"/>
              <w:spacing w:after="0"/>
              <w:rPr>
                <w:sz w:val="20"/>
                <w:szCs w:val="20"/>
                <w:color w:val="auto"/>
              </w:rPr>
            </w:pPr>
            <w:r>
              <w:rPr>
                <w:rFonts w:ascii="Arial" w:cs="Arial" w:eastAsia="Arial" w:hAnsi="Arial"/>
                <w:sz w:val="14"/>
                <w:szCs w:val="14"/>
                <w:color w:val="auto"/>
              </w:rPr>
              <w:t>77,938</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Emerald Performance</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Materials, LLC</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Chemicals/Plastics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480,756</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479,151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483,308</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Emerald Performance</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w w:val="96"/>
              </w:rPr>
              <w:t>Term Loan (Second</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Materials, LLC</w:t>
            </w:r>
          </w:p>
        </w:tc>
        <w:tc>
          <w:tcPr>
            <w:tcW w:w="1780" w:type="dxa"/>
            <w:vAlign w:val="bottom"/>
          </w:tcPr>
          <w:p>
            <w:pPr>
              <w:ind w:left="40"/>
              <w:spacing w:after="0"/>
              <w:rPr>
                <w:sz w:val="20"/>
                <w:szCs w:val="20"/>
                <w:color w:val="auto"/>
              </w:rPr>
            </w:pPr>
            <w:r>
              <w:rPr>
                <w:rFonts w:ascii="Arial" w:cs="Arial" w:eastAsia="Arial" w:hAnsi="Arial"/>
                <w:sz w:val="14"/>
                <w:szCs w:val="14"/>
                <w:color w:val="auto"/>
              </w:rPr>
              <w:t>Chemicals/Plastics</w:t>
            </w:r>
          </w:p>
        </w:tc>
        <w:tc>
          <w:tcPr>
            <w:tcW w:w="1300" w:type="dxa"/>
            <w:vAlign w:val="bottom"/>
          </w:tcPr>
          <w:p>
            <w:pPr>
              <w:ind w:left="80"/>
              <w:spacing w:after="0"/>
              <w:rPr>
                <w:sz w:val="20"/>
                <w:szCs w:val="20"/>
                <w:color w:val="auto"/>
              </w:rPr>
            </w:pPr>
            <w:r>
              <w:rPr>
                <w:rFonts w:ascii="Arial" w:cs="Arial" w:eastAsia="Arial" w:hAnsi="Arial"/>
                <w:sz w:val="14"/>
                <w:szCs w:val="14"/>
                <w:color w:val="auto"/>
              </w:rPr>
              <w:t>Lien)</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7.75%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8.75%</w:t>
            </w:r>
          </w:p>
        </w:tc>
        <w:tc>
          <w:tcPr>
            <w:tcW w:w="800" w:type="dxa"/>
            <w:vAlign w:val="bottom"/>
          </w:tcPr>
          <w:p>
            <w:pPr>
              <w:jc w:val="right"/>
              <w:spacing w:after="0"/>
              <w:rPr>
                <w:sz w:val="20"/>
                <w:szCs w:val="20"/>
                <w:color w:val="auto"/>
              </w:rPr>
            </w:pPr>
            <w:r>
              <w:rPr>
                <w:rFonts w:ascii="Arial" w:cs="Arial" w:eastAsia="Arial" w:hAnsi="Arial"/>
                <w:sz w:val="14"/>
                <w:szCs w:val="14"/>
                <w:color w:val="auto"/>
              </w:rPr>
              <w:t>8/1/2022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500,000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498,153</w:t>
            </w:r>
          </w:p>
        </w:tc>
        <w:tc>
          <w:tcPr>
            <w:tcW w:w="800" w:type="dxa"/>
            <w:vAlign w:val="bottom"/>
          </w:tcPr>
          <w:p>
            <w:pPr>
              <w:jc w:val="right"/>
              <w:spacing w:after="0"/>
              <w:rPr>
                <w:sz w:val="20"/>
                <w:szCs w:val="20"/>
                <w:color w:val="auto"/>
              </w:rPr>
            </w:pPr>
            <w:r>
              <w:rPr>
                <w:rFonts w:ascii="Arial" w:cs="Arial" w:eastAsia="Arial" w:hAnsi="Arial"/>
                <w:sz w:val="14"/>
                <w:szCs w:val="14"/>
                <w:color w:val="auto"/>
              </w:rPr>
              <w:t>498,595</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Emerald 2 Limited</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B1A</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6"/>
              </w:rPr>
              <w:t>1,000,000</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994,172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Endo International plc</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Pharmaceuticals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 B</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3.81%</w:t>
            </w:r>
          </w:p>
        </w:tc>
        <w:tc>
          <w:tcPr>
            <w:tcW w:w="800" w:type="dxa"/>
            <w:vAlign w:val="bottom"/>
          </w:tcPr>
          <w:p>
            <w:pPr>
              <w:jc w:val="right"/>
              <w:spacing w:after="0"/>
              <w:rPr>
                <w:sz w:val="20"/>
                <w:szCs w:val="20"/>
                <w:color w:val="auto"/>
              </w:rPr>
            </w:pPr>
            <w:r>
              <w:rPr>
                <w:rFonts w:ascii="Arial" w:cs="Arial" w:eastAsia="Arial" w:hAnsi="Arial"/>
                <w:sz w:val="14"/>
                <w:szCs w:val="14"/>
                <w:color w:val="auto"/>
              </w:rPr>
              <w:t>9/26/2022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990,000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987,999</w:t>
            </w:r>
          </w:p>
        </w:tc>
        <w:tc>
          <w:tcPr>
            <w:tcW w:w="800" w:type="dxa"/>
            <w:vAlign w:val="bottom"/>
          </w:tcPr>
          <w:p>
            <w:pPr>
              <w:jc w:val="right"/>
              <w:spacing w:after="0"/>
              <w:rPr>
                <w:sz w:val="20"/>
                <w:szCs w:val="20"/>
                <w:color w:val="auto"/>
              </w:rPr>
            </w:pPr>
            <w:r>
              <w:rPr>
                <w:rFonts w:ascii="Arial" w:cs="Arial" w:eastAsia="Arial" w:hAnsi="Arial"/>
                <w:sz w:val="14"/>
                <w:szCs w:val="14"/>
                <w:color w:val="auto"/>
              </w:rPr>
              <w:t>994,247</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EnergySolutions, LLC</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Environmental Industries</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5.75%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795,000</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785,654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799,969</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Engility Corporation</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Aerospace and Defense</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 B-1</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0.70%</w:t>
            </w:r>
          </w:p>
        </w:tc>
        <w:tc>
          <w:tcPr>
            <w:tcW w:w="6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8/12/2020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243,750</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242,680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245,503</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Evergreen Acqco 1 LP</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New Term Loan</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7/9/2019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955,106</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954,175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846,224</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EWT Holdings III Corp.</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1680" w:type="dxa"/>
            <w:vAlign w:val="bottom"/>
          </w:tcPr>
          <w:p>
            <w:pPr>
              <w:ind w:left="160"/>
              <w:spacing w:after="0" w:line="149" w:lineRule="exact"/>
              <w:rPr>
                <w:sz w:val="20"/>
                <w:szCs w:val="20"/>
                <w:color w:val="auto"/>
              </w:rPr>
            </w:pPr>
            <w:r>
              <w:rPr>
                <w:rFonts w:ascii="Arial" w:cs="Arial" w:eastAsia="Arial" w:hAnsi="Arial"/>
                <w:sz w:val="14"/>
                <w:szCs w:val="14"/>
                <w:color w:val="auto"/>
              </w:rPr>
              <w:t>(fka WTG Holdings III</w:t>
            </w:r>
          </w:p>
        </w:tc>
        <w:tc>
          <w:tcPr>
            <w:tcW w:w="1780" w:type="dxa"/>
            <w:vAlign w:val="bottom"/>
          </w:tcPr>
          <w:p>
            <w:pPr>
              <w:spacing w:after="0"/>
              <w:rPr>
                <w:sz w:val="12"/>
                <w:szCs w:val="12"/>
                <w:color w:val="auto"/>
              </w:rPr>
            </w:pP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 (First</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Corp.)</w:t>
            </w:r>
          </w:p>
        </w:tc>
        <w:tc>
          <w:tcPr>
            <w:tcW w:w="1780" w:type="dxa"/>
            <w:vAlign w:val="bottom"/>
          </w:tcPr>
          <w:p>
            <w:pPr>
              <w:ind w:left="40"/>
              <w:spacing w:after="0"/>
              <w:rPr>
                <w:sz w:val="20"/>
                <w:szCs w:val="20"/>
                <w:color w:val="auto"/>
              </w:rPr>
            </w:pPr>
            <w:r>
              <w:rPr>
                <w:rFonts w:ascii="Arial" w:cs="Arial" w:eastAsia="Arial" w:hAnsi="Arial"/>
                <w:sz w:val="14"/>
                <w:szCs w:val="14"/>
                <w:color w:val="auto"/>
              </w:rPr>
              <w:t>Industrial Equipment</w:t>
            </w:r>
          </w:p>
        </w:tc>
        <w:tc>
          <w:tcPr>
            <w:tcW w:w="1300" w:type="dxa"/>
            <w:vAlign w:val="bottom"/>
          </w:tcPr>
          <w:p>
            <w:pPr>
              <w:ind w:left="80"/>
              <w:spacing w:after="0"/>
              <w:rPr>
                <w:sz w:val="20"/>
                <w:szCs w:val="20"/>
                <w:color w:val="auto"/>
              </w:rPr>
            </w:pPr>
            <w:r>
              <w:rPr>
                <w:rFonts w:ascii="Arial" w:cs="Arial" w:eastAsia="Arial" w:hAnsi="Arial"/>
                <w:sz w:val="14"/>
                <w:szCs w:val="14"/>
                <w:color w:val="auto"/>
              </w:rPr>
              <w:t>Lien)</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1/15/2021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1,947,330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1,943,904</w:t>
            </w:r>
          </w:p>
        </w:tc>
        <w:tc>
          <w:tcPr>
            <w:tcW w:w="800" w:type="dxa"/>
            <w:vAlign w:val="bottom"/>
          </w:tcPr>
          <w:p>
            <w:pPr>
              <w:jc w:val="right"/>
              <w:spacing w:after="0"/>
              <w:rPr>
                <w:sz w:val="20"/>
                <w:szCs w:val="20"/>
                <w:color w:val="auto"/>
              </w:rPr>
            </w:pPr>
            <w:r>
              <w:rPr>
                <w:rFonts w:ascii="Arial" w:cs="Arial" w:eastAsia="Arial" w:hAnsi="Arial"/>
                <w:sz w:val="14"/>
                <w:szCs w:val="14"/>
                <w:color w:val="auto"/>
              </w:rPr>
              <w:t>1,954,632</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EWT Holdings III Corp.</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Capital Equipment</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4.50%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992,500</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984,248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997,463</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Extreme Reach, Inc.</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Media</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6.25%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7.25%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6"/>
              </w:rPr>
              <w:t>2,887,500</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2,860,092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2,905,547</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Federal-Mogul Corporation</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C Term</w:t>
            </w: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2,925,000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2,915,873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2,894,434</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First Data Corporation</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First Data T/L Ext</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Financial Intermediaries</w:t>
            </w:r>
          </w:p>
        </w:tc>
        <w:tc>
          <w:tcPr>
            <w:tcW w:w="1300" w:type="dxa"/>
            <w:vAlign w:val="bottom"/>
          </w:tcPr>
          <w:p>
            <w:pPr>
              <w:ind w:left="80"/>
              <w:spacing w:after="0"/>
              <w:rPr>
                <w:sz w:val="20"/>
                <w:szCs w:val="20"/>
                <w:color w:val="auto"/>
              </w:rPr>
            </w:pPr>
            <w:r>
              <w:rPr>
                <w:rFonts w:ascii="Arial" w:cs="Arial" w:eastAsia="Arial" w:hAnsi="Arial"/>
                <w:sz w:val="14"/>
                <w:szCs w:val="14"/>
                <w:color w:val="auto"/>
              </w:rPr>
              <w:t>(2021)</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3.78%</w:t>
            </w:r>
          </w:p>
        </w:tc>
        <w:tc>
          <w:tcPr>
            <w:tcW w:w="800" w:type="dxa"/>
            <w:vAlign w:val="bottom"/>
          </w:tcPr>
          <w:p>
            <w:pPr>
              <w:jc w:val="right"/>
              <w:spacing w:after="0"/>
              <w:rPr>
                <w:sz w:val="20"/>
                <w:szCs w:val="20"/>
                <w:color w:val="auto"/>
              </w:rPr>
            </w:pPr>
            <w:r>
              <w:rPr>
                <w:rFonts w:ascii="Arial" w:cs="Arial" w:eastAsia="Arial" w:hAnsi="Arial"/>
                <w:sz w:val="14"/>
                <w:szCs w:val="14"/>
                <w:color w:val="auto"/>
              </w:rPr>
              <w:t>3/24/2021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1,886,914</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1,804,119</w:t>
            </w:r>
          </w:p>
        </w:tc>
        <w:tc>
          <w:tcPr>
            <w:tcW w:w="800" w:type="dxa"/>
            <w:vAlign w:val="bottom"/>
          </w:tcPr>
          <w:p>
            <w:pPr>
              <w:jc w:val="right"/>
              <w:spacing w:after="0"/>
              <w:rPr>
                <w:sz w:val="20"/>
                <w:szCs w:val="20"/>
                <w:color w:val="auto"/>
              </w:rPr>
            </w:pPr>
            <w:r>
              <w:rPr>
                <w:rFonts w:ascii="Arial" w:cs="Arial" w:eastAsia="Arial" w:hAnsi="Arial"/>
                <w:sz w:val="14"/>
                <w:szCs w:val="14"/>
                <w:color w:val="auto"/>
              </w:rPr>
              <w:t>1,904,010</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Eagle Investment</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6"/>
              </w:rPr>
              <w:t>Banking, Finance, Insurance</w:t>
            </w:r>
          </w:p>
        </w:tc>
        <w:tc>
          <w:tcPr>
            <w:tcW w:w="1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Management</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&amp; Real Estate</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1,485,000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1,460,081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1,493,361</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Fitness International, LLC</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 B</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tcPr>
          <w:p>
            <w:pPr>
              <w:jc w:val="right"/>
              <w:spacing w:after="0"/>
              <w:rPr>
                <w:sz w:val="20"/>
                <w:szCs w:val="20"/>
                <w:color w:val="auto"/>
              </w:rPr>
            </w:pPr>
            <w:r>
              <w:rPr>
                <w:rFonts w:ascii="Arial" w:cs="Arial" w:eastAsia="Arial" w:hAnsi="Arial"/>
                <w:sz w:val="14"/>
                <w:szCs w:val="14"/>
                <w:color w:val="auto"/>
              </w:rPr>
              <w:t>7/1/2020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1,929,311</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1,905,661</w:t>
            </w:r>
          </w:p>
        </w:tc>
        <w:tc>
          <w:tcPr>
            <w:tcW w:w="800" w:type="dxa"/>
            <w:vAlign w:val="bottom"/>
          </w:tcPr>
          <w:p>
            <w:pPr>
              <w:jc w:val="right"/>
              <w:spacing w:after="0"/>
              <w:rPr>
                <w:sz w:val="20"/>
                <w:szCs w:val="20"/>
                <w:color w:val="auto"/>
              </w:rPr>
            </w:pPr>
            <w:r>
              <w:rPr>
                <w:rFonts w:ascii="Arial" w:cs="Arial" w:eastAsia="Arial" w:hAnsi="Arial"/>
                <w:sz w:val="14"/>
                <w:szCs w:val="14"/>
                <w:color w:val="auto"/>
              </w:rPr>
              <w:t>1,947,793</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FMG Resources (August</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9"/>
        </w:trPr>
        <w:tc>
          <w:tcPr>
            <w:tcW w:w="1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2006) Pty LTD (FMG</w:t>
            </w:r>
          </w:p>
        </w:tc>
        <w:tc>
          <w:tcPr>
            <w:tcW w:w="17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America Finance, Inc.)</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Nonferrous Metals/Minerals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6/28/2019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801,502</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802,865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806,279</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Garda World Security</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Term B Delayed</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780" w:type="dxa"/>
            <w:vAlign w:val="bottom"/>
          </w:tcPr>
          <w:p>
            <w:pPr>
              <w:ind w:left="40"/>
              <w:spacing w:after="0"/>
              <w:rPr>
                <w:sz w:val="20"/>
                <w:szCs w:val="20"/>
                <w:color w:val="auto"/>
              </w:rPr>
            </w:pPr>
            <w:r>
              <w:rPr>
                <w:rFonts w:ascii="Arial" w:cs="Arial" w:eastAsia="Arial" w:hAnsi="Arial"/>
                <w:sz w:val="14"/>
                <w:szCs w:val="14"/>
                <w:color w:val="auto"/>
              </w:rPr>
              <w:t>Services: Business</w:t>
            </w:r>
          </w:p>
        </w:tc>
        <w:tc>
          <w:tcPr>
            <w:tcW w:w="1300" w:type="dxa"/>
            <w:vAlign w:val="bottom"/>
          </w:tcPr>
          <w:p>
            <w:pPr>
              <w:ind w:left="80"/>
              <w:spacing w:after="0"/>
              <w:rPr>
                <w:sz w:val="20"/>
                <w:szCs w:val="20"/>
                <w:color w:val="auto"/>
              </w:rPr>
            </w:pPr>
            <w:r>
              <w:rPr>
                <w:rFonts w:ascii="Arial" w:cs="Arial" w:eastAsia="Arial" w:hAnsi="Arial"/>
                <w:sz w:val="14"/>
                <w:szCs w:val="14"/>
                <w:color w:val="auto"/>
              </w:rPr>
              <w:t>Draw Loan</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tcPr>
          <w:p>
            <w:pPr>
              <w:jc w:val="right"/>
              <w:spacing w:after="0"/>
              <w:rPr>
                <w:sz w:val="20"/>
                <w:szCs w:val="20"/>
                <w:color w:val="auto"/>
              </w:rPr>
            </w:pPr>
            <w:r>
              <w:rPr>
                <w:rFonts w:ascii="Arial" w:cs="Arial" w:eastAsia="Arial" w:hAnsi="Arial"/>
                <w:sz w:val="14"/>
                <w:szCs w:val="14"/>
                <w:color w:val="auto"/>
              </w:rPr>
              <w:t>11/6/2020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197,083</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196,509</w:t>
            </w:r>
          </w:p>
        </w:tc>
        <w:tc>
          <w:tcPr>
            <w:tcW w:w="800" w:type="dxa"/>
            <w:vAlign w:val="bottom"/>
          </w:tcPr>
          <w:p>
            <w:pPr>
              <w:jc w:val="right"/>
              <w:spacing w:after="0"/>
              <w:rPr>
                <w:sz w:val="20"/>
                <w:szCs w:val="20"/>
                <w:color w:val="auto"/>
              </w:rPr>
            </w:pPr>
            <w:r>
              <w:rPr>
                <w:rFonts w:ascii="Arial" w:cs="Arial" w:eastAsia="Arial" w:hAnsi="Arial"/>
                <w:sz w:val="14"/>
                <w:szCs w:val="14"/>
                <w:color w:val="auto"/>
              </w:rPr>
              <w:t>197,822</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Garda World Security</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B Loan</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770,417</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768,226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773,306</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Gardner Denver, Inc.</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Initial Dollar Term</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High Tech Industries</w:t>
            </w:r>
          </w:p>
        </w:tc>
        <w:tc>
          <w:tcPr>
            <w:tcW w:w="1300" w:type="dxa"/>
            <w:vAlign w:val="bottom"/>
          </w:tcPr>
          <w:p>
            <w:pPr>
              <w:ind w:left="80"/>
              <w:spacing w:after="0"/>
              <w:rPr>
                <w:sz w:val="20"/>
                <w:szCs w:val="20"/>
                <w:color w:val="auto"/>
              </w:rPr>
            </w:pPr>
            <w:r>
              <w:rPr>
                <w:rFonts w:ascii="Arial" w:cs="Arial" w:eastAsia="Arial" w:hAnsi="Arial"/>
                <w:sz w:val="14"/>
                <w:szCs w:val="14"/>
                <w:color w:val="auto"/>
              </w:rPr>
              <w:t>Loan</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4.57%</w:t>
            </w:r>
          </w:p>
        </w:tc>
        <w:tc>
          <w:tcPr>
            <w:tcW w:w="800" w:type="dxa"/>
            <w:vAlign w:val="bottom"/>
          </w:tcPr>
          <w:p>
            <w:pPr>
              <w:jc w:val="right"/>
              <w:spacing w:after="0"/>
              <w:rPr>
                <w:sz w:val="20"/>
                <w:szCs w:val="20"/>
                <w:color w:val="auto"/>
              </w:rPr>
            </w:pPr>
            <w:r>
              <w:rPr>
                <w:rFonts w:ascii="Arial" w:cs="Arial" w:eastAsia="Arial" w:hAnsi="Arial"/>
                <w:sz w:val="14"/>
                <w:szCs w:val="14"/>
                <w:color w:val="auto"/>
              </w:rPr>
              <w:t>7/30/2020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2,426,061</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2,421,316</w:t>
            </w:r>
          </w:p>
        </w:tc>
        <w:tc>
          <w:tcPr>
            <w:tcW w:w="800" w:type="dxa"/>
            <w:vAlign w:val="bottom"/>
          </w:tcPr>
          <w:p>
            <w:pPr>
              <w:jc w:val="right"/>
              <w:spacing w:after="0"/>
              <w:rPr>
                <w:sz w:val="20"/>
                <w:szCs w:val="20"/>
                <w:color w:val="auto"/>
              </w:rPr>
            </w:pPr>
            <w:r>
              <w:rPr>
                <w:rFonts w:ascii="Arial" w:cs="Arial" w:eastAsia="Arial" w:hAnsi="Arial"/>
                <w:sz w:val="14"/>
                <w:szCs w:val="14"/>
                <w:color w:val="auto"/>
              </w:rPr>
              <w:t>2,420,263</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Gates Global LLC</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481,656</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476,839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481,478</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General Nutrition Centers,</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w w:val="93"/>
              </w:rPr>
              <w:t>Amended Tranche B</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Inc.</w:t>
            </w:r>
          </w:p>
        </w:tc>
        <w:tc>
          <w:tcPr>
            <w:tcW w:w="1780" w:type="dxa"/>
            <w:vAlign w:val="bottom"/>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3.29%</w:t>
            </w:r>
          </w:p>
        </w:tc>
        <w:tc>
          <w:tcPr>
            <w:tcW w:w="800" w:type="dxa"/>
            <w:vAlign w:val="bottom"/>
          </w:tcPr>
          <w:p>
            <w:pPr>
              <w:jc w:val="right"/>
              <w:spacing w:after="0"/>
              <w:rPr>
                <w:sz w:val="20"/>
                <w:szCs w:val="20"/>
                <w:color w:val="auto"/>
              </w:rPr>
            </w:pPr>
            <w:r>
              <w:rPr>
                <w:rFonts w:ascii="Arial" w:cs="Arial" w:eastAsia="Arial" w:hAnsi="Arial"/>
                <w:sz w:val="14"/>
                <w:szCs w:val="14"/>
                <w:color w:val="auto"/>
              </w:rPr>
              <w:t>3/4/2019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2,121,102</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2,117,573</w:t>
            </w:r>
          </w:p>
        </w:tc>
        <w:tc>
          <w:tcPr>
            <w:tcW w:w="800" w:type="dxa"/>
            <w:vAlign w:val="bottom"/>
          </w:tcPr>
          <w:p>
            <w:pPr>
              <w:jc w:val="right"/>
              <w:spacing w:after="0"/>
              <w:rPr>
                <w:sz w:val="20"/>
                <w:szCs w:val="20"/>
                <w:color w:val="auto"/>
              </w:rPr>
            </w:pPr>
            <w:r>
              <w:rPr>
                <w:rFonts w:ascii="Arial" w:cs="Arial" w:eastAsia="Arial" w:hAnsi="Arial"/>
                <w:sz w:val="14"/>
                <w:szCs w:val="14"/>
                <w:color w:val="auto"/>
              </w:rPr>
              <w:t>1,765,817</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GLOBALLOGIC</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9"/>
        </w:trPr>
        <w:tc>
          <w:tcPr>
            <w:tcW w:w="1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HOLDINGS INC TERM</w:t>
            </w:r>
          </w:p>
        </w:tc>
        <w:tc>
          <w:tcPr>
            <w:tcW w:w="17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LOAN B</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B</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495,133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501,250</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Global Tel*Link</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780" w:type="dxa"/>
            <w:vAlign w:val="bottom"/>
          </w:tcPr>
          <w:p>
            <w:pPr>
              <w:ind w:left="40"/>
              <w:spacing w:after="0"/>
              <w:rPr>
                <w:sz w:val="20"/>
                <w:szCs w:val="20"/>
                <w:color w:val="auto"/>
              </w:rPr>
            </w:pPr>
            <w:r>
              <w:rPr>
                <w:rFonts w:ascii="Arial" w:cs="Arial" w:eastAsia="Arial" w:hAnsi="Arial"/>
                <w:sz w:val="14"/>
                <w:szCs w:val="14"/>
                <w:color w:val="auto"/>
              </w:rPr>
              <w:t>Services: Business</w:t>
            </w:r>
          </w:p>
        </w:tc>
        <w:tc>
          <w:tcPr>
            <w:tcW w:w="1300" w:type="dxa"/>
            <w:vAlign w:val="bottom"/>
          </w:tcPr>
          <w:p>
            <w:pPr>
              <w:ind w:left="80"/>
              <w:spacing w:after="0"/>
              <w:rPr>
                <w:sz w:val="20"/>
                <w:szCs w:val="20"/>
                <w:color w:val="auto"/>
              </w:rPr>
            </w:pPr>
            <w:r>
              <w:rPr>
                <w:rFonts w:ascii="Arial" w:cs="Arial" w:eastAsia="Arial" w:hAnsi="Arial"/>
                <w:sz w:val="14"/>
                <w:szCs w:val="14"/>
                <w:color w:val="auto"/>
              </w:rPr>
              <w:t>Lien)</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tcPr>
          <w:p>
            <w:pPr>
              <w:jc w:val="right"/>
              <w:spacing w:after="0"/>
              <w:rPr>
                <w:sz w:val="20"/>
                <w:szCs w:val="20"/>
                <w:color w:val="auto"/>
              </w:rPr>
            </w:pPr>
            <w:r>
              <w:rPr>
                <w:rFonts w:ascii="Arial" w:cs="Arial" w:eastAsia="Arial" w:hAnsi="Arial"/>
                <w:sz w:val="14"/>
                <w:szCs w:val="14"/>
                <w:color w:val="auto"/>
              </w:rPr>
              <w:t>5/26/2020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2,667,633</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2,661,035</w:t>
            </w:r>
          </w:p>
        </w:tc>
        <w:tc>
          <w:tcPr>
            <w:tcW w:w="800" w:type="dxa"/>
            <w:vAlign w:val="bottom"/>
          </w:tcPr>
          <w:p>
            <w:pPr>
              <w:jc w:val="right"/>
              <w:spacing w:after="0"/>
              <w:rPr>
                <w:sz w:val="20"/>
                <w:szCs w:val="20"/>
                <w:color w:val="auto"/>
              </w:rPr>
            </w:pPr>
            <w:r>
              <w:rPr>
                <w:rFonts w:ascii="Arial" w:cs="Arial" w:eastAsia="Arial" w:hAnsi="Arial"/>
                <w:sz w:val="14"/>
                <w:szCs w:val="14"/>
                <w:color w:val="auto"/>
              </w:rPr>
              <w:t>2,654,962</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Goodyear Tire &amp; Rubber</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Company, The</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Chemicals/Plastics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8"/>
              </w:rPr>
              <w:t>Loan (Second Lien)</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4/30/2019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1,333,333</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1,320,613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1,333,747</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Grosvenor Capital</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1680" w:type="dxa"/>
            <w:vAlign w:val="bottom"/>
          </w:tcPr>
          <w:p>
            <w:pPr>
              <w:ind w:left="160"/>
              <w:spacing w:after="0" w:line="149" w:lineRule="exact"/>
              <w:rPr>
                <w:sz w:val="20"/>
                <w:szCs w:val="20"/>
                <w:color w:val="auto"/>
              </w:rPr>
            </w:pPr>
            <w:r>
              <w:rPr>
                <w:rFonts w:ascii="Arial" w:cs="Arial" w:eastAsia="Arial" w:hAnsi="Arial"/>
                <w:sz w:val="14"/>
                <w:szCs w:val="14"/>
                <w:color w:val="auto"/>
              </w:rPr>
              <w:t>Management Holdings,</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w w:val="99"/>
              </w:rPr>
              <w:t>Brokers/Dealers/Investment</w:t>
            </w:r>
          </w:p>
        </w:tc>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LP</w:t>
            </w:r>
          </w:p>
        </w:tc>
        <w:tc>
          <w:tcPr>
            <w:tcW w:w="1780" w:type="dxa"/>
            <w:vAlign w:val="bottom"/>
          </w:tcPr>
          <w:p>
            <w:pPr>
              <w:ind w:left="40"/>
              <w:spacing w:after="0"/>
              <w:rPr>
                <w:sz w:val="20"/>
                <w:szCs w:val="20"/>
                <w:color w:val="auto"/>
              </w:rPr>
            </w:pPr>
            <w:r>
              <w:rPr>
                <w:rFonts w:ascii="Arial" w:cs="Arial" w:eastAsia="Arial" w:hAnsi="Arial"/>
                <w:sz w:val="14"/>
                <w:szCs w:val="14"/>
                <w:color w:val="auto"/>
              </w:rPr>
              <w:t>Houses</w:t>
            </w:r>
          </w:p>
        </w:tc>
        <w:tc>
          <w:tcPr>
            <w:tcW w:w="1300" w:type="dxa"/>
            <w:vAlign w:val="bottom"/>
          </w:tcPr>
          <w:p>
            <w:pPr>
              <w:ind w:left="80"/>
              <w:spacing w:after="0"/>
              <w:rPr>
                <w:sz w:val="20"/>
                <w:szCs w:val="20"/>
                <w:color w:val="auto"/>
              </w:rPr>
            </w:pPr>
            <w:r>
              <w:rPr>
                <w:rFonts w:ascii="Arial" w:cs="Arial" w:eastAsia="Arial" w:hAnsi="Arial"/>
                <w:sz w:val="14"/>
                <w:szCs w:val="14"/>
                <w:color w:val="auto"/>
              </w:rPr>
              <w:t>Initial Term Loan</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tcPr>
          <w:p>
            <w:pPr>
              <w:jc w:val="right"/>
              <w:spacing w:after="0"/>
              <w:rPr>
                <w:sz w:val="20"/>
                <w:szCs w:val="20"/>
                <w:color w:val="auto"/>
              </w:rPr>
            </w:pPr>
            <w:r>
              <w:rPr>
                <w:rFonts w:ascii="Arial" w:cs="Arial" w:eastAsia="Arial" w:hAnsi="Arial"/>
                <w:sz w:val="14"/>
                <w:szCs w:val="14"/>
                <w:color w:val="auto"/>
              </w:rPr>
              <w:t>1/4/2021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1,014,560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1,011,573</w:t>
            </w:r>
          </w:p>
        </w:tc>
        <w:tc>
          <w:tcPr>
            <w:tcW w:w="800" w:type="dxa"/>
            <w:vAlign w:val="bottom"/>
          </w:tcPr>
          <w:p>
            <w:pPr>
              <w:jc w:val="right"/>
              <w:spacing w:after="0"/>
              <w:rPr>
                <w:sz w:val="20"/>
                <w:szCs w:val="20"/>
                <w:color w:val="auto"/>
              </w:rPr>
            </w:pPr>
            <w:r>
              <w:rPr>
                <w:rFonts w:ascii="Arial" w:cs="Arial" w:eastAsia="Arial" w:hAnsi="Arial"/>
                <w:sz w:val="14"/>
                <w:szCs w:val="14"/>
                <w:color w:val="auto"/>
              </w:rPr>
              <w:t>1,010,755</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GTCR Valor Companies,</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B</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6/16/2023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1,492,500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1,436,528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1,501,201</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Harland Clarke Holdings</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1680" w:type="dxa"/>
            <w:vAlign w:val="bottom"/>
          </w:tcPr>
          <w:p>
            <w:pPr>
              <w:ind w:left="160"/>
              <w:spacing w:after="0" w:line="149" w:lineRule="exact"/>
              <w:rPr>
                <w:sz w:val="20"/>
                <w:szCs w:val="20"/>
                <w:color w:val="auto"/>
              </w:rPr>
            </w:pPr>
            <w:r>
              <w:rPr>
                <w:rFonts w:ascii="Arial" w:cs="Arial" w:eastAsia="Arial" w:hAnsi="Arial"/>
                <w:sz w:val="14"/>
                <w:szCs w:val="14"/>
                <w:color w:val="auto"/>
              </w:rPr>
              <w:t>Corp. (fka Clarke</w:t>
            </w:r>
          </w:p>
        </w:tc>
        <w:tc>
          <w:tcPr>
            <w:tcW w:w="1780" w:type="dxa"/>
            <w:vAlign w:val="bottom"/>
          </w:tcPr>
          <w:p>
            <w:pPr>
              <w:spacing w:after="0"/>
              <w:rPr>
                <w:sz w:val="12"/>
                <w:szCs w:val="12"/>
                <w:color w:val="auto"/>
              </w:rPr>
            </w:pP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Tranche B-4 Term</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American Corp.)</w:t>
            </w:r>
          </w:p>
        </w:tc>
        <w:tc>
          <w:tcPr>
            <w:tcW w:w="1780" w:type="dxa"/>
            <w:vAlign w:val="bottom"/>
          </w:tcPr>
          <w:p>
            <w:pPr>
              <w:ind w:left="40"/>
              <w:spacing w:after="0"/>
              <w:rPr>
                <w:sz w:val="20"/>
                <w:szCs w:val="20"/>
                <w:color w:val="auto"/>
              </w:rPr>
            </w:pPr>
            <w:r>
              <w:rPr>
                <w:rFonts w:ascii="Arial" w:cs="Arial" w:eastAsia="Arial" w:hAnsi="Arial"/>
                <w:sz w:val="14"/>
                <w:szCs w:val="14"/>
                <w:color w:val="auto"/>
              </w:rPr>
              <w:t>Publishing</w:t>
            </w:r>
          </w:p>
        </w:tc>
        <w:tc>
          <w:tcPr>
            <w:tcW w:w="1300" w:type="dxa"/>
            <w:vAlign w:val="bottom"/>
          </w:tcPr>
          <w:p>
            <w:pPr>
              <w:ind w:left="80"/>
              <w:spacing w:after="0"/>
              <w:rPr>
                <w:sz w:val="20"/>
                <w:szCs w:val="20"/>
                <w:color w:val="auto"/>
              </w:rPr>
            </w:pPr>
            <w:r>
              <w:rPr>
                <w:rFonts w:ascii="Arial" w:cs="Arial" w:eastAsia="Arial" w:hAnsi="Arial"/>
                <w:sz w:val="14"/>
                <w:szCs w:val="14"/>
                <w:color w:val="auto"/>
              </w:rPr>
              <w:t>Loan</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6.50%</w:t>
            </w:r>
          </w:p>
        </w:tc>
        <w:tc>
          <w:tcPr>
            <w:tcW w:w="800" w:type="dxa"/>
            <w:vAlign w:val="bottom"/>
          </w:tcPr>
          <w:p>
            <w:pPr>
              <w:jc w:val="right"/>
              <w:spacing w:after="0"/>
              <w:rPr>
                <w:sz w:val="20"/>
                <w:szCs w:val="20"/>
                <w:color w:val="auto"/>
              </w:rPr>
            </w:pPr>
            <w:r>
              <w:rPr>
                <w:rFonts w:ascii="Arial" w:cs="Arial" w:eastAsia="Arial" w:hAnsi="Arial"/>
                <w:sz w:val="14"/>
                <w:szCs w:val="14"/>
                <w:color w:val="auto"/>
              </w:rPr>
              <w:t>2/9/2022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2,176,889</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2,117,378</w:t>
            </w:r>
          </w:p>
        </w:tc>
        <w:tc>
          <w:tcPr>
            <w:tcW w:w="800" w:type="dxa"/>
            <w:vAlign w:val="bottom"/>
          </w:tcPr>
          <w:p>
            <w:pPr>
              <w:jc w:val="right"/>
              <w:spacing w:after="0"/>
              <w:rPr>
                <w:sz w:val="20"/>
                <w:szCs w:val="20"/>
                <w:color w:val="auto"/>
              </w:rPr>
            </w:pPr>
            <w:r>
              <w:rPr>
                <w:rFonts w:ascii="Arial" w:cs="Arial" w:eastAsia="Arial" w:hAnsi="Arial"/>
                <w:sz w:val="14"/>
                <w:szCs w:val="14"/>
                <w:color w:val="auto"/>
              </w:rPr>
              <w:t>2,190,495</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Headwaters Incorporated</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Building &amp; Development</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242,058</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241,141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242,784</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Help/Systems Holdings,</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Inc.</w:t>
            </w:r>
          </w:p>
        </w:tc>
        <w:tc>
          <w:tcPr>
            <w:tcW w:w="1780" w:type="dxa"/>
            <w:vAlign w:val="bottom"/>
          </w:tcPr>
          <w:p>
            <w:pPr>
              <w:ind w:left="40"/>
              <w:spacing w:after="0"/>
              <w:rPr>
                <w:sz w:val="20"/>
                <w:szCs w:val="20"/>
                <w:color w:val="auto"/>
              </w:rPr>
            </w:pPr>
            <w:r>
              <w:rPr>
                <w:rFonts w:ascii="Arial" w:cs="Arial" w:eastAsia="Arial" w:hAnsi="Arial"/>
                <w:sz w:val="14"/>
                <w:szCs w:val="14"/>
                <w:color w:val="auto"/>
              </w:rPr>
              <w:t>High Tech Industries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6.25%</w:t>
            </w:r>
          </w:p>
        </w:tc>
        <w:tc>
          <w:tcPr>
            <w:tcW w:w="800" w:type="dxa"/>
            <w:vAlign w:val="bottom"/>
          </w:tcPr>
          <w:p>
            <w:pPr>
              <w:jc w:val="right"/>
              <w:spacing w:after="0"/>
              <w:rPr>
                <w:sz w:val="20"/>
                <w:szCs w:val="20"/>
                <w:color w:val="auto"/>
              </w:rPr>
            </w:pPr>
            <w:r>
              <w:rPr>
                <w:rFonts w:ascii="Arial" w:cs="Arial" w:eastAsia="Arial" w:hAnsi="Arial"/>
                <w:sz w:val="14"/>
                <w:szCs w:val="14"/>
                <w:color w:val="auto"/>
              </w:rPr>
              <w:t>10/8/2021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1,485,000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1,433,886</w:t>
            </w:r>
          </w:p>
        </w:tc>
        <w:tc>
          <w:tcPr>
            <w:tcW w:w="800" w:type="dxa"/>
            <w:vAlign w:val="bottom"/>
          </w:tcPr>
          <w:p>
            <w:pPr>
              <w:jc w:val="right"/>
              <w:spacing w:after="0"/>
              <w:rPr>
                <w:sz w:val="20"/>
                <w:szCs w:val="20"/>
                <w:color w:val="auto"/>
              </w:rPr>
            </w:pPr>
            <w:r>
              <w:rPr>
                <w:rFonts w:ascii="Arial" w:cs="Arial" w:eastAsia="Arial" w:hAnsi="Arial"/>
                <w:sz w:val="14"/>
                <w:szCs w:val="14"/>
                <w:color w:val="auto"/>
              </w:rPr>
              <w:t>1,485,000</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Hemisphere Media</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Holdings, LLC</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Media</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B</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2/14/2024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2,500,000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2,512,500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2,493,750</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Herbalife T/L B (HLF</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Financing)</w:t>
            </w:r>
          </w:p>
        </w:tc>
        <w:tc>
          <w:tcPr>
            <w:tcW w:w="1780" w:type="dxa"/>
            <w:vAlign w:val="bottom"/>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 B</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6.28%</w:t>
            </w:r>
          </w:p>
        </w:tc>
        <w:tc>
          <w:tcPr>
            <w:tcW w:w="800" w:type="dxa"/>
            <w:vAlign w:val="bottom"/>
          </w:tcPr>
          <w:p>
            <w:pPr>
              <w:jc w:val="right"/>
              <w:spacing w:after="0"/>
              <w:rPr>
                <w:sz w:val="20"/>
                <w:szCs w:val="20"/>
                <w:color w:val="auto"/>
              </w:rPr>
            </w:pPr>
            <w:r>
              <w:rPr>
                <w:rFonts w:ascii="Arial" w:cs="Arial" w:eastAsia="Arial" w:hAnsi="Arial"/>
                <w:sz w:val="14"/>
                <w:szCs w:val="14"/>
                <w:color w:val="auto"/>
              </w:rPr>
              <w:t>2/15/2023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2,000,000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1,985,000</w:t>
            </w:r>
          </w:p>
        </w:tc>
        <w:tc>
          <w:tcPr>
            <w:tcW w:w="800" w:type="dxa"/>
            <w:vAlign w:val="bottom"/>
          </w:tcPr>
          <w:p>
            <w:pPr>
              <w:jc w:val="right"/>
              <w:spacing w:after="0"/>
              <w:rPr>
                <w:sz w:val="20"/>
                <w:szCs w:val="20"/>
                <w:color w:val="auto"/>
              </w:rPr>
            </w:pPr>
            <w:r>
              <w:rPr>
                <w:rFonts w:ascii="Arial" w:cs="Arial" w:eastAsia="Arial" w:hAnsi="Arial"/>
                <w:sz w:val="14"/>
                <w:szCs w:val="14"/>
                <w:color w:val="auto"/>
              </w:rPr>
              <w:t>2,001,660</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Hercules Achievement</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Holdings, Inc.</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B</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246,851</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244,820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250,431</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Hoffmaster Group, Inc.</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Containers/Glass Products</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4.50%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5.50%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11/21/2023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6"/>
              </w:rPr>
              <w:t>1,000,000</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1,003,734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1,013,750</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Hostess Brand, LLC</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B (First</w:t>
            </w: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Beverage, Food &amp; Tobacco</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1,490,000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1,486,482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1,507,508</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Huntsman International</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Term Loan B (First</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82"/>
        </w:trPr>
        <w:tc>
          <w:tcPr>
            <w:tcW w:w="1680" w:type="dxa"/>
            <w:vAlign w:val="bottom"/>
          </w:tcPr>
          <w:p>
            <w:pPr>
              <w:ind w:left="160"/>
              <w:spacing w:after="0"/>
              <w:rPr>
                <w:sz w:val="20"/>
                <w:szCs w:val="20"/>
                <w:color w:val="auto"/>
              </w:rPr>
            </w:pPr>
            <w:r>
              <w:rPr>
                <w:rFonts w:ascii="Arial" w:cs="Arial" w:eastAsia="Arial" w:hAnsi="Arial"/>
                <w:sz w:val="14"/>
                <w:szCs w:val="14"/>
                <w:color w:val="auto"/>
              </w:rPr>
              <w:t>LLC</w:t>
            </w:r>
          </w:p>
        </w:tc>
        <w:tc>
          <w:tcPr>
            <w:tcW w:w="1780" w:type="dxa"/>
            <w:vAlign w:val="bottom"/>
          </w:tcPr>
          <w:p>
            <w:pPr>
              <w:ind w:left="40"/>
              <w:spacing w:after="0"/>
              <w:rPr>
                <w:sz w:val="20"/>
                <w:szCs w:val="20"/>
                <w:color w:val="auto"/>
              </w:rPr>
            </w:pPr>
            <w:r>
              <w:rPr>
                <w:rFonts w:ascii="Arial" w:cs="Arial" w:eastAsia="Arial" w:hAnsi="Arial"/>
                <w:sz w:val="14"/>
                <w:szCs w:val="14"/>
                <w:color w:val="auto"/>
              </w:rPr>
              <w:t>Chemicals/Plastics</w:t>
            </w:r>
          </w:p>
        </w:tc>
        <w:tc>
          <w:tcPr>
            <w:tcW w:w="1300" w:type="dxa"/>
            <w:vAlign w:val="bottom"/>
          </w:tcPr>
          <w:p>
            <w:pPr>
              <w:ind w:left="80"/>
              <w:spacing w:after="0"/>
              <w:rPr>
                <w:sz w:val="20"/>
                <w:szCs w:val="20"/>
                <w:color w:val="auto"/>
              </w:rPr>
            </w:pPr>
            <w:r>
              <w:rPr>
                <w:rFonts w:ascii="Arial" w:cs="Arial" w:eastAsia="Arial" w:hAnsi="Arial"/>
                <w:sz w:val="14"/>
                <w:szCs w:val="14"/>
                <w:color w:val="auto"/>
              </w:rPr>
              <w:t>Lien)</w:t>
            </w:r>
          </w:p>
        </w:tc>
        <w:tc>
          <w:tcPr>
            <w:tcW w:w="480" w:type="dxa"/>
            <w:vAlign w:val="bottom"/>
          </w:tcPr>
          <w:p>
            <w:pPr>
              <w:ind w:left="4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3.78%</w:t>
            </w:r>
          </w:p>
        </w:tc>
        <w:tc>
          <w:tcPr>
            <w:tcW w:w="800" w:type="dxa"/>
            <w:vAlign w:val="bottom"/>
          </w:tcPr>
          <w:p>
            <w:pPr>
              <w:jc w:val="right"/>
              <w:spacing w:after="0"/>
              <w:rPr>
                <w:sz w:val="20"/>
                <w:szCs w:val="20"/>
                <w:color w:val="auto"/>
              </w:rPr>
            </w:pPr>
            <w:r>
              <w:rPr>
                <w:rFonts w:ascii="Arial" w:cs="Arial" w:eastAsia="Arial" w:hAnsi="Arial"/>
                <w:sz w:val="14"/>
                <w:szCs w:val="14"/>
                <w:color w:val="auto"/>
              </w:rPr>
              <w:t>4/19/2019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1,518,031</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1,510,811</w:t>
            </w:r>
          </w:p>
        </w:tc>
        <w:tc>
          <w:tcPr>
            <w:tcW w:w="800" w:type="dxa"/>
            <w:vAlign w:val="bottom"/>
          </w:tcPr>
          <w:p>
            <w:pPr>
              <w:jc w:val="right"/>
              <w:spacing w:after="0"/>
              <w:rPr>
                <w:sz w:val="20"/>
                <w:szCs w:val="20"/>
                <w:color w:val="auto"/>
              </w:rPr>
            </w:pPr>
            <w:r>
              <w:rPr>
                <w:rFonts w:ascii="Arial" w:cs="Arial" w:eastAsia="Arial" w:hAnsi="Arial"/>
                <w:sz w:val="14"/>
                <w:szCs w:val="14"/>
                <w:color w:val="auto"/>
              </w:rPr>
              <w:t>1,525,150</w:t>
            </w:r>
          </w:p>
        </w:tc>
      </w:tr>
    </w:tbl>
    <w:p>
      <w:pPr>
        <w:sectPr>
          <w:pgSz w:w="11900" w:h="16838" w:orient="portrait"/>
          <w:cols w:equalWidth="0" w:num="1">
            <w:col w:w="11420"/>
          </w:cols>
          <w:pgMar w:left="240" w:top="108" w:right="239" w:bottom="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shd w:val="clear" w:color="auto" w:fill="CCEEFF"/>
          </w:tcPr>
          <w:p>
            <w:pPr>
              <w:spacing w:after="0"/>
              <w:rPr>
                <w:sz w:val="20"/>
                <w:szCs w:val="20"/>
                <w:color w:val="auto"/>
              </w:rPr>
            </w:pPr>
            <w:r>
              <w:rPr>
                <w:rFonts w:ascii="Arial" w:cs="Arial" w:eastAsia="Arial" w:hAnsi="Arial"/>
                <w:sz w:val="14"/>
                <w:szCs w:val="14"/>
                <w:color w:val="auto"/>
              </w:rPr>
              <w:t>Husky Injection Molding</w:t>
            </w:r>
          </w:p>
        </w:tc>
        <w:tc>
          <w:tcPr>
            <w:tcW w:w="17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Systems Ltd.</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469,398</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467,182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472,158</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Hyperion Refinance T/L</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w w:val="96"/>
              </w:rPr>
              <w:t>Banking, Finance, Insurance</w:t>
            </w: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&amp; Real Estate</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tcPr>
          <w:p>
            <w:pPr>
              <w:jc w:val="right"/>
              <w:spacing w:after="0"/>
              <w:rPr>
                <w:sz w:val="20"/>
                <w:szCs w:val="20"/>
                <w:color w:val="auto"/>
              </w:rPr>
            </w:pPr>
            <w:r>
              <w:rPr>
                <w:rFonts w:ascii="Arial" w:cs="Arial" w:eastAsia="Arial" w:hAnsi="Arial"/>
                <w:sz w:val="14"/>
                <w:szCs w:val="14"/>
                <w:color w:val="auto"/>
              </w:rPr>
              <w:t>4/29/2022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1,994,924</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1,971,849</w:t>
            </w:r>
          </w:p>
        </w:tc>
        <w:tc>
          <w:tcPr>
            <w:tcW w:w="800" w:type="dxa"/>
            <w:vAlign w:val="bottom"/>
          </w:tcPr>
          <w:p>
            <w:pPr>
              <w:jc w:val="right"/>
              <w:spacing w:after="0"/>
              <w:rPr>
                <w:sz w:val="20"/>
                <w:szCs w:val="20"/>
                <w:color w:val="auto"/>
              </w:rPr>
            </w:pPr>
            <w:r>
              <w:rPr>
                <w:rFonts w:ascii="Arial" w:cs="Arial" w:eastAsia="Arial" w:hAnsi="Arial"/>
                <w:sz w:val="14"/>
                <w:szCs w:val="14"/>
                <w:color w:val="auto"/>
              </w:rPr>
              <w:t>1,998,675</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Imagine! Print Solutions,</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Media</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496,250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489,837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499,972</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Infor US (Lawson) T/L B-6</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 B-6</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2.75%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6"/>
              </w:rPr>
              <w:t>1,609,802</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1,595,316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1,610,945</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Informatica Corporation</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493,750</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492,732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490,664</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Insight Global</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10/29/2021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6"/>
              </w:rPr>
              <w:t>3,450,126</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3,434,977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3,471,690</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ION Media T/L B</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Media</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500,000</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497,615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506,875</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J. Crew Group, Inc.</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Term B-1 Loan</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tcPr>
          <w:p>
            <w:pPr>
              <w:ind w:left="80"/>
              <w:spacing w:after="0"/>
              <w:rPr>
                <w:sz w:val="20"/>
                <w:szCs w:val="20"/>
                <w:color w:val="auto"/>
              </w:rPr>
            </w:pPr>
            <w:r>
              <w:rPr>
                <w:rFonts w:ascii="Arial" w:cs="Arial" w:eastAsia="Arial" w:hAnsi="Arial"/>
                <w:sz w:val="14"/>
                <w:szCs w:val="14"/>
                <w:color w:val="auto"/>
              </w:rPr>
              <w:t>Retired 03/05/2014</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tcPr>
          <w:p>
            <w:pPr>
              <w:jc w:val="right"/>
              <w:spacing w:after="0"/>
              <w:rPr>
                <w:sz w:val="20"/>
                <w:szCs w:val="20"/>
                <w:color w:val="auto"/>
              </w:rPr>
            </w:pPr>
            <w:r>
              <w:rPr>
                <w:rFonts w:ascii="Arial" w:cs="Arial" w:eastAsia="Arial" w:hAnsi="Arial"/>
                <w:sz w:val="14"/>
                <w:szCs w:val="14"/>
                <w:color w:val="auto"/>
              </w:rPr>
              <w:t>3/5/2021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945,756</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945,756</w:t>
            </w:r>
          </w:p>
        </w:tc>
        <w:tc>
          <w:tcPr>
            <w:tcW w:w="800" w:type="dxa"/>
            <w:vAlign w:val="bottom"/>
          </w:tcPr>
          <w:p>
            <w:pPr>
              <w:jc w:val="right"/>
              <w:spacing w:after="0"/>
              <w:rPr>
                <w:sz w:val="20"/>
                <w:szCs w:val="20"/>
                <w:color w:val="auto"/>
              </w:rPr>
            </w:pPr>
            <w:r>
              <w:rPr>
                <w:rFonts w:ascii="Arial" w:cs="Arial" w:eastAsia="Arial" w:hAnsi="Arial"/>
                <w:sz w:val="14"/>
                <w:szCs w:val="14"/>
                <w:color w:val="auto"/>
              </w:rPr>
              <w:t>540,660</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Jazz Acquisition, Inc</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Aerospace and Defense</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First Lien 6/14</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487,879</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487,106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471,208</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J.Jill Group, Inc.</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tcPr>
          <w:p>
            <w:pPr>
              <w:ind w:left="80"/>
              <w:spacing w:after="0"/>
              <w:rPr>
                <w:sz w:val="20"/>
                <w:szCs w:val="20"/>
                <w:color w:val="auto"/>
              </w:rPr>
            </w:pPr>
            <w:r>
              <w:rPr>
                <w:rFonts w:ascii="Arial" w:cs="Arial" w:eastAsia="Arial" w:hAnsi="Arial"/>
                <w:sz w:val="14"/>
                <w:szCs w:val="14"/>
                <w:color w:val="auto"/>
              </w:rPr>
              <w:t>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6.04%</w:t>
            </w:r>
          </w:p>
        </w:tc>
        <w:tc>
          <w:tcPr>
            <w:tcW w:w="800" w:type="dxa"/>
            <w:vAlign w:val="bottom"/>
          </w:tcPr>
          <w:p>
            <w:pPr>
              <w:jc w:val="right"/>
              <w:spacing w:after="0"/>
              <w:rPr>
                <w:sz w:val="20"/>
                <w:szCs w:val="20"/>
                <w:color w:val="auto"/>
              </w:rPr>
            </w:pPr>
            <w:r>
              <w:rPr>
                <w:rFonts w:ascii="Arial" w:cs="Arial" w:eastAsia="Arial" w:hAnsi="Arial"/>
                <w:sz w:val="14"/>
                <w:szCs w:val="14"/>
                <w:color w:val="auto"/>
              </w:rPr>
              <w:t>5/9/2022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950,648</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946,877</w:t>
            </w:r>
          </w:p>
        </w:tc>
        <w:tc>
          <w:tcPr>
            <w:tcW w:w="800" w:type="dxa"/>
            <w:vAlign w:val="bottom"/>
          </w:tcPr>
          <w:p>
            <w:pPr>
              <w:jc w:val="right"/>
              <w:spacing w:after="0"/>
              <w:rPr>
                <w:sz w:val="20"/>
                <w:szCs w:val="20"/>
                <w:color w:val="auto"/>
              </w:rPr>
            </w:pPr>
            <w:r>
              <w:rPr>
                <w:rFonts w:ascii="Arial" w:cs="Arial" w:eastAsia="Arial" w:hAnsi="Arial"/>
                <w:sz w:val="14"/>
                <w:szCs w:val="14"/>
                <w:color w:val="auto"/>
              </w:rPr>
              <w:t>935,200</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Kinetic Concepts, Inc.</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Pharmaceuticals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F-1</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2/2/2024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2,400,000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2,388,246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2,399,496</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Koosharem, LLC</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6.50%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7.50%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5/15/2020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6"/>
              </w:rPr>
              <w:t>2,935,100</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2,917,778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2,730,259</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Kraton Polymers, LLC</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(Initial)</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6"/>
              </w:rPr>
              <w:t>2,500,000</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2,286,776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2,533,825</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Lannett Company T/L A</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Pharmaceuticals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 A</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5.75%</w:t>
            </w:r>
          </w:p>
        </w:tc>
        <w:tc>
          <w:tcPr>
            <w:tcW w:w="800" w:type="dxa"/>
            <w:vAlign w:val="bottom"/>
          </w:tcPr>
          <w:p>
            <w:pPr>
              <w:jc w:val="right"/>
              <w:spacing w:after="0"/>
              <w:rPr>
                <w:sz w:val="20"/>
                <w:szCs w:val="20"/>
                <w:color w:val="auto"/>
              </w:rPr>
            </w:pPr>
            <w:r>
              <w:rPr>
                <w:rFonts w:ascii="Arial" w:cs="Arial" w:eastAsia="Arial" w:hAnsi="Arial"/>
                <w:sz w:val="14"/>
                <w:szCs w:val="14"/>
                <w:color w:val="auto"/>
              </w:rPr>
              <w:t>11/25/2020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1,000,000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970,576</w:t>
            </w:r>
          </w:p>
        </w:tc>
        <w:tc>
          <w:tcPr>
            <w:tcW w:w="800" w:type="dxa"/>
            <w:vAlign w:val="bottom"/>
          </w:tcPr>
          <w:p>
            <w:pPr>
              <w:jc w:val="right"/>
              <w:spacing w:after="0"/>
              <w:rPr>
                <w:sz w:val="20"/>
                <w:szCs w:val="20"/>
                <w:color w:val="auto"/>
              </w:rPr>
            </w:pPr>
            <w:r>
              <w:rPr>
                <w:rFonts w:ascii="Arial" w:cs="Arial" w:eastAsia="Arial" w:hAnsi="Arial"/>
                <w:sz w:val="14"/>
                <w:szCs w:val="14"/>
                <w:color w:val="auto"/>
              </w:rPr>
              <w:t>985,000</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Lannett Company, Inc.</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Pharmaceuticals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5.38%</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1,900,000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1,842,852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1,885,750</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LEARFIELD</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1680" w:type="dxa"/>
            <w:vAlign w:val="bottom"/>
          </w:tcPr>
          <w:p>
            <w:pPr>
              <w:ind w:left="160"/>
              <w:spacing w:after="0" w:line="149" w:lineRule="exact"/>
              <w:rPr>
                <w:sz w:val="20"/>
                <w:szCs w:val="20"/>
                <w:color w:val="auto"/>
              </w:rPr>
            </w:pPr>
            <w:r>
              <w:rPr>
                <w:rFonts w:ascii="Arial" w:cs="Arial" w:eastAsia="Arial" w:hAnsi="Arial"/>
                <w:sz w:val="14"/>
                <w:szCs w:val="14"/>
                <w:color w:val="auto"/>
              </w:rPr>
              <w:t>COMMUNICATIONS</w:t>
            </w:r>
          </w:p>
        </w:tc>
        <w:tc>
          <w:tcPr>
            <w:tcW w:w="1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680" w:type="dxa"/>
            <w:vAlign w:val="bottom"/>
          </w:tcPr>
          <w:p>
            <w:pPr>
              <w:ind w:left="160"/>
              <w:spacing w:after="0" w:line="149" w:lineRule="exact"/>
              <w:rPr>
                <w:sz w:val="20"/>
                <w:szCs w:val="20"/>
                <w:color w:val="auto"/>
              </w:rPr>
            </w:pPr>
            <w:r>
              <w:rPr>
                <w:rFonts w:ascii="Arial" w:cs="Arial" w:eastAsia="Arial" w:hAnsi="Arial"/>
                <w:sz w:val="14"/>
                <w:szCs w:val="14"/>
                <w:color w:val="auto"/>
              </w:rPr>
              <w:t>INITIAL T/L (A-L</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Healthcare &amp;</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Initial Term Loan</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PARENT)</w:t>
            </w:r>
          </w:p>
        </w:tc>
        <w:tc>
          <w:tcPr>
            <w:tcW w:w="1780" w:type="dxa"/>
            <w:vAlign w:val="bottom"/>
          </w:tcPr>
          <w:p>
            <w:pPr>
              <w:ind w:left="40"/>
              <w:spacing w:after="0"/>
              <w:rPr>
                <w:sz w:val="20"/>
                <w:szCs w:val="20"/>
                <w:color w:val="auto"/>
              </w:rPr>
            </w:pPr>
            <w:r>
              <w:rPr>
                <w:rFonts w:ascii="Arial" w:cs="Arial" w:eastAsia="Arial" w:hAnsi="Arial"/>
                <w:sz w:val="14"/>
                <w:szCs w:val="14"/>
                <w:color w:val="auto"/>
              </w:rPr>
              <w:t>Pharmaceuticals</w:t>
            </w:r>
          </w:p>
        </w:tc>
        <w:tc>
          <w:tcPr>
            <w:tcW w:w="1300" w:type="dxa"/>
            <w:vAlign w:val="bottom"/>
          </w:tcPr>
          <w:p>
            <w:pPr>
              <w:ind w:left="80"/>
              <w:spacing w:after="0"/>
              <w:rPr>
                <w:sz w:val="20"/>
                <w:szCs w:val="20"/>
                <w:color w:val="auto"/>
              </w:rPr>
            </w:pPr>
            <w:r>
              <w:rPr>
                <w:rFonts w:ascii="Arial" w:cs="Arial" w:eastAsia="Arial" w:hAnsi="Arial"/>
                <w:sz w:val="14"/>
                <w:szCs w:val="14"/>
                <w:color w:val="auto"/>
              </w:rPr>
              <w:t>(A-L Parent)</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tcPr>
          <w:p>
            <w:pPr>
              <w:jc w:val="right"/>
              <w:spacing w:after="0"/>
              <w:rPr>
                <w:sz w:val="20"/>
                <w:szCs w:val="20"/>
                <w:color w:val="auto"/>
              </w:rPr>
            </w:pPr>
            <w:r>
              <w:rPr>
                <w:rFonts w:ascii="Arial" w:cs="Arial" w:eastAsia="Arial" w:hAnsi="Arial"/>
                <w:sz w:val="14"/>
                <w:szCs w:val="14"/>
                <w:color w:val="auto"/>
              </w:rPr>
              <w:t>12/1/2023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500,000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497,713</w:t>
            </w:r>
          </w:p>
        </w:tc>
        <w:tc>
          <w:tcPr>
            <w:tcW w:w="800" w:type="dxa"/>
            <w:vAlign w:val="bottom"/>
          </w:tcPr>
          <w:p>
            <w:pPr>
              <w:jc w:val="right"/>
              <w:spacing w:after="0"/>
              <w:rPr>
                <w:sz w:val="20"/>
                <w:szCs w:val="20"/>
                <w:color w:val="auto"/>
              </w:rPr>
            </w:pPr>
            <w:r>
              <w:rPr>
                <w:rFonts w:ascii="Arial" w:cs="Arial" w:eastAsia="Arial" w:hAnsi="Arial"/>
                <w:sz w:val="14"/>
                <w:szCs w:val="14"/>
                <w:color w:val="auto"/>
              </w:rPr>
              <w:t>505,625</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Lightstone Generation T/L</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Utilities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1/30/2024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913,043</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894,897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925,981</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Lightstone Generation T/L</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C</w:t>
            </w:r>
          </w:p>
        </w:tc>
        <w:tc>
          <w:tcPr>
            <w:tcW w:w="1780" w:type="dxa"/>
            <w:vAlign w:val="bottom"/>
          </w:tcPr>
          <w:p>
            <w:pPr>
              <w:ind w:left="40"/>
              <w:spacing w:after="0"/>
              <w:rPr>
                <w:sz w:val="20"/>
                <w:szCs w:val="20"/>
                <w:color w:val="auto"/>
              </w:rPr>
            </w:pPr>
            <w:r>
              <w:rPr>
                <w:rFonts w:ascii="Arial" w:cs="Arial" w:eastAsia="Arial" w:hAnsi="Arial"/>
                <w:sz w:val="14"/>
                <w:szCs w:val="14"/>
                <w:color w:val="auto"/>
              </w:rPr>
              <w:t>Utilities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 C</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6.54%</w:t>
            </w:r>
          </w:p>
        </w:tc>
        <w:tc>
          <w:tcPr>
            <w:tcW w:w="800" w:type="dxa"/>
            <w:vAlign w:val="bottom"/>
          </w:tcPr>
          <w:p>
            <w:pPr>
              <w:jc w:val="right"/>
              <w:spacing w:after="0"/>
              <w:rPr>
                <w:sz w:val="20"/>
                <w:szCs w:val="20"/>
                <w:color w:val="auto"/>
              </w:rPr>
            </w:pPr>
            <w:r>
              <w:rPr>
                <w:rFonts w:ascii="Arial" w:cs="Arial" w:eastAsia="Arial" w:hAnsi="Arial"/>
                <w:sz w:val="14"/>
                <w:szCs w:val="14"/>
                <w:color w:val="auto"/>
              </w:rPr>
              <w:t>1/30/2024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86,957</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85,236</w:t>
            </w:r>
          </w:p>
        </w:tc>
        <w:tc>
          <w:tcPr>
            <w:tcW w:w="800" w:type="dxa"/>
            <w:vAlign w:val="bottom"/>
          </w:tcPr>
          <w:p>
            <w:pPr>
              <w:jc w:val="right"/>
              <w:spacing w:after="0"/>
              <w:rPr>
                <w:sz w:val="20"/>
                <w:szCs w:val="20"/>
                <w:color w:val="auto"/>
              </w:rPr>
            </w:pPr>
            <w:r>
              <w:rPr>
                <w:rFonts w:ascii="Arial" w:cs="Arial" w:eastAsia="Arial" w:hAnsi="Arial"/>
                <w:sz w:val="14"/>
                <w:szCs w:val="14"/>
                <w:color w:val="auto"/>
              </w:rPr>
              <w:t>88,189</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Limetree Bay Terminals</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T/L (01/17)</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&amp; Gas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2/15/2024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495,000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503,125</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LPL Holdings</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w w:val="96"/>
              </w:rPr>
              <w:t>Banking, Finance, Insurance</w:t>
            </w: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&amp; Real Estate</w:t>
            </w:r>
          </w:p>
        </w:tc>
        <w:tc>
          <w:tcPr>
            <w:tcW w:w="1300" w:type="dxa"/>
            <w:vAlign w:val="bottom"/>
          </w:tcPr>
          <w:p>
            <w:pPr>
              <w:ind w:left="80"/>
              <w:spacing w:after="0"/>
              <w:rPr>
                <w:sz w:val="20"/>
                <w:szCs w:val="20"/>
                <w:color w:val="auto"/>
              </w:rPr>
            </w:pPr>
            <w:r>
              <w:rPr>
                <w:rFonts w:ascii="Arial" w:cs="Arial" w:eastAsia="Arial" w:hAnsi="Arial"/>
                <w:sz w:val="14"/>
                <w:szCs w:val="14"/>
                <w:color w:val="auto"/>
                <w:w w:val="95"/>
              </w:rPr>
              <w:t>Term Loan B (2022)</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4.78%</w:t>
            </w:r>
          </w:p>
        </w:tc>
        <w:tc>
          <w:tcPr>
            <w:tcW w:w="800" w:type="dxa"/>
            <w:vAlign w:val="bottom"/>
          </w:tcPr>
          <w:p>
            <w:pPr>
              <w:jc w:val="right"/>
              <w:spacing w:after="0"/>
              <w:rPr>
                <w:sz w:val="20"/>
                <w:szCs w:val="20"/>
                <w:color w:val="auto"/>
              </w:rPr>
            </w:pPr>
            <w:r>
              <w:rPr>
                <w:rFonts w:ascii="Arial" w:cs="Arial" w:eastAsia="Arial" w:hAnsi="Arial"/>
                <w:sz w:val="14"/>
                <w:szCs w:val="14"/>
                <w:color w:val="auto"/>
              </w:rPr>
              <w:t>11/21/2022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1,980,000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1,963,355</w:t>
            </w:r>
          </w:p>
        </w:tc>
        <w:tc>
          <w:tcPr>
            <w:tcW w:w="800" w:type="dxa"/>
            <w:vAlign w:val="bottom"/>
          </w:tcPr>
          <w:p>
            <w:pPr>
              <w:jc w:val="right"/>
              <w:spacing w:after="0"/>
              <w:rPr>
                <w:sz w:val="20"/>
                <w:szCs w:val="20"/>
                <w:color w:val="auto"/>
              </w:rPr>
            </w:pPr>
            <w:r>
              <w:rPr>
                <w:rFonts w:ascii="Arial" w:cs="Arial" w:eastAsia="Arial" w:hAnsi="Arial"/>
                <w:sz w:val="14"/>
                <w:szCs w:val="14"/>
                <w:color w:val="auto"/>
              </w:rPr>
              <w:t>2,007,225</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Mauser Holdings, Inc.</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Containers/Glass Products</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488,750</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487,123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488,647</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McGraw-Hill Global</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w w:val="97"/>
              </w:rPr>
              <w:t>Education Holdings, LLC</w:t>
            </w:r>
          </w:p>
        </w:tc>
        <w:tc>
          <w:tcPr>
            <w:tcW w:w="1780" w:type="dxa"/>
            <w:vAlign w:val="bottom"/>
          </w:tcPr>
          <w:p>
            <w:pPr>
              <w:ind w:left="40"/>
              <w:spacing w:after="0"/>
              <w:rPr>
                <w:sz w:val="20"/>
                <w:szCs w:val="20"/>
                <w:color w:val="auto"/>
              </w:rPr>
            </w:pPr>
            <w:r>
              <w:rPr>
                <w:rFonts w:ascii="Arial" w:cs="Arial" w:eastAsia="Arial" w:hAnsi="Arial"/>
                <w:sz w:val="14"/>
                <w:szCs w:val="14"/>
                <w:color w:val="auto"/>
              </w:rPr>
              <w:t>Publishing</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tcPr>
          <w:p>
            <w:pPr>
              <w:jc w:val="right"/>
              <w:spacing w:after="0"/>
              <w:rPr>
                <w:sz w:val="20"/>
                <w:szCs w:val="20"/>
                <w:color w:val="auto"/>
              </w:rPr>
            </w:pPr>
            <w:r>
              <w:rPr>
                <w:rFonts w:ascii="Arial" w:cs="Arial" w:eastAsia="Arial" w:hAnsi="Arial"/>
                <w:sz w:val="14"/>
                <w:szCs w:val="14"/>
                <w:color w:val="auto"/>
              </w:rPr>
              <w:t>5/4/2022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995,000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990,840</w:t>
            </w:r>
          </w:p>
        </w:tc>
        <w:tc>
          <w:tcPr>
            <w:tcW w:w="800" w:type="dxa"/>
            <w:vAlign w:val="bottom"/>
          </w:tcPr>
          <w:p>
            <w:pPr>
              <w:jc w:val="right"/>
              <w:spacing w:after="0"/>
              <w:rPr>
                <w:sz w:val="20"/>
                <w:szCs w:val="20"/>
                <w:color w:val="auto"/>
              </w:rPr>
            </w:pPr>
            <w:r>
              <w:rPr>
                <w:rFonts w:ascii="Arial" w:cs="Arial" w:eastAsia="Arial" w:hAnsi="Arial"/>
                <w:sz w:val="14"/>
                <w:szCs w:val="14"/>
                <w:color w:val="auto"/>
              </w:rPr>
              <w:t>977,468</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Michaels Stores, Inc.</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B1</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1/30/2023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1,679,779</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1,674,140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1,674,673</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Micro Holding Corporation</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7/8/2021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982,378</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978,629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985,079</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Microsemi Corporation</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Electronics/Electric</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3.03%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1/17/2023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868,445</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845,882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874,593</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w w:val="99"/>
              </w:rPr>
              <w:t>Midas Intermediate Holdco</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II, LLC</w:t>
            </w:r>
          </w:p>
        </w:tc>
        <w:tc>
          <w:tcPr>
            <w:tcW w:w="1780" w:type="dxa"/>
            <w:vAlign w:val="bottom"/>
          </w:tcPr>
          <w:p>
            <w:pPr>
              <w:ind w:left="40"/>
              <w:spacing w:after="0"/>
              <w:rPr>
                <w:sz w:val="20"/>
                <w:szCs w:val="20"/>
                <w:color w:val="auto"/>
              </w:rPr>
            </w:pPr>
            <w:r>
              <w:rPr>
                <w:rFonts w:ascii="Arial" w:cs="Arial" w:eastAsia="Arial" w:hAnsi="Arial"/>
                <w:sz w:val="14"/>
                <w:szCs w:val="14"/>
                <w:color w:val="auto"/>
              </w:rPr>
              <w:t>Automotive</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 (Initial)</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tcPr>
          <w:p>
            <w:pPr>
              <w:jc w:val="right"/>
              <w:spacing w:after="0"/>
              <w:rPr>
                <w:sz w:val="20"/>
                <w:szCs w:val="20"/>
                <w:color w:val="auto"/>
              </w:rPr>
            </w:pPr>
            <w:r>
              <w:rPr>
                <w:rFonts w:ascii="Arial" w:cs="Arial" w:eastAsia="Arial" w:hAnsi="Arial"/>
                <w:sz w:val="14"/>
                <w:szCs w:val="14"/>
                <w:color w:val="auto"/>
              </w:rPr>
              <w:t>8/18/2021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244,375</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243,499</w:t>
            </w:r>
          </w:p>
        </w:tc>
        <w:tc>
          <w:tcPr>
            <w:tcW w:w="800" w:type="dxa"/>
            <w:vAlign w:val="bottom"/>
          </w:tcPr>
          <w:p>
            <w:pPr>
              <w:jc w:val="right"/>
              <w:spacing w:after="0"/>
              <w:rPr>
                <w:sz w:val="20"/>
                <w:szCs w:val="20"/>
                <w:color w:val="auto"/>
              </w:rPr>
            </w:pPr>
            <w:r>
              <w:rPr>
                <w:rFonts w:ascii="Arial" w:cs="Arial" w:eastAsia="Arial" w:hAnsi="Arial"/>
                <w:sz w:val="14"/>
                <w:szCs w:val="14"/>
                <w:color w:val="auto"/>
              </w:rPr>
              <w:t>246,005</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Milacron T/L B</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Capital Equipment</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3.78%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9/28/2023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6"/>
              </w:rPr>
              <w:t>1,000,000</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996,250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1,004,380</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Milk Specialties Company</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Beverage, Food &amp; Tobacco</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8/16/2023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997,500</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987,646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1,004,562</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Mister Car Wash T/L</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Automotive</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831,203</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825,179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832,931</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w w:val="99"/>
              </w:rPr>
              <w:t>MSC Software Corporation</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5/29/2020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6"/>
              </w:rPr>
              <w:t>1,969,898</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1,931,995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1,972,360</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MWI Holdings, Inc.</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Equipment</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2,985,000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2,956,823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3,007,388</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National Veterinary</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Associates, Inc</w:t>
            </w:r>
          </w:p>
        </w:tc>
        <w:tc>
          <w:tcPr>
            <w:tcW w:w="1780" w:type="dxa"/>
            <w:vAlign w:val="bottom"/>
          </w:tcPr>
          <w:p>
            <w:pPr>
              <w:ind w:left="40"/>
              <w:spacing w:after="0"/>
              <w:rPr>
                <w:sz w:val="20"/>
                <w:szCs w:val="20"/>
                <w:color w:val="auto"/>
              </w:rPr>
            </w:pPr>
            <w:r>
              <w:rPr>
                <w:rFonts w:ascii="Arial" w:cs="Arial" w:eastAsia="Arial" w:hAnsi="Arial"/>
                <w:sz w:val="14"/>
                <w:szCs w:val="14"/>
                <w:color w:val="auto"/>
              </w:rPr>
              <w:t>Pharmaceuticals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tcPr>
          <w:p>
            <w:pPr>
              <w:jc w:val="right"/>
              <w:spacing w:after="0"/>
              <w:rPr>
                <w:sz w:val="20"/>
                <w:szCs w:val="20"/>
                <w:color w:val="auto"/>
              </w:rPr>
            </w:pPr>
            <w:r>
              <w:rPr>
                <w:rFonts w:ascii="Arial" w:cs="Arial" w:eastAsia="Arial" w:hAnsi="Arial"/>
                <w:sz w:val="14"/>
                <w:szCs w:val="14"/>
                <w:color w:val="auto"/>
              </w:rPr>
              <w:t>8/14/2021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977,543</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974,893</w:t>
            </w:r>
          </w:p>
        </w:tc>
        <w:tc>
          <w:tcPr>
            <w:tcW w:w="800" w:type="dxa"/>
            <w:vAlign w:val="bottom"/>
          </w:tcPr>
          <w:p>
            <w:pPr>
              <w:jc w:val="right"/>
              <w:spacing w:after="0"/>
              <w:rPr>
                <w:sz w:val="20"/>
                <w:szCs w:val="20"/>
                <w:color w:val="auto"/>
              </w:rPr>
            </w:pPr>
            <w:r>
              <w:rPr>
                <w:rFonts w:ascii="Arial" w:cs="Arial" w:eastAsia="Arial" w:hAnsi="Arial"/>
                <w:sz w:val="14"/>
                <w:szCs w:val="14"/>
                <w:color w:val="auto"/>
              </w:rPr>
              <w:t>982,430</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National Vision, Inc.</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Term Loan (Second</w:t>
            </w: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249,793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242,750</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New Media Holdings II T/L</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(NEW)</w:t>
            </w:r>
          </w:p>
        </w:tc>
        <w:tc>
          <w:tcPr>
            <w:tcW w:w="1780" w:type="dxa"/>
            <w:vAlign w:val="bottom"/>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6.25%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7.25%</w:t>
            </w:r>
          </w:p>
        </w:tc>
        <w:tc>
          <w:tcPr>
            <w:tcW w:w="800" w:type="dxa"/>
            <w:vAlign w:val="bottom"/>
          </w:tcPr>
          <w:p>
            <w:pPr>
              <w:jc w:val="right"/>
              <w:spacing w:after="0"/>
              <w:rPr>
                <w:sz w:val="20"/>
                <w:szCs w:val="20"/>
                <w:color w:val="auto"/>
              </w:rPr>
            </w:pPr>
            <w:r>
              <w:rPr>
                <w:rFonts w:ascii="Arial" w:cs="Arial" w:eastAsia="Arial" w:hAnsi="Arial"/>
                <w:sz w:val="14"/>
                <w:szCs w:val="14"/>
                <w:color w:val="auto"/>
              </w:rPr>
              <w:t>6/4/2020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3,168,116</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3,154,983</w:t>
            </w:r>
          </w:p>
        </w:tc>
        <w:tc>
          <w:tcPr>
            <w:tcW w:w="800" w:type="dxa"/>
            <w:vAlign w:val="bottom"/>
          </w:tcPr>
          <w:p>
            <w:pPr>
              <w:jc w:val="right"/>
              <w:spacing w:after="0"/>
              <w:rPr>
                <w:sz w:val="20"/>
                <w:szCs w:val="20"/>
                <w:color w:val="auto"/>
              </w:rPr>
            </w:pPr>
            <w:r>
              <w:rPr>
                <w:rFonts w:ascii="Arial" w:cs="Arial" w:eastAsia="Arial" w:hAnsi="Arial"/>
                <w:sz w:val="14"/>
                <w:szCs w:val="14"/>
                <w:color w:val="auto"/>
              </w:rPr>
              <w:t>3,140,395</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New Millennium Holdco,</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Pharmaceuticals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1,930,106</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1,777,976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980,494</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Novetta Solutions</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Aerospace and Defense</w:t>
            </w:r>
          </w:p>
        </w:tc>
        <w:tc>
          <w:tcPr>
            <w:tcW w:w="1300" w:type="dxa"/>
            <w:vAlign w:val="bottom"/>
          </w:tcPr>
          <w:p>
            <w:pPr>
              <w:ind w:left="80"/>
              <w:spacing w:after="0"/>
              <w:rPr>
                <w:sz w:val="20"/>
                <w:szCs w:val="20"/>
                <w:color w:val="auto"/>
              </w:rPr>
            </w:pPr>
            <w:r>
              <w:rPr>
                <w:rFonts w:ascii="Arial" w:cs="Arial" w:eastAsia="Arial" w:hAnsi="Arial"/>
                <w:sz w:val="14"/>
                <w:szCs w:val="14"/>
                <w:color w:val="auto"/>
              </w:rPr>
              <w:t>(200MM)</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tcPr>
          <w:p>
            <w:pPr>
              <w:jc w:val="right"/>
              <w:spacing w:after="0"/>
              <w:rPr>
                <w:sz w:val="20"/>
                <w:szCs w:val="20"/>
                <w:color w:val="auto"/>
              </w:rPr>
            </w:pPr>
            <w:r>
              <w:rPr>
                <w:rFonts w:ascii="Arial" w:cs="Arial" w:eastAsia="Arial" w:hAnsi="Arial"/>
                <w:sz w:val="14"/>
                <w:szCs w:val="14"/>
                <w:color w:val="auto"/>
              </w:rPr>
              <w:t>10/16/2022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1,980,000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1,963,361</w:t>
            </w:r>
          </w:p>
        </w:tc>
        <w:tc>
          <w:tcPr>
            <w:tcW w:w="800" w:type="dxa"/>
            <w:vAlign w:val="bottom"/>
          </w:tcPr>
          <w:p>
            <w:pPr>
              <w:jc w:val="right"/>
              <w:spacing w:after="0"/>
              <w:rPr>
                <w:sz w:val="20"/>
                <w:szCs w:val="20"/>
                <w:color w:val="auto"/>
              </w:rPr>
            </w:pPr>
            <w:r>
              <w:rPr>
                <w:rFonts w:ascii="Arial" w:cs="Arial" w:eastAsia="Arial" w:hAnsi="Arial"/>
                <w:sz w:val="14"/>
                <w:szCs w:val="14"/>
                <w:color w:val="auto"/>
              </w:rPr>
              <w:t>1,890,900</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Novetta Solutions</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(2nd</w:t>
            </w: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Aerospace and Defense</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10/16/2023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1,000,000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991,237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930,000</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NPC International, Inc.</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Food Services</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 (2013)</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12/28/2018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476,250</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476,250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477,241</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NVA Holdings (National</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Veterinary) T/L B2</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Consumer</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B2</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129,601</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129,601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130,897</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NVA Holdings, Inc.</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Services: Consumer</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 B1</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8/14/2021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157,443</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157,108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158,034</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NXT Capital T/L (11/16)</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6"/>
              </w:rPr>
              <w:t>Banking, Finance, Insurance</w:t>
            </w: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&amp; Real Estate</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1,000,000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995,240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1,013,750</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ON Semiconductor</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780" w:type="dxa"/>
            <w:vAlign w:val="bottom"/>
          </w:tcPr>
          <w:p>
            <w:pPr>
              <w:ind w:left="40"/>
              <w:spacing w:after="0"/>
              <w:rPr>
                <w:sz w:val="20"/>
                <w:szCs w:val="20"/>
                <w:color w:val="auto"/>
              </w:rPr>
            </w:pPr>
            <w:r>
              <w:rPr>
                <w:rFonts w:ascii="Arial" w:cs="Arial" w:eastAsia="Arial" w:hAnsi="Arial"/>
                <w:sz w:val="14"/>
                <w:szCs w:val="14"/>
                <w:color w:val="auto"/>
              </w:rPr>
              <w:t>High Tech Industries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4.03%</w:t>
            </w:r>
          </w:p>
        </w:tc>
        <w:tc>
          <w:tcPr>
            <w:tcW w:w="800" w:type="dxa"/>
            <w:vAlign w:val="bottom"/>
          </w:tcPr>
          <w:p>
            <w:pPr>
              <w:jc w:val="right"/>
              <w:spacing w:after="0"/>
              <w:rPr>
                <w:sz w:val="20"/>
                <w:szCs w:val="20"/>
                <w:color w:val="auto"/>
              </w:rPr>
            </w:pPr>
            <w:r>
              <w:rPr>
                <w:rFonts w:ascii="Arial" w:cs="Arial" w:eastAsia="Arial" w:hAnsi="Arial"/>
                <w:sz w:val="14"/>
                <w:szCs w:val="14"/>
                <w:color w:val="auto"/>
              </w:rPr>
              <w:t>3/31/2023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498,750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491,370</w:t>
            </w:r>
          </w:p>
        </w:tc>
        <w:tc>
          <w:tcPr>
            <w:tcW w:w="800" w:type="dxa"/>
            <w:vAlign w:val="bottom"/>
          </w:tcPr>
          <w:p>
            <w:pPr>
              <w:jc w:val="right"/>
              <w:spacing w:after="0"/>
              <w:rPr>
                <w:sz w:val="20"/>
                <w:szCs w:val="20"/>
                <w:color w:val="auto"/>
              </w:rPr>
            </w:pPr>
            <w:r>
              <w:rPr>
                <w:rFonts w:ascii="Arial" w:cs="Arial" w:eastAsia="Arial" w:hAnsi="Arial"/>
                <w:sz w:val="14"/>
                <w:szCs w:val="14"/>
                <w:color w:val="auto"/>
              </w:rPr>
              <w:t>503,204</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Onex Carestream Finance</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LP</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Pharmaceuticals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 2013)</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6/7/2019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3,613,555</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3,606,228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3,490,297</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OnexYork Acquisition Co</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Pharmaceuticals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10/1/2021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488,750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486,195</w:t>
            </w:r>
          </w:p>
        </w:tc>
        <w:tc>
          <w:tcPr>
            <w:tcW w:w="800" w:type="dxa"/>
            <w:vAlign w:val="bottom"/>
          </w:tcPr>
          <w:p>
            <w:pPr>
              <w:jc w:val="right"/>
              <w:spacing w:after="0"/>
              <w:rPr>
                <w:sz w:val="20"/>
                <w:szCs w:val="20"/>
                <w:color w:val="auto"/>
              </w:rPr>
            </w:pPr>
            <w:r>
              <w:rPr>
                <w:rFonts w:ascii="Arial" w:cs="Arial" w:eastAsia="Arial" w:hAnsi="Arial"/>
                <w:sz w:val="14"/>
                <w:szCs w:val="14"/>
                <w:color w:val="auto"/>
              </w:rPr>
              <w:t>475,554</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OpenLink International,</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B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7/29/2019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2,913,824</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2,913,362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2,938,096</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P.F. Chang’s China Bistro,</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1680" w:type="dxa"/>
            <w:vAlign w:val="bottom"/>
          </w:tcPr>
          <w:p>
            <w:pPr>
              <w:ind w:left="160"/>
              <w:spacing w:after="0" w:line="149" w:lineRule="exact"/>
              <w:rPr>
                <w:sz w:val="20"/>
                <w:szCs w:val="20"/>
                <w:color w:val="auto"/>
              </w:rPr>
            </w:pPr>
            <w:r>
              <w:rPr>
                <w:rFonts w:ascii="Arial" w:cs="Arial" w:eastAsia="Arial" w:hAnsi="Arial"/>
                <w:sz w:val="14"/>
                <w:szCs w:val="14"/>
                <w:color w:val="auto"/>
              </w:rPr>
              <w:t>Inc. (Wok Acquisition</w:t>
            </w:r>
          </w:p>
        </w:tc>
        <w:tc>
          <w:tcPr>
            <w:tcW w:w="1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Corp.)</w:t>
            </w:r>
          </w:p>
        </w:tc>
        <w:tc>
          <w:tcPr>
            <w:tcW w:w="1780" w:type="dxa"/>
            <w:vAlign w:val="bottom"/>
          </w:tcPr>
          <w:p>
            <w:pPr>
              <w:ind w:left="40"/>
              <w:spacing w:after="0"/>
              <w:rPr>
                <w:sz w:val="20"/>
                <w:szCs w:val="20"/>
                <w:color w:val="auto"/>
              </w:rPr>
            </w:pPr>
            <w:r>
              <w:rPr>
                <w:rFonts w:ascii="Arial" w:cs="Arial" w:eastAsia="Arial" w:hAnsi="Arial"/>
                <w:sz w:val="14"/>
                <w:szCs w:val="14"/>
                <w:color w:val="auto"/>
              </w:rPr>
              <w:t>Food/Drug Retailers</w:t>
            </w:r>
          </w:p>
        </w:tc>
        <w:tc>
          <w:tcPr>
            <w:tcW w:w="1300" w:type="dxa"/>
            <w:vAlign w:val="bottom"/>
          </w:tcPr>
          <w:p>
            <w:pPr>
              <w:ind w:left="80"/>
              <w:spacing w:after="0"/>
              <w:rPr>
                <w:sz w:val="20"/>
                <w:szCs w:val="20"/>
                <w:color w:val="auto"/>
              </w:rPr>
            </w:pPr>
            <w:r>
              <w:rPr>
                <w:rFonts w:ascii="Arial" w:cs="Arial" w:eastAsia="Arial" w:hAnsi="Arial"/>
                <w:sz w:val="14"/>
                <w:szCs w:val="14"/>
                <w:color w:val="auto"/>
              </w:rPr>
              <w:t>Term Borrowing</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4.54%</w:t>
            </w:r>
          </w:p>
        </w:tc>
        <w:tc>
          <w:tcPr>
            <w:tcW w:w="800" w:type="dxa"/>
            <w:vAlign w:val="bottom"/>
          </w:tcPr>
          <w:p>
            <w:pPr>
              <w:jc w:val="right"/>
              <w:spacing w:after="0"/>
              <w:rPr>
                <w:sz w:val="20"/>
                <w:szCs w:val="20"/>
                <w:color w:val="auto"/>
              </w:rPr>
            </w:pPr>
            <w:r>
              <w:rPr>
                <w:rFonts w:ascii="Arial" w:cs="Arial" w:eastAsia="Arial" w:hAnsi="Arial"/>
                <w:sz w:val="14"/>
                <w:szCs w:val="14"/>
                <w:color w:val="auto"/>
              </w:rPr>
              <w:t>6/24/2019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1,417,598</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1,413,680</w:t>
            </w:r>
          </w:p>
        </w:tc>
        <w:tc>
          <w:tcPr>
            <w:tcW w:w="800" w:type="dxa"/>
            <w:vAlign w:val="bottom"/>
          </w:tcPr>
          <w:p>
            <w:pPr>
              <w:jc w:val="right"/>
              <w:spacing w:after="0"/>
              <w:rPr>
                <w:sz w:val="20"/>
                <w:szCs w:val="20"/>
                <w:color w:val="auto"/>
              </w:rPr>
            </w:pPr>
            <w:r>
              <w:rPr>
                <w:rFonts w:ascii="Arial" w:cs="Arial" w:eastAsia="Arial" w:hAnsi="Arial"/>
                <w:sz w:val="14"/>
                <w:szCs w:val="14"/>
                <w:color w:val="auto"/>
              </w:rPr>
              <w:t>1,389,245</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P2 Upstream Acquisition</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9"/>
        </w:trPr>
        <w:tc>
          <w:tcPr>
            <w:tcW w:w="1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0"/>
              </w:rPr>
              <w:t>Co. (P2 Upstream Canada</w:t>
            </w:r>
          </w:p>
        </w:tc>
        <w:tc>
          <w:tcPr>
            <w:tcW w:w="1780" w:type="dxa"/>
            <w:vAlign w:val="bottom"/>
            <w:shd w:val="clear" w:color="auto" w:fill="CCEEFF"/>
          </w:tcPr>
          <w:p>
            <w:pPr>
              <w:spacing w:after="0"/>
              <w:rPr>
                <w:sz w:val="12"/>
                <w:szCs w:val="12"/>
                <w:color w:val="auto"/>
              </w:rPr>
            </w:pP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BC ULC)</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970,000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966,928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933,625</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Petsmart, Inc. (Argos</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Merger Sub, Inc.)</w:t>
            </w:r>
          </w:p>
        </w:tc>
        <w:tc>
          <w:tcPr>
            <w:tcW w:w="1780" w:type="dxa"/>
            <w:vAlign w:val="bottom"/>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 B1</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tcPr>
          <w:p>
            <w:pPr>
              <w:jc w:val="right"/>
              <w:spacing w:after="0"/>
              <w:rPr>
                <w:sz w:val="20"/>
                <w:szCs w:val="20"/>
                <w:color w:val="auto"/>
              </w:rPr>
            </w:pPr>
            <w:r>
              <w:rPr>
                <w:rFonts w:ascii="Arial" w:cs="Arial" w:eastAsia="Arial" w:hAnsi="Arial"/>
                <w:sz w:val="14"/>
                <w:szCs w:val="14"/>
                <w:color w:val="auto"/>
              </w:rPr>
              <w:t>3/11/2022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982,500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977,998</w:t>
            </w:r>
          </w:p>
        </w:tc>
        <w:tc>
          <w:tcPr>
            <w:tcW w:w="800" w:type="dxa"/>
            <w:vAlign w:val="bottom"/>
          </w:tcPr>
          <w:p>
            <w:pPr>
              <w:jc w:val="right"/>
              <w:spacing w:after="0"/>
              <w:rPr>
                <w:sz w:val="20"/>
                <w:szCs w:val="20"/>
                <w:color w:val="auto"/>
              </w:rPr>
            </w:pPr>
            <w:r>
              <w:rPr>
                <w:rFonts w:ascii="Arial" w:cs="Arial" w:eastAsia="Arial" w:hAnsi="Arial"/>
                <w:sz w:val="14"/>
                <w:szCs w:val="14"/>
                <w:color w:val="auto"/>
              </w:rPr>
              <w:t>967,183</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PGX Holdings, Inc.</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Financial Intermediaries</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6"/>
              </w:rPr>
              <w:t>2,891,464</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2,876,188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2,889,671</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Planet Fitness Holdings</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LLC</w:t>
            </w:r>
          </w:p>
        </w:tc>
        <w:tc>
          <w:tcPr>
            <w:tcW w:w="1780" w:type="dxa"/>
            <w:vAlign w:val="bottom"/>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4.28%</w:t>
            </w:r>
          </w:p>
        </w:tc>
        <w:tc>
          <w:tcPr>
            <w:tcW w:w="800" w:type="dxa"/>
            <w:vAlign w:val="bottom"/>
          </w:tcPr>
          <w:p>
            <w:pPr>
              <w:jc w:val="right"/>
              <w:spacing w:after="0"/>
              <w:rPr>
                <w:sz w:val="20"/>
                <w:szCs w:val="20"/>
                <w:color w:val="auto"/>
              </w:rPr>
            </w:pPr>
            <w:r>
              <w:rPr>
                <w:rFonts w:ascii="Arial" w:cs="Arial" w:eastAsia="Arial" w:hAnsi="Arial"/>
                <w:sz w:val="14"/>
                <w:szCs w:val="14"/>
                <w:color w:val="auto"/>
              </w:rPr>
              <w:t>3/31/2021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2,392,341</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2,385,223</w:t>
            </w:r>
          </w:p>
        </w:tc>
        <w:tc>
          <w:tcPr>
            <w:tcW w:w="800" w:type="dxa"/>
            <w:vAlign w:val="bottom"/>
          </w:tcPr>
          <w:p>
            <w:pPr>
              <w:jc w:val="right"/>
              <w:spacing w:after="0"/>
              <w:rPr>
                <w:sz w:val="20"/>
                <w:szCs w:val="20"/>
                <w:color w:val="auto"/>
              </w:rPr>
            </w:pPr>
            <w:r>
              <w:rPr>
                <w:rFonts w:ascii="Arial" w:cs="Arial" w:eastAsia="Arial" w:hAnsi="Arial"/>
                <w:sz w:val="14"/>
                <w:szCs w:val="14"/>
                <w:color w:val="auto"/>
              </w:rPr>
              <w:t>2,407,293</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Polycom Term Loan (9/16)</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Telecommunications</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9/27/2023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6"/>
              </w:rPr>
              <w:t>1,894,167</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1,868,863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1,907,426</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w w:val="94"/>
              </w:rPr>
              <w:t>PrePaid Legal Services, Inc.</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5.25%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1.25%</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7/1/2019</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6"/>
              </w:rPr>
              <w:t>3,328,536</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3,330,285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3,335,825</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Presidio, Inc.</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6"/>
              </w:rPr>
              <w:t>2,297,698</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2,248,964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2,314,930</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Prestige Brands T/L B4</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Drugs</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 B4</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2.75%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3.53%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1/26/2024</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500,000</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498,779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506,040</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Prime Security Services</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(Protection One)</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1,985,025</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1,975,632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2,003,645</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Ranpak Holdings, Inc.</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10/1/2021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916,047</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913,757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918,337</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Ranpak Holdings, Inc.</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Term Loan (Second</w:t>
            </w: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498,149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475,000</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Redtop Acquisitions</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Initial Dollar Term</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Limited</w:t>
            </w:r>
          </w:p>
        </w:tc>
        <w:tc>
          <w:tcPr>
            <w:tcW w:w="1780" w:type="dxa"/>
            <w:vAlign w:val="bottom"/>
          </w:tcPr>
          <w:p>
            <w:pPr>
              <w:ind w:left="40"/>
              <w:spacing w:after="0"/>
              <w:rPr>
                <w:sz w:val="20"/>
                <w:szCs w:val="20"/>
                <w:color w:val="auto"/>
              </w:rPr>
            </w:pPr>
            <w:r>
              <w:rPr>
                <w:rFonts w:ascii="Arial" w:cs="Arial" w:eastAsia="Arial" w:hAnsi="Arial"/>
                <w:sz w:val="14"/>
                <w:szCs w:val="14"/>
                <w:color w:val="auto"/>
              </w:rPr>
              <w:t>Electronics/Electric</w:t>
            </w:r>
          </w:p>
        </w:tc>
        <w:tc>
          <w:tcPr>
            <w:tcW w:w="1300" w:type="dxa"/>
            <w:vAlign w:val="bottom"/>
          </w:tcPr>
          <w:p>
            <w:pPr>
              <w:ind w:left="80"/>
              <w:spacing w:after="0"/>
              <w:rPr>
                <w:sz w:val="20"/>
                <w:szCs w:val="20"/>
                <w:color w:val="auto"/>
              </w:rPr>
            </w:pPr>
            <w:r>
              <w:rPr>
                <w:rFonts w:ascii="Arial" w:cs="Arial" w:eastAsia="Arial" w:hAnsi="Arial"/>
                <w:sz w:val="14"/>
                <w:szCs w:val="14"/>
                <w:color w:val="auto"/>
              </w:rPr>
              <w:t>Loan (First 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4.54%</w:t>
            </w:r>
          </w:p>
        </w:tc>
        <w:tc>
          <w:tcPr>
            <w:tcW w:w="800" w:type="dxa"/>
            <w:vAlign w:val="bottom"/>
          </w:tcPr>
          <w:p>
            <w:pPr>
              <w:jc w:val="right"/>
              <w:spacing w:after="0"/>
              <w:rPr>
                <w:sz w:val="20"/>
                <w:szCs w:val="20"/>
                <w:color w:val="auto"/>
              </w:rPr>
            </w:pPr>
            <w:r>
              <w:rPr>
                <w:rFonts w:ascii="Arial" w:cs="Arial" w:eastAsia="Arial" w:hAnsi="Arial"/>
                <w:sz w:val="14"/>
                <w:szCs w:val="14"/>
                <w:color w:val="auto"/>
              </w:rPr>
              <w:t>12/3/2020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485,019</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483,001</w:t>
            </w:r>
          </w:p>
        </w:tc>
        <w:tc>
          <w:tcPr>
            <w:tcW w:w="800" w:type="dxa"/>
            <w:vAlign w:val="bottom"/>
          </w:tcPr>
          <w:p>
            <w:pPr>
              <w:jc w:val="right"/>
              <w:spacing w:after="0"/>
              <w:rPr>
                <w:sz w:val="20"/>
                <w:szCs w:val="20"/>
                <w:color w:val="auto"/>
              </w:rPr>
            </w:pPr>
            <w:r>
              <w:rPr>
                <w:rFonts w:ascii="Arial" w:cs="Arial" w:eastAsia="Arial" w:hAnsi="Arial"/>
                <w:sz w:val="14"/>
                <w:szCs w:val="14"/>
                <w:color w:val="auto"/>
              </w:rPr>
              <w:t>486,634</w:t>
            </w:r>
          </w:p>
        </w:tc>
      </w:tr>
      <w:tr>
        <w:trPr>
          <w:trHeight w:val="149"/>
        </w:trPr>
        <w:tc>
          <w:tcPr>
            <w:tcW w:w="1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Regal Cinemas Corporation</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Consumer</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2.50%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3.28%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495,009</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493,772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499,573</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Research Now Group, Inc</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Media</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4.50%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5.50%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3/18/2021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6"/>
              </w:rPr>
              <w:t>2,037,705</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2,029,696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2,002,045</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Resolute Investment</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6"/>
              </w:rPr>
              <w:t>Banking, Finance, Insurance</w:t>
            </w: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Managers, Inc.</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&amp; Real Estate</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240,815</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239,883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241,518</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Rexnord LLC/RBS Global,</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Inc.</w:t>
            </w:r>
          </w:p>
        </w:tc>
        <w:tc>
          <w:tcPr>
            <w:tcW w:w="1780" w:type="dxa"/>
            <w:vAlign w:val="bottom"/>
          </w:tcPr>
          <w:p>
            <w:pPr>
              <w:ind w:left="40"/>
              <w:spacing w:after="0"/>
              <w:rPr>
                <w:sz w:val="20"/>
                <w:szCs w:val="20"/>
                <w:color w:val="auto"/>
              </w:rPr>
            </w:pPr>
            <w:r>
              <w:rPr>
                <w:rFonts w:ascii="Arial" w:cs="Arial" w:eastAsia="Arial" w:hAnsi="Arial"/>
                <w:sz w:val="14"/>
                <w:szCs w:val="14"/>
                <w:color w:val="auto"/>
              </w:rPr>
              <w:t>Industrial Equipment</w:t>
            </w:r>
          </w:p>
        </w:tc>
        <w:tc>
          <w:tcPr>
            <w:tcW w:w="1300" w:type="dxa"/>
            <w:vAlign w:val="bottom"/>
          </w:tcPr>
          <w:p>
            <w:pPr>
              <w:ind w:left="80"/>
              <w:spacing w:after="0"/>
              <w:rPr>
                <w:sz w:val="20"/>
                <w:szCs w:val="20"/>
                <w:color w:val="auto"/>
              </w:rPr>
            </w:pPr>
            <w:r>
              <w:rPr>
                <w:rFonts w:ascii="Arial" w:cs="Arial" w:eastAsia="Arial" w:hAnsi="Arial"/>
                <w:sz w:val="14"/>
                <w:szCs w:val="14"/>
                <w:color w:val="auto"/>
              </w:rPr>
              <w:t>Term B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tcPr>
          <w:p>
            <w:pPr>
              <w:jc w:val="right"/>
              <w:spacing w:after="0"/>
              <w:rPr>
                <w:sz w:val="20"/>
                <w:szCs w:val="20"/>
                <w:color w:val="auto"/>
              </w:rPr>
            </w:pPr>
            <w:r>
              <w:rPr>
                <w:rFonts w:ascii="Arial" w:cs="Arial" w:eastAsia="Arial" w:hAnsi="Arial"/>
                <w:sz w:val="14"/>
                <w:szCs w:val="14"/>
                <w:color w:val="auto"/>
              </w:rPr>
              <w:t>8/21/2023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732,374</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732,374</w:t>
            </w:r>
          </w:p>
        </w:tc>
        <w:tc>
          <w:tcPr>
            <w:tcW w:w="800" w:type="dxa"/>
            <w:vAlign w:val="bottom"/>
          </w:tcPr>
          <w:p>
            <w:pPr>
              <w:jc w:val="right"/>
              <w:spacing w:after="0"/>
              <w:rPr>
                <w:sz w:val="20"/>
                <w:szCs w:val="20"/>
                <w:color w:val="auto"/>
              </w:rPr>
            </w:pPr>
            <w:r>
              <w:rPr>
                <w:rFonts w:ascii="Arial" w:cs="Arial" w:eastAsia="Arial" w:hAnsi="Arial"/>
                <w:sz w:val="14"/>
                <w:szCs w:val="14"/>
                <w:color w:val="auto"/>
              </w:rPr>
              <w:t>736,497</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Rexnord LLC/RBS Global,</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Industrial Equipment</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B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8/21/2023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641,402</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641,402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645,013</w:t>
            </w:r>
          </w:p>
        </w:tc>
      </w:tr>
      <w:tr>
        <w:trPr>
          <w:trHeight w:val="130"/>
        </w:trPr>
        <w:tc>
          <w:tcPr>
            <w:tcW w:w="1680" w:type="dxa"/>
            <w:vAlign w:val="bottom"/>
          </w:tcPr>
          <w:p>
            <w:pPr>
              <w:spacing w:after="0" w:line="130" w:lineRule="exact"/>
              <w:rPr>
                <w:sz w:val="20"/>
                <w:szCs w:val="20"/>
                <w:color w:val="auto"/>
              </w:rPr>
            </w:pPr>
            <w:r>
              <w:rPr>
                <w:rFonts w:ascii="Arial" w:cs="Arial" w:eastAsia="Arial" w:hAnsi="Arial"/>
                <w:sz w:val="14"/>
                <w:szCs w:val="14"/>
                <w:color w:val="auto"/>
              </w:rPr>
              <w:t>Reynolds Group Holdings</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Incremental U.S.</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680" w:type="dxa"/>
            <w:vAlign w:val="bottom"/>
          </w:tcPr>
          <w:p>
            <w:pPr>
              <w:ind w:left="160"/>
              <w:spacing w:after="0"/>
              <w:rPr>
                <w:sz w:val="20"/>
                <w:szCs w:val="20"/>
                <w:color w:val="auto"/>
              </w:rPr>
            </w:pPr>
            <w:r>
              <w:rPr>
                <w:rFonts w:ascii="Arial" w:cs="Arial" w:eastAsia="Arial" w:hAnsi="Arial"/>
                <w:sz w:val="14"/>
                <w:szCs w:val="14"/>
                <w:color w:val="auto"/>
              </w:rPr>
              <w:t>Inc.</w:t>
            </w:r>
          </w:p>
        </w:tc>
        <w:tc>
          <w:tcPr>
            <w:tcW w:w="1780" w:type="dxa"/>
            <w:vAlign w:val="bottom"/>
          </w:tcPr>
          <w:p>
            <w:pPr>
              <w:ind w:left="40"/>
              <w:spacing w:after="0"/>
              <w:rPr>
                <w:sz w:val="20"/>
                <w:szCs w:val="20"/>
                <w:color w:val="auto"/>
              </w:rPr>
            </w:pPr>
            <w:r>
              <w:rPr>
                <w:rFonts w:ascii="Arial" w:cs="Arial" w:eastAsia="Arial" w:hAnsi="Arial"/>
                <w:sz w:val="14"/>
                <w:szCs w:val="14"/>
                <w:color w:val="auto"/>
              </w:rPr>
              <w:t>Industrial Equipment</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3.78%</w:t>
            </w:r>
          </w:p>
        </w:tc>
        <w:tc>
          <w:tcPr>
            <w:tcW w:w="800" w:type="dxa"/>
            <w:vAlign w:val="bottom"/>
          </w:tcPr>
          <w:p>
            <w:pPr>
              <w:jc w:val="right"/>
              <w:spacing w:after="0"/>
              <w:rPr>
                <w:sz w:val="20"/>
                <w:szCs w:val="20"/>
                <w:color w:val="auto"/>
              </w:rPr>
            </w:pPr>
            <w:r>
              <w:rPr>
                <w:rFonts w:ascii="Arial" w:cs="Arial" w:eastAsia="Arial" w:hAnsi="Arial"/>
                <w:sz w:val="14"/>
                <w:szCs w:val="14"/>
                <w:color w:val="auto"/>
              </w:rPr>
              <w:t>2/3/2023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6"/>
              </w:rPr>
              <w:t>1,761,134</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1,761,134</w:t>
            </w:r>
          </w:p>
        </w:tc>
        <w:tc>
          <w:tcPr>
            <w:tcW w:w="800" w:type="dxa"/>
            <w:vAlign w:val="bottom"/>
          </w:tcPr>
          <w:p>
            <w:pPr>
              <w:jc w:val="right"/>
              <w:spacing w:after="0"/>
              <w:rPr>
                <w:sz w:val="20"/>
                <w:szCs w:val="20"/>
                <w:color w:val="auto"/>
              </w:rPr>
            </w:pPr>
            <w:r>
              <w:rPr>
                <w:rFonts w:ascii="Arial" w:cs="Arial" w:eastAsia="Arial" w:hAnsi="Arial"/>
                <w:sz w:val="14"/>
                <w:szCs w:val="14"/>
                <w:color w:val="auto"/>
              </w:rPr>
              <w:t>1,773,603</w:t>
            </w:r>
          </w:p>
        </w:tc>
      </w:tr>
      <w:tr>
        <w:trPr>
          <w:trHeight w:val="130"/>
        </w:trPr>
        <w:tc>
          <w:tcPr>
            <w:tcW w:w="1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Rovi Solutions Corporation</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B-3 Term</w:t>
            </w: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Rovi Guides, Inc.</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Electronics/Electric</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1,462,500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1,457,765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1,467,984</w:t>
            </w:r>
          </w:p>
        </w:tc>
      </w:tr>
    </w:tbl>
    <w:p>
      <w:pPr>
        <w:sectPr>
          <w:pgSz w:w="11900" w:h="16838" w:orient="portrait"/>
          <w:cols w:equalWidth="0" w:num="1">
            <w:col w:w="11420"/>
          </w:cols>
          <w:pgMar w:left="240" w:top="108" w:right="239" w:bottom="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2"/>
          </w:tcPr>
          <w:p>
            <w:pPr>
              <w:spacing w:after="0"/>
              <w:rPr>
                <w:sz w:val="20"/>
                <w:szCs w:val="20"/>
                <w:color w:val="auto"/>
              </w:rPr>
            </w:pPr>
            <w:r>
              <w:rPr>
                <w:rFonts w:ascii="Arial" w:cs="Arial" w:eastAsia="Arial" w:hAnsi="Arial"/>
                <w:sz w:val="14"/>
                <w:szCs w:val="14"/>
                <w:color w:val="auto"/>
              </w:rPr>
              <w:t>Royal Adhesives and</w:t>
            </w:r>
          </w:p>
        </w:tc>
        <w:tc>
          <w:tcPr>
            <w:tcW w:w="1780" w:type="dxa"/>
            <w:vAlign w:val="bottom"/>
          </w:tcPr>
          <w:p>
            <w:pPr>
              <w:spacing w:after="0"/>
              <w:rPr>
                <w:sz w:val="14"/>
                <w:szCs w:val="14"/>
                <w:color w:val="auto"/>
              </w:rPr>
            </w:pPr>
          </w:p>
        </w:tc>
        <w:tc>
          <w:tcPr>
            <w:tcW w:w="1300" w:type="dxa"/>
            <w:vAlign w:val="bottom"/>
          </w:tcPr>
          <w:p>
            <w:pPr>
              <w:ind w:left="80"/>
              <w:spacing w:after="0"/>
              <w:rPr>
                <w:sz w:val="20"/>
                <w:szCs w:val="20"/>
                <w:color w:val="auto"/>
              </w:rPr>
            </w:pPr>
            <w:r>
              <w:rPr>
                <w:rFonts w:ascii="Arial" w:cs="Arial" w:eastAsia="Arial" w:hAnsi="Arial"/>
                <w:sz w:val="14"/>
                <w:szCs w:val="14"/>
                <w:color w:val="auto"/>
                <w:w w:val="96"/>
              </w:rPr>
              <w:t>Term Loan (Second</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Arial" w:cs="Arial" w:eastAsia="Arial" w:hAnsi="Arial"/>
                <w:sz w:val="14"/>
                <w:szCs w:val="14"/>
                <w:color w:val="auto"/>
              </w:rPr>
              <w:t>Sealants</w:t>
            </w:r>
          </w:p>
        </w:tc>
        <w:tc>
          <w:tcPr>
            <w:tcW w:w="1780" w:type="dxa"/>
            <w:vAlign w:val="bottom"/>
          </w:tcPr>
          <w:p>
            <w:pPr>
              <w:ind w:left="40"/>
              <w:spacing w:after="0"/>
              <w:rPr>
                <w:sz w:val="20"/>
                <w:szCs w:val="20"/>
                <w:color w:val="auto"/>
              </w:rPr>
            </w:pPr>
            <w:r>
              <w:rPr>
                <w:rFonts w:ascii="Arial" w:cs="Arial" w:eastAsia="Arial" w:hAnsi="Arial"/>
                <w:sz w:val="14"/>
                <w:szCs w:val="14"/>
                <w:color w:val="auto"/>
              </w:rPr>
              <w:t>Chemicals/Plastics</w:t>
            </w:r>
          </w:p>
        </w:tc>
        <w:tc>
          <w:tcPr>
            <w:tcW w:w="1300" w:type="dxa"/>
            <w:vAlign w:val="bottom"/>
          </w:tcPr>
          <w:p>
            <w:pPr>
              <w:ind w:left="80"/>
              <w:spacing w:after="0"/>
              <w:rPr>
                <w:sz w:val="20"/>
                <w:szCs w:val="20"/>
                <w:color w:val="auto"/>
              </w:rPr>
            </w:pPr>
            <w:r>
              <w:rPr>
                <w:rFonts w:ascii="Arial" w:cs="Arial" w:eastAsia="Arial" w:hAnsi="Arial"/>
                <w:sz w:val="14"/>
                <w:szCs w:val="14"/>
                <w:color w:val="auto"/>
              </w:rPr>
              <w:t>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7.50%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8.50%</w:t>
            </w:r>
          </w:p>
        </w:tc>
        <w:tc>
          <w:tcPr>
            <w:tcW w:w="800" w:type="dxa"/>
            <w:vAlign w:val="bottom"/>
          </w:tcPr>
          <w:p>
            <w:pPr>
              <w:jc w:val="right"/>
              <w:spacing w:after="0"/>
              <w:rPr>
                <w:sz w:val="20"/>
                <w:szCs w:val="20"/>
                <w:color w:val="auto"/>
              </w:rPr>
            </w:pPr>
            <w:r>
              <w:rPr>
                <w:rFonts w:ascii="Arial" w:cs="Arial" w:eastAsia="Arial" w:hAnsi="Arial"/>
                <w:sz w:val="14"/>
                <w:szCs w:val="14"/>
                <w:color w:val="auto"/>
              </w:rPr>
              <w:t>6/19/2023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275,862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274,109</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276,552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Royal Holdings T/L (02/17)</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Term Loan (Second</w:t>
            </w: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Chemicals/Plastics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6/17/2022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541,607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539,167</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544,992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RPI Finance Trust</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Term B-4 Term</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Financial Intermediaries</w:t>
            </w:r>
          </w:p>
        </w:tc>
        <w:tc>
          <w:tcPr>
            <w:tcW w:w="1300" w:type="dxa"/>
            <w:vAlign w:val="bottom"/>
          </w:tcPr>
          <w:p>
            <w:pPr>
              <w:ind w:left="80"/>
              <w:spacing w:after="0"/>
              <w:rPr>
                <w:sz w:val="20"/>
                <w:szCs w:val="20"/>
                <w:color w:val="auto"/>
              </w:rPr>
            </w:pPr>
            <w:r>
              <w:rPr>
                <w:rFonts w:ascii="Arial" w:cs="Arial" w:eastAsia="Arial" w:hAnsi="Arial"/>
                <w:sz w:val="14"/>
                <w:szCs w:val="14"/>
                <w:color w:val="auto"/>
              </w:rPr>
              <w:t>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3.50%</w:t>
            </w:r>
          </w:p>
        </w:tc>
        <w:tc>
          <w:tcPr>
            <w:tcW w:w="800" w:type="dxa"/>
            <w:vAlign w:val="bottom"/>
          </w:tcPr>
          <w:p>
            <w:pPr>
              <w:jc w:val="right"/>
              <w:spacing w:after="0"/>
              <w:rPr>
                <w:sz w:val="20"/>
                <w:szCs w:val="20"/>
                <w:color w:val="auto"/>
              </w:rPr>
            </w:pPr>
            <w:r>
              <w:rPr>
                <w:rFonts w:ascii="Arial" w:cs="Arial" w:eastAsia="Arial" w:hAnsi="Arial"/>
                <w:sz w:val="14"/>
                <w:szCs w:val="14"/>
                <w:color w:val="auto"/>
              </w:rPr>
              <w:t>10/14/2022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2,554,764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2,554,764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2,580,848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Russell Investment</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6"/>
              </w:rPr>
              <w:t>Banking, Finance, Insurance</w:t>
            </w: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Management T/L B</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&amp; Real Estate</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2,240,000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2,127,043</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2,259,600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tcPr>
          <w:p>
            <w:pPr>
              <w:spacing w:after="0" w:line="130" w:lineRule="exact"/>
              <w:rPr>
                <w:sz w:val="20"/>
                <w:szCs w:val="20"/>
                <w:color w:val="auto"/>
              </w:rPr>
            </w:pPr>
            <w:r>
              <w:rPr>
                <w:rFonts w:ascii="Arial" w:cs="Arial" w:eastAsia="Arial" w:hAnsi="Arial"/>
                <w:sz w:val="14"/>
                <w:szCs w:val="14"/>
                <w:color w:val="auto"/>
                <w:w w:val="96"/>
              </w:rPr>
              <w:t>Sable International Finance</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Arial" w:cs="Arial" w:eastAsia="Arial" w:hAnsi="Arial"/>
                <w:sz w:val="14"/>
                <w:szCs w:val="14"/>
                <w:color w:val="auto"/>
              </w:rPr>
              <w:t>Ltd</w:t>
            </w:r>
          </w:p>
        </w:tc>
        <w:tc>
          <w:tcPr>
            <w:tcW w:w="1780" w:type="dxa"/>
            <w:vAlign w:val="bottom"/>
          </w:tcPr>
          <w:p>
            <w:pPr>
              <w:ind w:left="40"/>
              <w:spacing w:after="0"/>
              <w:rPr>
                <w:sz w:val="20"/>
                <w:szCs w:val="20"/>
                <w:color w:val="auto"/>
              </w:rPr>
            </w:pPr>
            <w:r>
              <w:rPr>
                <w:rFonts w:ascii="Arial" w:cs="Arial" w:eastAsia="Arial" w:hAnsi="Arial"/>
                <w:sz w:val="14"/>
                <w:szCs w:val="14"/>
                <w:color w:val="auto"/>
              </w:rPr>
              <w:t>Telecommunications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 B2</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5.53%</w:t>
            </w:r>
          </w:p>
        </w:tc>
        <w:tc>
          <w:tcPr>
            <w:tcW w:w="800" w:type="dxa"/>
            <w:vAlign w:val="bottom"/>
          </w:tcPr>
          <w:p>
            <w:pPr>
              <w:jc w:val="right"/>
              <w:spacing w:after="0"/>
              <w:rPr>
                <w:sz w:val="20"/>
                <w:szCs w:val="20"/>
                <w:color w:val="auto"/>
              </w:rPr>
            </w:pPr>
            <w:r>
              <w:rPr>
                <w:rFonts w:ascii="Arial" w:cs="Arial" w:eastAsia="Arial" w:hAnsi="Arial"/>
                <w:sz w:val="14"/>
                <w:szCs w:val="14"/>
                <w:color w:val="auto"/>
              </w:rPr>
              <w:t>12/30/2022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1,500,000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1,470,825</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1,521,570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SBP Holdings LP</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Industrial Equipment</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3/27/2021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972,500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969,442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870,388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Scientific Games</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Arial" w:cs="Arial" w:eastAsia="Arial" w:hAnsi="Arial"/>
                <w:sz w:val="14"/>
                <w:szCs w:val="14"/>
                <w:color w:val="auto"/>
              </w:rPr>
              <w:t>International, Inc.</w:t>
            </w:r>
          </w:p>
        </w:tc>
        <w:tc>
          <w:tcPr>
            <w:tcW w:w="1780" w:type="dxa"/>
            <w:vAlign w:val="bottom"/>
          </w:tcPr>
          <w:p>
            <w:pPr>
              <w:ind w:left="40"/>
              <w:spacing w:after="0"/>
              <w:rPr>
                <w:sz w:val="20"/>
                <w:szCs w:val="20"/>
                <w:color w:val="auto"/>
              </w:rPr>
            </w:pPr>
            <w:r>
              <w:rPr>
                <w:rFonts w:ascii="Arial" w:cs="Arial" w:eastAsia="Arial" w:hAnsi="Arial"/>
                <w:sz w:val="14"/>
                <w:szCs w:val="14"/>
                <w:color w:val="auto"/>
              </w:rPr>
              <w:t>Electronics/Electric</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 B2</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4.85%</w:t>
            </w:r>
          </w:p>
        </w:tc>
        <w:tc>
          <w:tcPr>
            <w:tcW w:w="800" w:type="dxa"/>
            <w:vAlign w:val="bottom"/>
          </w:tcPr>
          <w:p>
            <w:pPr>
              <w:jc w:val="right"/>
              <w:spacing w:after="0"/>
              <w:rPr>
                <w:sz w:val="20"/>
                <w:szCs w:val="20"/>
                <w:color w:val="auto"/>
              </w:rPr>
            </w:pPr>
            <w:r>
              <w:rPr>
                <w:rFonts w:ascii="Arial" w:cs="Arial" w:eastAsia="Arial" w:hAnsi="Arial"/>
                <w:sz w:val="14"/>
                <w:szCs w:val="14"/>
                <w:color w:val="auto"/>
              </w:rPr>
              <w:t>10/1/2021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769,549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762,102</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781,416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SCS Holdings (Sirius</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Computer)</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High Tech Industries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10/31/2022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1,972,528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1,934,960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1,991,030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Seadrill Operating LP</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Oil &amp; Gas</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2/21/2021</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977,330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922,444</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729,635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Shearers Foods LLC</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Food Services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3.94%</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6/30/2021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977,500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975,832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979,944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Sitel Worldwide</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Telecommunications</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5.50%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6.56%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9/18/2021</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1,975,000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1,959,274</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1,961,432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SMB Shipping Logistics</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T/L B (REP WWEX</w:t>
            </w:r>
          </w:p>
        </w:tc>
        <w:tc>
          <w:tcPr>
            <w:tcW w:w="17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Transportation</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2/2/2024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995,095</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1,008,330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Sonneborn, LLC</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Chemicals/Plastics</w:t>
            </w:r>
          </w:p>
        </w:tc>
        <w:tc>
          <w:tcPr>
            <w:tcW w:w="1300" w:type="dxa"/>
            <w:vAlign w:val="bottom"/>
          </w:tcPr>
          <w:p>
            <w:pPr>
              <w:ind w:left="80"/>
              <w:spacing w:after="0"/>
              <w:rPr>
                <w:sz w:val="20"/>
                <w:szCs w:val="20"/>
                <w:color w:val="auto"/>
              </w:rPr>
            </w:pPr>
            <w:r>
              <w:rPr>
                <w:rFonts w:ascii="Arial" w:cs="Arial" w:eastAsia="Arial" w:hAnsi="Arial"/>
                <w:sz w:val="14"/>
                <w:szCs w:val="14"/>
                <w:color w:val="auto"/>
              </w:rPr>
              <w:t>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12/10/2020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207,981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207,633</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208,501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Sonneborn, LLC</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US Term</w:t>
            </w: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Chemicals/Plastics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12/10/2020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1,178,561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1,176,588</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1,181,508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Sophia, L.P.</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w w:val="97"/>
              </w:rPr>
              <w:t>Term Loan (Closing</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Electronics/Electric</w:t>
            </w:r>
          </w:p>
        </w:tc>
        <w:tc>
          <w:tcPr>
            <w:tcW w:w="1300" w:type="dxa"/>
            <w:vAlign w:val="bottom"/>
          </w:tcPr>
          <w:p>
            <w:pPr>
              <w:ind w:left="80"/>
              <w:spacing w:after="0"/>
              <w:rPr>
                <w:sz w:val="20"/>
                <w:szCs w:val="20"/>
                <w:color w:val="auto"/>
              </w:rPr>
            </w:pPr>
            <w:r>
              <w:rPr>
                <w:rFonts w:ascii="Arial" w:cs="Arial" w:eastAsia="Arial" w:hAnsi="Arial"/>
                <w:sz w:val="14"/>
                <w:szCs w:val="14"/>
                <w:color w:val="auto"/>
              </w:rPr>
              <w:t>Date)</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tcPr>
          <w:p>
            <w:pPr>
              <w:jc w:val="right"/>
              <w:spacing w:after="0"/>
              <w:rPr>
                <w:sz w:val="20"/>
                <w:szCs w:val="20"/>
                <w:color w:val="auto"/>
              </w:rPr>
            </w:pPr>
            <w:r>
              <w:rPr>
                <w:rFonts w:ascii="Arial" w:cs="Arial" w:eastAsia="Arial" w:hAnsi="Arial"/>
                <w:sz w:val="14"/>
                <w:szCs w:val="14"/>
                <w:color w:val="auto"/>
              </w:rPr>
              <w:t>9/30/2022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1,960,897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1,951,404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1,967,761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SourceHOV LLC</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B (First</w:t>
            </w: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10/31/2019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1,837,500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1,804,647</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1,808,412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SRAM, LLC</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Industrial Equipment</w:t>
            </w:r>
          </w:p>
        </w:tc>
        <w:tc>
          <w:tcPr>
            <w:tcW w:w="1300" w:type="dxa"/>
            <w:vAlign w:val="bottom"/>
          </w:tcPr>
          <w:p>
            <w:pPr>
              <w:ind w:left="80"/>
              <w:spacing w:after="0"/>
              <w:rPr>
                <w:sz w:val="20"/>
                <w:szCs w:val="20"/>
                <w:color w:val="auto"/>
              </w:rPr>
            </w:pPr>
            <w:r>
              <w:rPr>
                <w:rFonts w:ascii="Arial" w:cs="Arial" w:eastAsia="Arial" w:hAnsi="Arial"/>
                <w:sz w:val="14"/>
                <w:szCs w:val="14"/>
                <w:color w:val="auto"/>
              </w:rPr>
              <w:t>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tcPr>
          <w:p>
            <w:pPr>
              <w:jc w:val="right"/>
              <w:spacing w:after="0"/>
              <w:rPr>
                <w:sz w:val="20"/>
                <w:szCs w:val="20"/>
                <w:color w:val="auto"/>
              </w:rPr>
            </w:pPr>
            <w:r>
              <w:rPr>
                <w:rFonts w:ascii="Arial" w:cs="Arial" w:eastAsia="Arial" w:hAnsi="Arial"/>
                <w:sz w:val="14"/>
                <w:szCs w:val="14"/>
                <w:color w:val="auto"/>
              </w:rPr>
              <w:t>4/10/2020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2,725,103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2,719,454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2,718,289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Steak ‘n Shake Operations,</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Food Services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3/19/2021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923,173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917,444</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930,097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Survey Sampling</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Arial" w:cs="Arial" w:eastAsia="Arial" w:hAnsi="Arial"/>
                <w:sz w:val="14"/>
                <w:szCs w:val="14"/>
                <w:color w:val="auto"/>
              </w:rPr>
              <w:t>International</w:t>
            </w:r>
          </w:p>
        </w:tc>
        <w:tc>
          <w:tcPr>
            <w:tcW w:w="1780" w:type="dxa"/>
            <w:vAlign w:val="bottom"/>
          </w:tcPr>
          <w:p>
            <w:pPr>
              <w:ind w:left="40"/>
              <w:spacing w:after="0"/>
              <w:rPr>
                <w:sz w:val="20"/>
                <w:szCs w:val="20"/>
                <w:color w:val="auto"/>
              </w:rPr>
            </w:pPr>
            <w:r>
              <w:rPr>
                <w:rFonts w:ascii="Arial" w:cs="Arial" w:eastAsia="Arial" w:hAnsi="Arial"/>
                <w:sz w:val="14"/>
                <w:szCs w:val="14"/>
                <w:color w:val="auto"/>
              </w:rPr>
              <w:t>Services: Business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tcPr>
          <w:p>
            <w:pPr>
              <w:jc w:val="right"/>
              <w:spacing w:after="0"/>
              <w:rPr>
                <w:sz w:val="20"/>
                <w:szCs w:val="20"/>
                <w:color w:val="auto"/>
              </w:rPr>
            </w:pPr>
            <w:r>
              <w:rPr>
                <w:rFonts w:ascii="Arial" w:cs="Arial" w:eastAsia="Arial" w:hAnsi="Arial"/>
                <w:sz w:val="14"/>
                <w:szCs w:val="14"/>
                <w:color w:val="auto"/>
              </w:rPr>
              <w:t>12/16/2020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2,721,749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2,707,531</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2,721,749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Sybil Finance BV</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9/30/2022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987,500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982,957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1,002,006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Syniverse Holdings, Inc.</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Telecommunications</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Initial 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4/23/2019</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468,977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466,972</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427,473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TaxACT, Inc.</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1/3/2023</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1,168,727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Tectum Holdings, Inc.</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w w:val="96"/>
              </w:rPr>
              <w:t>Delayed Draw Term</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Transportation</w:t>
            </w:r>
          </w:p>
        </w:tc>
        <w:tc>
          <w:tcPr>
            <w:tcW w:w="1300" w:type="dxa"/>
            <w:vAlign w:val="bottom"/>
          </w:tcPr>
          <w:p>
            <w:pPr>
              <w:ind w:left="80"/>
              <w:spacing w:after="0"/>
              <w:rPr>
                <w:sz w:val="20"/>
                <w:szCs w:val="20"/>
                <w:color w:val="auto"/>
              </w:rPr>
            </w:pPr>
            <w:r>
              <w:rPr>
                <w:rFonts w:ascii="Arial" w:cs="Arial" w:eastAsia="Arial" w:hAnsi="Arial"/>
                <w:sz w:val="14"/>
                <w:szCs w:val="14"/>
                <w:color w:val="auto"/>
              </w:rPr>
              <w:t>Loan (Initial)</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5.80%</w:t>
            </w:r>
          </w:p>
        </w:tc>
        <w:tc>
          <w:tcPr>
            <w:tcW w:w="800" w:type="dxa"/>
            <w:vAlign w:val="bottom"/>
          </w:tcPr>
          <w:p>
            <w:pPr>
              <w:jc w:val="right"/>
              <w:spacing w:after="0"/>
              <w:rPr>
                <w:sz w:val="20"/>
                <w:szCs w:val="20"/>
                <w:color w:val="auto"/>
              </w:rPr>
            </w:pPr>
            <w:r>
              <w:rPr>
                <w:rFonts w:ascii="Arial" w:cs="Arial" w:eastAsia="Arial" w:hAnsi="Arial"/>
                <w:sz w:val="14"/>
                <w:szCs w:val="14"/>
                <w:color w:val="auto"/>
              </w:rPr>
              <w:t>8/24/2023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997,500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988,185</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1,004,981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Tennessee Merger T/L</w:t>
            </w:r>
          </w:p>
        </w:tc>
        <w:tc>
          <w:tcPr>
            <w:tcW w:w="178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(Team Health)</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Pharmaceuticals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2/6/2024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997,518</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996,880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TGI Friday’s, Inc.</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Food Services</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7/15/2020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1,651,817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1,648,856</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1,646,316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Townsquare Media, Inc.</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Media</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4/1/2022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932,522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927,933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937,185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tcPr>
          <w:p>
            <w:pPr>
              <w:spacing w:after="0" w:line="130" w:lineRule="exact"/>
              <w:rPr>
                <w:sz w:val="20"/>
                <w:szCs w:val="20"/>
                <w:color w:val="auto"/>
              </w:rPr>
            </w:pPr>
            <w:r>
              <w:rPr>
                <w:rFonts w:ascii="Arial" w:cs="Arial" w:eastAsia="Arial" w:hAnsi="Arial"/>
                <w:sz w:val="14"/>
                <w:szCs w:val="14"/>
                <w:color w:val="auto"/>
                <w:w w:val="97"/>
              </w:rPr>
              <w:t>TPF II Power LLC and TPF</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Arial" w:cs="Arial" w:eastAsia="Arial" w:hAnsi="Arial"/>
                <w:sz w:val="14"/>
                <w:szCs w:val="14"/>
                <w:color w:val="auto"/>
              </w:rPr>
              <w:t>II Covert Midco LLC</w:t>
            </w:r>
          </w:p>
        </w:tc>
        <w:tc>
          <w:tcPr>
            <w:tcW w:w="1780" w:type="dxa"/>
            <w:vAlign w:val="bottom"/>
          </w:tcPr>
          <w:p>
            <w:pPr>
              <w:ind w:left="40"/>
              <w:spacing w:after="0"/>
              <w:rPr>
                <w:sz w:val="20"/>
                <w:szCs w:val="20"/>
                <w:color w:val="auto"/>
              </w:rPr>
            </w:pPr>
            <w:r>
              <w:rPr>
                <w:rFonts w:ascii="Arial" w:cs="Arial" w:eastAsia="Arial" w:hAnsi="Arial"/>
                <w:sz w:val="14"/>
                <w:szCs w:val="14"/>
                <w:color w:val="auto"/>
              </w:rPr>
              <w:t>Utilities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tcPr>
          <w:p>
            <w:pPr>
              <w:jc w:val="right"/>
              <w:spacing w:after="0"/>
              <w:rPr>
                <w:sz w:val="20"/>
                <w:szCs w:val="20"/>
                <w:color w:val="auto"/>
              </w:rPr>
            </w:pPr>
            <w:r>
              <w:rPr>
                <w:rFonts w:ascii="Arial" w:cs="Arial" w:eastAsia="Arial" w:hAnsi="Arial"/>
                <w:sz w:val="14"/>
                <w:szCs w:val="14"/>
                <w:color w:val="auto"/>
              </w:rPr>
              <w:t>10/2/2021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1,413,873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1,364,619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1,426,683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TransDigm, Inc.</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C Term</w:t>
            </w: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Aerospace and Defense</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2/28/2020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4,233,198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4,238,155</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4,249,920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w w:val="96"/>
              </w:rPr>
              <w:t>Travel Leaders Group, LLC</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Hotel, Gaming and Leisure</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5.25%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6.03%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1/25/2024</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1,990,095</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2,025,000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Trugreen Limited</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Partnership</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4/13/2023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497,500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490,931</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503,719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Twin River Management</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Arial" w:cs="Arial" w:eastAsia="Arial" w:hAnsi="Arial"/>
                <w:sz w:val="14"/>
                <w:szCs w:val="14"/>
                <w:color w:val="auto"/>
              </w:rPr>
              <w:t>Group, Inc.</w:t>
            </w:r>
          </w:p>
        </w:tc>
        <w:tc>
          <w:tcPr>
            <w:tcW w:w="1780" w:type="dxa"/>
            <w:vAlign w:val="bottom"/>
          </w:tcPr>
          <w:p>
            <w:pPr>
              <w:ind w:left="40"/>
              <w:spacing w:after="0"/>
              <w:rPr>
                <w:sz w:val="20"/>
                <w:szCs w:val="20"/>
                <w:color w:val="auto"/>
              </w:rPr>
            </w:pPr>
            <w:r>
              <w:rPr>
                <w:rFonts w:ascii="Arial" w:cs="Arial" w:eastAsia="Arial" w:hAnsi="Arial"/>
                <w:sz w:val="14"/>
                <w:szCs w:val="14"/>
                <w:color w:val="auto"/>
              </w:rPr>
              <w:t>Lodging &amp; Casinos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tcPr>
          <w:p>
            <w:pPr>
              <w:jc w:val="right"/>
              <w:spacing w:after="0"/>
              <w:rPr>
                <w:sz w:val="20"/>
                <w:szCs w:val="20"/>
                <w:color w:val="auto"/>
              </w:rPr>
            </w:pPr>
            <w:r>
              <w:rPr>
                <w:rFonts w:ascii="Arial" w:cs="Arial" w:eastAsia="Arial" w:hAnsi="Arial"/>
                <w:sz w:val="14"/>
                <w:szCs w:val="14"/>
                <w:color w:val="auto"/>
              </w:rPr>
              <w:t>7/10/2020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809,438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810,684</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819,556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Univar Inc.</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B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2.75%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3.61%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7/1/2022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2,962,500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2,948,361</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2,971,565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tcPr>
          <w:p>
            <w:pPr>
              <w:spacing w:after="0" w:line="130" w:lineRule="exact"/>
              <w:rPr>
                <w:sz w:val="20"/>
                <w:szCs w:val="20"/>
                <w:color w:val="auto"/>
              </w:rPr>
            </w:pPr>
            <w:r>
              <w:rPr>
                <w:rFonts w:ascii="Arial" w:cs="Arial" w:eastAsia="Arial" w:hAnsi="Arial"/>
                <w:sz w:val="14"/>
                <w:szCs w:val="14"/>
                <w:color w:val="auto"/>
                <w:w w:val="99"/>
              </w:rPr>
              <w:t>Univision Communications</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Replacement First-</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Arial" w:cs="Arial" w:eastAsia="Arial" w:hAnsi="Arial"/>
                <w:sz w:val="14"/>
                <w:szCs w:val="14"/>
                <w:color w:val="auto"/>
              </w:rPr>
              <w:t>Inc.</w:t>
            </w:r>
          </w:p>
        </w:tc>
        <w:tc>
          <w:tcPr>
            <w:tcW w:w="1780" w:type="dxa"/>
            <w:vAlign w:val="bottom"/>
          </w:tcPr>
          <w:p>
            <w:pPr>
              <w:ind w:left="40"/>
              <w:spacing w:after="0"/>
              <w:rPr>
                <w:sz w:val="20"/>
                <w:szCs w:val="20"/>
                <w:color w:val="auto"/>
              </w:rPr>
            </w:pPr>
            <w:r>
              <w:rPr>
                <w:rFonts w:ascii="Arial" w:cs="Arial" w:eastAsia="Arial" w:hAnsi="Arial"/>
                <w:sz w:val="14"/>
                <w:szCs w:val="14"/>
                <w:color w:val="auto"/>
              </w:rPr>
              <w:t>Telecommunications</w:t>
            </w:r>
          </w:p>
        </w:tc>
        <w:tc>
          <w:tcPr>
            <w:tcW w:w="1300" w:type="dxa"/>
            <w:vAlign w:val="bottom"/>
          </w:tcPr>
          <w:p>
            <w:pPr>
              <w:ind w:left="80"/>
              <w:spacing w:after="0"/>
              <w:rPr>
                <w:sz w:val="20"/>
                <w:szCs w:val="20"/>
                <w:color w:val="auto"/>
              </w:rPr>
            </w:pPr>
            <w:r>
              <w:rPr>
                <w:rFonts w:ascii="Arial" w:cs="Arial" w:eastAsia="Arial" w:hAnsi="Arial"/>
                <w:sz w:val="14"/>
                <w:szCs w:val="14"/>
                <w:color w:val="auto"/>
              </w:rPr>
              <w:t>Lien 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tcPr>
          <w:p>
            <w:pPr>
              <w:jc w:val="right"/>
              <w:spacing w:after="0"/>
              <w:rPr>
                <w:sz w:val="20"/>
                <w:szCs w:val="20"/>
                <w:color w:val="auto"/>
              </w:rPr>
            </w:pPr>
            <w:r>
              <w:rPr>
                <w:rFonts w:ascii="Arial" w:cs="Arial" w:eastAsia="Arial" w:hAnsi="Arial"/>
                <w:sz w:val="14"/>
                <w:szCs w:val="14"/>
                <w:color w:val="auto"/>
              </w:rPr>
              <w:t>3/1/2020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2,885,666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2,876,319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2,896,949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Valeant Pharmaceuticals</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D2 Term</w:t>
            </w: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International, Inc.</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 B</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2/13/2019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2,445,056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2,437,788</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2,456,890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Verint Systems Inc.</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2.75%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3.53%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9/6/2019</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1,006,278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1,003,396</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1,010,554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Vistra Operations Company</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T/L B (12/16)</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Utilities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12/13/2023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500,000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498,784</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502,970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Vizient Inc.</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Pharmaceuticals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tcPr>
          <w:p>
            <w:pPr>
              <w:jc w:val="right"/>
              <w:spacing w:after="0"/>
              <w:rPr>
                <w:sz w:val="20"/>
                <w:szCs w:val="20"/>
                <w:color w:val="auto"/>
              </w:rPr>
            </w:pPr>
            <w:r>
              <w:rPr>
                <w:rFonts w:ascii="Arial" w:cs="Arial" w:eastAsia="Arial" w:hAnsi="Arial"/>
                <w:sz w:val="14"/>
                <w:szCs w:val="14"/>
                <w:color w:val="auto"/>
              </w:rPr>
              <w:t>2/13/2023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879,853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856,884</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891,405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Vouvray US Finance</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Industrial Equipment</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6/27/2021</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487,500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485,889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486,891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Washington Inventory</w:t>
            </w:r>
          </w:p>
        </w:tc>
        <w:tc>
          <w:tcPr>
            <w:tcW w:w="1780" w:type="dxa"/>
            <w:vAlign w:val="bottom"/>
          </w:tcPr>
          <w:p>
            <w:pPr>
              <w:spacing w:after="0"/>
              <w:rPr>
                <w:sz w:val="11"/>
                <w:szCs w:val="11"/>
                <w:color w:val="auto"/>
              </w:rPr>
            </w:pPr>
          </w:p>
        </w:tc>
        <w:tc>
          <w:tcPr>
            <w:tcW w:w="1300" w:type="dxa"/>
            <w:vAlign w:val="bottom"/>
          </w:tcPr>
          <w:p>
            <w:pPr>
              <w:ind w:left="80"/>
              <w:spacing w:after="0" w:line="130" w:lineRule="exact"/>
              <w:rPr>
                <w:sz w:val="20"/>
                <w:szCs w:val="20"/>
                <w:color w:val="auto"/>
              </w:rPr>
            </w:pPr>
            <w:r>
              <w:rPr>
                <w:rFonts w:ascii="Arial" w:cs="Arial" w:eastAsia="Arial" w:hAnsi="Arial"/>
                <w:sz w:val="14"/>
                <w:szCs w:val="14"/>
                <w:color w:val="auto"/>
              </w:rPr>
              <w:t>U.S. Term Loan</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Arial" w:cs="Arial" w:eastAsia="Arial" w:hAnsi="Arial"/>
                <w:sz w:val="14"/>
                <w:szCs w:val="14"/>
                <w:color w:val="auto"/>
              </w:rPr>
              <w:t>Service</w:t>
            </w:r>
          </w:p>
        </w:tc>
        <w:tc>
          <w:tcPr>
            <w:tcW w:w="1780" w:type="dxa"/>
            <w:vAlign w:val="bottom"/>
          </w:tcPr>
          <w:p>
            <w:pPr>
              <w:ind w:left="40"/>
              <w:spacing w:after="0"/>
              <w:rPr>
                <w:sz w:val="20"/>
                <w:szCs w:val="20"/>
                <w:color w:val="auto"/>
              </w:rPr>
            </w:pPr>
            <w:r>
              <w:rPr>
                <w:rFonts w:ascii="Arial" w:cs="Arial" w:eastAsia="Arial" w:hAnsi="Arial"/>
                <w:sz w:val="14"/>
                <w:szCs w:val="14"/>
                <w:color w:val="auto"/>
              </w:rPr>
              <w:t>Services: Business</w:t>
            </w:r>
          </w:p>
        </w:tc>
        <w:tc>
          <w:tcPr>
            <w:tcW w:w="1300" w:type="dxa"/>
            <w:vAlign w:val="bottom"/>
          </w:tcPr>
          <w:p>
            <w:pPr>
              <w:ind w:left="80"/>
              <w:spacing w:after="0"/>
              <w:rPr>
                <w:sz w:val="20"/>
                <w:szCs w:val="20"/>
                <w:color w:val="auto"/>
              </w:rPr>
            </w:pPr>
            <w:r>
              <w:rPr>
                <w:rFonts w:ascii="Arial" w:cs="Arial" w:eastAsia="Arial" w:hAnsi="Arial"/>
                <w:sz w:val="14"/>
                <w:szCs w:val="14"/>
                <w:color w:val="auto"/>
              </w:rPr>
              <w:t>(First 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5.75%</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5.75%</w:t>
            </w:r>
          </w:p>
        </w:tc>
        <w:tc>
          <w:tcPr>
            <w:tcW w:w="800" w:type="dxa"/>
            <w:vAlign w:val="bottom"/>
          </w:tcPr>
          <w:p>
            <w:pPr>
              <w:jc w:val="right"/>
              <w:spacing w:after="0"/>
              <w:rPr>
                <w:sz w:val="20"/>
                <w:szCs w:val="20"/>
                <w:color w:val="auto"/>
              </w:rPr>
            </w:pPr>
            <w:r>
              <w:rPr>
                <w:rFonts w:ascii="Arial" w:cs="Arial" w:eastAsia="Arial" w:hAnsi="Arial"/>
                <w:sz w:val="14"/>
                <w:szCs w:val="14"/>
                <w:color w:val="auto"/>
              </w:rPr>
              <w:t>12/20/2018</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1,735,292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1,743,798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1,418,601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Western Digital Corporation</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Term Loan B (USD)</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5/1/2023</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1,592,000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1,547,312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1,602,396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w w:val="98"/>
              </w:rPr>
              <w:t>Windstream Services, LLC</w:t>
            </w:r>
          </w:p>
        </w:tc>
        <w:tc>
          <w:tcPr>
            <w:tcW w:w="1780" w:type="dxa"/>
            <w:vAlign w:val="bottom"/>
          </w:tcPr>
          <w:p>
            <w:pPr>
              <w:ind w:left="40"/>
              <w:spacing w:after="0" w:line="149" w:lineRule="exact"/>
              <w:rPr>
                <w:sz w:val="20"/>
                <w:szCs w:val="20"/>
                <w:color w:val="auto"/>
              </w:rPr>
            </w:pPr>
            <w:r>
              <w:rPr>
                <w:rFonts w:ascii="Arial" w:cs="Arial" w:eastAsia="Arial" w:hAnsi="Arial"/>
                <w:sz w:val="14"/>
                <w:szCs w:val="14"/>
                <w:color w:val="auto"/>
              </w:rPr>
              <w:t>Telecommunications</w:t>
            </w: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Term Loan B6</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3/29/2021</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999,375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989,489</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1,006,121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Xerox Business Services</w:t>
            </w:r>
          </w:p>
        </w:tc>
        <w:tc>
          <w:tcPr>
            <w:tcW w:w="17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T/L B (Conduent)</w:t>
            </w:r>
          </w:p>
        </w:tc>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12/7/2023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750,000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737,850</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761,955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Zekelman Industries (JMC</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Arial" w:cs="Arial" w:eastAsia="Arial" w:hAnsi="Arial"/>
                <w:sz w:val="14"/>
                <w:szCs w:val="14"/>
                <w:color w:val="auto"/>
              </w:rPr>
              <w:t>Steel) T/L (01/17)</w:t>
            </w:r>
          </w:p>
        </w:tc>
        <w:tc>
          <w:tcPr>
            <w:tcW w:w="1780" w:type="dxa"/>
            <w:vAlign w:val="bottom"/>
          </w:tcPr>
          <w:p>
            <w:pPr>
              <w:ind w:left="40"/>
              <w:spacing w:after="0"/>
              <w:rPr>
                <w:sz w:val="20"/>
                <w:szCs w:val="20"/>
                <w:color w:val="auto"/>
              </w:rPr>
            </w:pPr>
            <w:r>
              <w:rPr>
                <w:rFonts w:ascii="Arial" w:cs="Arial" w:eastAsia="Arial" w:hAnsi="Arial"/>
                <w:sz w:val="14"/>
                <w:szCs w:val="14"/>
                <w:color w:val="auto"/>
              </w:rPr>
              <w:t>Nonferrous Metals/Minerals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6/14/2021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500,000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501,250</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506,040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ZEP, Inc.</w:t>
            </w:r>
          </w:p>
        </w:tc>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6/27/2022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2,955,000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2,941,390</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2,984,550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Zest Holdings 1st Lien T/L</w:t>
            </w:r>
          </w:p>
        </w:tc>
        <w:tc>
          <w:tcPr>
            <w:tcW w:w="1780" w:type="dxa"/>
            <w:vAlign w:val="bottom"/>
          </w:tcPr>
          <w:p>
            <w:pPr>
              <w:ind w:left="40"/>
              <w:spacing w:after="0" w:line="130" w:lineRule="exact"/>
              <w:rPr>
                <w:sz w:val="20"/>
                <w:szCs w:val="20"/>
                <w:color w:val="auto"/>
              </w:rPr>
            </w:pPr>
            <w:r>
              <w:rPr>
                <w:rFonts w:ascii="Arial" w:cs="Arial" w:eastAsia="Arial" w:hAnsi="Arial"/>
                <w:sz w:val="14"/>
                <w:szCs w:val="14"/>
                <w:color w:val="auto"/>
              </w:rPr>
              <w:t>Healthcare &amp;</w:t>
            </w: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Arial" w:cs="Arial" w:eastAsia="Arial" w:hAnsi="Arial"/>
                <w:sz w:val="14"/>
                <w:szCs w:val="14"/>
                <w:color w:val="auto"/>
              </w:rPr>
              <w:t>(2014 Replacement)</w:t>
            </w:r>
          </w:p>
        </w:tc>
        <w:tc>
          <w:tcPr>
            <w:tcW w:w="1780" w:type="dxa"/>
            <w:vAlign w:val="bottom"/>
          </w:tcPr>
          <w:p>
            <w:pPr>
              <w:ind w:left="40"/>
              <w:spacing w:after="0"/>
              <w:rPr>
                <w:sz w:val="20"/>
                <w:szCs w:val="20"/>
                <w:color w:val="auto"/>
              </w:rPr>
            </w:pPr>
            <w:r>
              <w:rPr>
                <w:rFonts w:ascii="Arial" w:cs="Arial" w:eastAsia="Arial" w:hAnsi="Arial"/>
                <w:sz w:val="14"/>
                <w:szCs w:val="14"/>
                <w:color w:val="auto"/>
              </w:rPr>
              <w:t>Pharmaceuticals</w:t>
            </w:r>
          </w:p>
        </w:tc>
        <w:tc>
          <w:tcPr>
            <w:tcW w:w="1300" w:type="dxa"/>
            <w:vAlign w:val="bottom"/>
          </w:tcPr>
          <w:p>
            <w:pPr>
              <w:ind w:left="80"/>
              <w:spacing w:after="0"/>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5.75%</w:t>
            </w:r>
          </w:p>
        </w:tc>
        <w:tc>
          <w:tcPr>
            <w:tcW w:w="800" w:type="dxa"/>
            <w:vAlign w:val="bottom"/>
          </w:tcPr>
          <w:p>
            <w:pPr>
              <w:jc w:val="right"/>
              <w:spacing w:after="0"/>
              <w:rPr>
                <w:sz w:val="20"/>
                <w:szCs w:val="20"/>
                <w:color w:val="auto"/>
              </w:rPr>
            </w:pPr>
            <w:r>
              <w:rPr>
                <w:rFonts w:ascii="Arial" w:cs="Arial" w:eastAsia="Arial" w:hAnsi="Arial"/>
                <w:sz w:val="14"/>
                <w:szCs w:val="14"/>
                <w:color w:val="auto"/>
              </w:rPr>
              <w:t>8/17/2020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995,523</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1,012,500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u w:val="single" w:color="auto"/>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89"/>
              </w:rPr>
              <w:t>297,801,502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2"/>
              </w:rPr>
              <w:t>292,460,648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1"/>
              </w:rPr>
              <w:t>Cash and cash equivalents</w:t>
            </w:r>
          </w:p>
        </w:tc>
        <w:tc>
          <w:tcPr>
            <w:tcW w:w="178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U.S. Bank Money</w:t>
            </w: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Arial" w:cs="Arial" w:eastAsia="Arial" w:hAnsi="Arial"/>
                <w:sz w:val="14"/>
                <w:szCs w:val="14"/>
                <w:color w:val="auto"/>
              </w:rPr>
              <w:t>Market (a)</w:t>
            </w: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13,046,555</w:t>
            </w:r>
          </w:p>
        </w:tc>
        <w:tc>
          <w:tcPr>
            <w:tcW w:w="6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13,046,555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13,046,555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w:t>
            </w:r>
          </w:p>
        </w:tc>
        <w:tc>
          <w:tcPr>
            <w:tcW w:w="1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13,046,555</w:t>
            </w: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9"/>
              </w:rPr>
              <w:t>13,046,555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13,046,555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580" w:right="2180" w:hanging="5572"/>
        <w:spacing w:after="0" w:line="449" w:lineRule="auto"/>
        <w:tabs>
          <w:tab w:leader="none" w:pos="379"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Included within cash and cash equivalents in Saratoga CLO’s Statements of Assets and Liabilities as of February 28, 2017. S-5</w:t>
      </w:r>
    </w:p>
    <w:p>
      <w:pPr>
        <w:sectPr>
          <w:pgSz w:w="11900" w:h="16838" w:orient="portrait"/>
          <w:cols w:equalWidth="0" w:num="1">
            <w:col w:w="11420"/>
          </w:cols>
          <w:pgMar w:left="240" w:top="108"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29,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Asset</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LIBOR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Current</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Maturity</w:t>
            </w:r>
          </w:p>
        </w:tc>
        <w:tc>
          <w:tcPr>
            <w:tcW w:w="60" w:type="dxa"/>
            <w:vAlign w:val="bottom"/>
          </w:tcPr>
          <w:p>
            <w:pPr>
              <w:spacing w:after="0"/>
              <w:rPr>
                <w:sz w:val="14"/>
                <w:szCs w:val="14"/>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Principal/</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8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Industry</w:t>
            </w:r>
          </w:p>
        </w:tc>
        <w:tc>
          <w:tcPr>
            <w:tcW w:w="14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Asset Name</w:t>
            </w:r>
          </w:p>
        </w:tc>
        <w:tc>
          <w:tcPr>
            <w:tcW w:w="480" w:type="dxa"/>
            <w:vAlign w:val="bottom"/>
            <w:gridSpan w:val="2"/>
            <w:vMerge w:val="continue"/>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8"/>
              </w:rPr>
              <w:t>Spread</w:t>
            </w:r>
          </w:p>
        </w:tc>
        <w:tc>
          <w:tcPr>
            <w:tcW w:w="720" w:type="dxa"/>
            <w:vAlign w:val="bottom"/>
            <w:gridSpan w:val="2"/>
            <w:vMerge w:val="continue"/>
          </w:tcPr>
          <w:p>
            <w:pPr>
              <w:spacing w:after="0"/>
              <w:rPr>
                <w:sz w:val="12"/>
                <w:szCs w:val="12"/>
                <w:color w:val="auto"/>
              </w:rPr>
            </w:pPr>
          </w:p>
        </w:tc>
        <w:tc>
          <w:tcPr>
            <w:tcW w:w="5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PIK</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Rate</w:t>
            </w: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58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Type</w:t>
            </w:r>
          </w:p>
        </w:tc>
        <w:tc>
          <w:tcPr>
            <w:tcW w:w="680" w:type="dxa"/>
            <w:vAlign w:val="bottom"/>
            <w:gridSpan w:val="2"/>
            <w:vMerge w:val="continue"/>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Floor</w:t>
            </w:r>
          </w:p>
        </w:tc>
        <w:tc>
          <w:tcPr>
            <w:tcW w:w="540" w:type="dxa"/>
            <w:vAlign w:val="bottom"/>
            <w:gridSpan w:val="2"/>
            <w:vMerge w:val="continue"/>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(All In)</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Date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Education</w:t>
            </w:r>
          </w:p>
        </w:tc>
        <w:tc>
          <w:tcPr>
            <w:tcW w:w="8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Management</w:t>
            </w:r>
          </w:p>
        </w:tc>
        <w:tc>
          <w:tcPr>
            <w:tcW w:w="17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Leisure</w:t>
            </w:r>
          </w:p>
        </w:tc>
        <w:tc>
          <w:tcPr>
            <w:tcW w:w="8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II, LLC</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Goods/Activities/Movies</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A-1 Preferred Shares</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6,692</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669,214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1,673</w:t>
            </w:r>
          </w:p>
        </w:tc>
        <w:tc>
          <w:tcPr>
            <w:tcW w:w="0" w:type="dxa"/>
            <w:vAlign w:val="bottom"/>
          </w:tcPr>
          <w:p>
            <w:pPr>
              <w:spacing w:after="0"/>
              <w:rPr>
                <w:sz w:val="1"/>
                <w:szCs w:val="1"/>
                <w:color w:val="auto"/>
              </w:rPr>
            </w:pPr>
          </w:p>
        </w:tc>
      </w:tr>
      <w:tr>
        <w:trPr>
          <w:trHeight w:val="130"/>
        </w:trPr>
        <w:tc>
          <w:tcPr>
            <w:tcW w:w="1580" w:type="dxa"/>
            <w:vAlign w:val="bottom"/>
            <w:gridSpan w:val="2"/>
          </w:tcPr>
          <w:p>
            <w:pPr>
              <w:spacing w:after="0" w:line="130" w:lineRule="exact"/>
              <w:rPr>
                <w:sz w:val="20"/>
                <w:szCs w:val="20"/>
                <w:color w:val="auto"/>
              </w:rPr>
            </w:pPr>
            <w:r>
              <w:rPr>
                <w:rFonts w:ascii="Arial" w:cs="Arial" w:eastAsia="Arial" w:hAnsi="Arial"/>
                <w:sz w:val="14"/>
                <w:szCs w:val="14"/>
                <w:color w:val="auto"/>
              </w:rPr>
              <w:t>Education Management</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Leisure</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ind w:left="160"/>
              <w:spacing w:after="0"/>
              <w:rPr>
                <w:sz w:val="20"/>
                <w:szCs w:val="20"/>
                <w:color w:val="auto"/>
              </w:rPr>
            </w:pPr>
            <w:r>
              <w:rPr>
                <w:rFonts w:ascii="Arial" w:cs="Arial" w:eastAsia="Arial" w:hAnsi="Arial"/>
                <w:sz w:val="14"/>
                <w:szCs w:val="14"/>
                <w:color w:val="auto"/>
              </w:rPr>
              <w:t>II, LLC</w:t>
            </w:r>
          </w:p>
        </w:tc>
        <w:tc>
          <w:tcPr>
            <w:tcW w:w="1860" w:type="dxa"/>
            <w:vAlign w:val="bottom"/>
            <w:gridSpan w:val="2"/>
          </w:tcPr>
          <w:p>
            <w:pPr>
              <w:spacing w:after="0"/>
              <w:rPr>
                <w:sz w:val="20"/>
                <w:szCs w:val="20"/>
                <w:color w:val="auto"/>
              </w:rPr>
            </w:pPr>
            <w:r>
              <w:rPr>
                <w:rFonts w:ascii="Arial" w:cs="Arial" w:eastAsia="Arial" w:hAnsi="Arial"/>
                <w:sz w:val="14"/>
                <w:szCs w:val="14"/>
                <w:color w:val="auto"/>
              </w:rPr>
              <w:t>Goods/Activities/Movies</w:t>
            </w:r>
          </w:p>
        </w:tc>
        <w:tc>
          <w:tcPr>
            <w:tcW w:w="1400" w:type="dxa"/>
            <w:vAlign w:val="bottom"/>
            <w:gridSpan w:val="2"/>
          </w:tcPr>
          <w:p>
            <w:pPr>
              <w:spacing w:after="0"/>
              <w:rPr>
                <w:sz w:val="20"/>
                <w:szCs w:val="20"/>
                <w:color w:val="auto"/>
              </w:rPr>
            </w:pPr>
            <w:r>
              <w:rPr>
                <w:rFonts w:ascii="Arial" w:cs="Arial" w:eastAsia="Arial" w:hAnsi="Arial"/>
                <w:sz w:val="14"/>
                <w:szCs w:val="14"/>
                <w:color w:val="auto"/>
              </w:rPr>
              <w:t>A-2 Preferred Shares</w:t>
            </w:r>
          </w:p>
        </w:tc>
        <w:tc>
          <w:tcPr>
            <w:tcW w:w="480" w:type="dxa"/>
            <w:vAlign w:val="bottom"/>
            <w:gridSpan w:val="2"/>
          </w:tcPr>
          <w:p>
            <w:pPr>
              <w:spacing w:after="0"/>
              <w:rPr>
                <w:sz w:val="20"/>
                <w:szCs w:val="20"/>
                <w:color w:val="auto"/>
              </w:rPr>
            </w:pPr>
            <w:r>
              <w:rPr>
                <w:rFonts w:ascii="Arial" w:cs="Arial" w:eastAsia="Arial" w:hAnsi="Arial"/>
                <w:sz w:val="14"/>
                <w:szCs w:val="14"/>
                <w:color w:val="auto"/>
              </w:rPr>
              <w:t>Equity</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18,975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1,897,538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New Millennium Holdco,</w:t>
            </w: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Healthcare &amp; Pharmaceuticals</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14,813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964,466</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190,095</w:t>
            </w:r>
          </w:p>
        </w:tc>
        <w:tc>
          <w:tcPr>
            <w:tcW w:w="0" w:type="dxa"/>
            <w:vAlign w:val="bottom"/>
          </w:tcPr>
          <w:p>
            <w:pPr>
              <w:spacing w:after="0"/>
              <w:rPr>
                <w:sz w:val="1"/>
                <w:szCs w:val="1"/>
                <w:color w:val="auto"/>
              </w:rPr>
            </w:pPr>
          </w:p>
        </w:tc>
      </w:tr>
      <w:tr>
        <w:trPr>
          <w:trHeight w:val="130"/>
        </w:trPr>
        <w:tc>
          <w:tcPr>
            <w:tcW w:w="1580" w:type="dxa"/>
            <w:vAlign w:val="bottom"/>
            <w:gridSpan w:val="2"/>
          </w:tcPr>
          <w:p>
            <w:pPr>
              <w:spacing w:after="0" w:line="130" w:lineRule="exact"/>
              <w:rPr>
                <w:sz w:val="20"/>
                <w:szCs w:val="20"/>
                <w:color w:val="auto"/>
              </w:rPr>
            </w:pPr>
            <w:r>
              <w:rPr>
                <w:rFonts w:ascii="Arial" w:cs="Arial" w:eastAsia="Arial" w:hAnsi="Arial"/>
                <w:sz w:val="14"/>
                <w:szCs w:val="14"/>
                <w:color w:val="auto"/>
              </w:rPr>
              <w:t>24 Hour Holdings III,</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Leisure</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ind w:left="160"/>
              <w:spacing w:after="0"/>
              <w:rPr>
                <w:sz w:val="20"/>
                <w:szCs w:val="20"/>
                <w:color w:val="auto"/>
              </w:rPr>
            </w:pPr>
            <w:r>
              <w:rPr>
                <w:rFonts w:ascii="Arial" w:cs="Arial" w:eastAsia="Arial" w:hAnsi="Arial"/>
                <w:sz w:val="14"/>
                <w:szCs w:val="14"/>
                <w:color w:val="auto"/>
              </w:rPr>
              <w:t>LLC</w:t>
            </w:r>
          </w:p>
        </w:tc>
        <w:tc>
          <w:tcPr>
            <w:tcW w:w="1860" w:type="dxa"/>
            <w:vAlign w:val="bottom"/>
            <w:gridSpan w:val="2"/>
          </w:tcPr>
          <w:p>
            <w:pPr>
              <w:spacing w:after="0"/>
              <w:rPr>
                <w:sz w:val="20"/>
                <w:szCs w:val="20"/>
                <w:color w:val="auto"/>
              </w:rPr>
            </w:pPr>
            <w:r>
              <w:rPr>
                <w:rFonts w:ascii="Arial" w:cs="Arial" w:eastAsia="Arial" w:hAnsi="Arial"/>
                <w:sz w:val="14"/>
                <w:szCs w:val="14"/>
                <w:color w:val="auto"/>
              </w:rPr>
              <w:t>Goods/Activities/Movies</w:t>
            </w:r>
          </w:p>
        </w:tc>
        <w:tc>
          <w:tcPr>
            <w:tcW w:w="1400" w:type="dxa"/>
            <w:vAlign w:val="bottom"/>
            <w:gridSpan w:val="2"/>
          </w:tcPr>
          <w:p>
            <w:pPr>
              <w:spacing w:after="0"/>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3.75%</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4.75%</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5/28/2021</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492,500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488,586</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455,154</w:t>
            </w:r>
          </w:p>
        </w:tc>
        <w:tc>
          <w:tcPr>
            <w:tcW w:w="0" w:type="dxa"/>
            <w:vAlign w:val="bottom"/>
          </w:tcPr>
          <w:p>
            <w:pPr>
              <w:spacing w:after="0"/>
              <w:rPr>
                <w:sz w:val="1"/>
                <w:szCs w:val="1"/>
                <w:color w:val="auto"/>
              </w:rPr>
            </w:pPr>
          </w:p>
        </w:tc>
      </w:tr>
      <w:tr>
        <w:trPr>
          <w:trHeight w:val="149"/>
        </w:trPr>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Acosta Holdco, Inc.</w:t>
            </w: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Media</w:t>
            </w:r>
          </w:p>
        </w:tc>
        <w:tc>
          <w:tcPr>
            <w:tcW w:w="1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B1</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3.25%</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4.25%</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9/26/2021</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1,972,936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1,959,834</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1,855,389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580" w:type="dxa"/>
            <w:vAlign w:val="bottom"/>
            <w:gridSpan w:val="2"/>
          </w:tcPr>
          <w:p>
            <w:pPr>
              <w:spacing w:after="0" w:line="130" w:lineRule="exact"/>
              <w:rPr>
                <w:sz w:val="20"/>
                <w:szCs w:val="20"/>
                <w:color w:val="auto"/>
              </w:rPr>
            </w:pPr>
            <w:r>
              <w:rPr>
                <w:rFonts w:ascii="Arial" w:cs="Arial" w:eastAsia="Arial" w:hAnsi="Arial"/>
                <w:sz w:val="14"/>
                <w:szCs w:val="14"/>
                <w:color w:val="auto"/>
              </w:rPr>
              <w:t>Aspen Dental</w:t>
            </w: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ind w:left="160"/>
              <w:spacing w:after="0"/>
              <w:rPr>
                <w:sz w:val="20"/>
                <w:szCs w:val="20"/>
                <w:color w:val="auto"/>
              </w:rPr>
            </w:pPr>
            <w:r>
              <w:rPr>
                <w:rFonts w:ascii="Arial" w:cs="Arial" w:eastAsia="Arial" w:hAnsi="Arial"/>
                <w:sz w:val="14"/>
                <w:szCs w:val="14"/>
                <w:color w:val="auto"/>
              </w:rPr>
              <w:t>Management, Inc.</w:t>
            </w:r>
          </w:p>
        </w:tc>
        <w:tc>
          <w:tcPr>
            <w:tcW w:w="1860" w:type="dxa"/>
            <w:vAlign w:val="bottom"/>
            <w:gridSpan w:val="2"/>
          </w:tcPr>
          <w:p>
            <w:pPr>
              <w:spacing w:after="0"/>
              <w:rPr>
                <w:sz w:val="20"/>
                <w:szCs w:val="20"/>
                <w:color w:val="auto"/>
              </w:rPr>
            </w:pPr>
            <w:r>
              <w:rPr>
                <w:rFonts w:ascii="Arial" w:cs="Arial" w:eastAsia="Arial" w:hAnsi="Arial"/>
                <w:sz w:val="14"/>
                <w:szCs w:val="14"/>
                <w:color w:val="auto"/>
                <w:w w:val="97"/>
              </w:rPr>
              <w:t>Healthcare &amp; Pharmaceuticals</w:t>
            </w:r>
          </w:p>
        </w:tc>
        <w:tc>
          <w:tcPr>
            <w:tcW w:w="1400" w:type="dxa"/>
            <w:vAlign w:val="bottom"/>
            <w:gridSpan w:val="2"/>
          </w:tcPr>
          <w:p>
            <w:pPr>
              <w:spacing w:after="0"/>
              <w:rPr>
                <w:sz w:val="20"/>
                <w:szCs w:val="20"/>
                <w:color w:val="auto"/>
              </w:rPr>
            </w:pPr>
            <w:r>
              <w:rPr>
                <w:rFonts w:ascii="Arial" w:cs="Arial" w:eastAsia="Arial" w:hAnsi="Arial"/>
                <w:sz w:val="14"/>
                <w:szCs w:val="14"/>
                <w:color w:val="auto"/>
              </w:rPr>
              <w:t>Term Loan Initial</w:t>
            </w:r>
          </w:p>
        </w:tc>
        <w:tc>
          <w:tcPr>
            <w:tcW w:w="480" w:type="dxa"/>
            <w:vAlign w:val="bottom"/>
            <w:gridSpan w:val="2"/>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4.50%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5.50%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4/29/2022</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497,500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495,228</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495,221</w:t>
            </w: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Advantage Sales &amp;</w:t>
            </w: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Delayed Draw Term</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Marketing, Inc.</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Services: Business</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7/25/2021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2,471,231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2,468,039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2,342,826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Agrofresh, Inc.</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Food Services</w:t>
            </w: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4.75%</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5.75%</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7/30/2021</w:t>
            </w:r>
          </w:p>
        </w:tc>
        <w:tc>
          <w:tcPr>
            <w:tcW w:w="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1,990,000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1,980,704</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1,935,275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Aegis Toxicology</w:t>
            </w: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Science Corporation</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Healthcare &amp; Pharmaceuticals</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B Loan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2/24/2021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985,000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985,000</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797,850</w:t>
            </w:r>
          </w:p>
        </w:tc>
        <w:tc>
          <w:tcPr>
            <w:tcW w:w="0" w:type="dxa"/>
            <w:vAlign w:val="bottom"/>
          </w:tcPr>
          <w:p>
            <w:pPr>
              <w:spacing w:after="0"/>
              <w:rPr>
                <w:sz w:val="1"/>
                <w:szCs w:val="1"/>
                <w:color w:val="auto"/>
              </w:rPr>
            </w:pPr>
          </w:p>
        </w:tc>
      </w:tr>
      <w:tr>
        <w:trPr>
          <w:trHeight w:val="149"/>
        </w:trPr>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Akorn, Inc.</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w w:val="97"/>
              </w:rPr>
              <w:t>Healthcare &amp; Pharmaceuticals</w:t>
            </w: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6.00%</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4/16/2021</w:t>
            </w:r>
          </w:p>
        </w:tc>
        <w:tc>
          <w:tcPr>
            <w:tcW w:w="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398,056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396,681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396,066</w:t>
            </w: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Albertson’s LLC</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Retailers (Except Food and</w:t>
            </w: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Drugs)</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B-4</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8/25/2021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3,384,425</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3,367,410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3,302,623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tcPr>
          <w:p>
            <w:pPr>
              <w:spacing w:after="0" w:line="130" w:lineRule="exact"/>
              <w:rPr>
                <w:sz w:val="20"/>
                <w:szCs w:val="20"/>
                <w:color w:val="auto"/>
              </w:rPr>
            </w:pPr>
            <w:r>
              <w:rPr>
                <w:rFonts w:ascii="Arial" w:cs="Arial" w:eastAsia="Arial" w:hAnsi="Arial"/>
                <w:sz w:val="14"/>
                <w:szCs w:val="14"/>
                <w:color w:val="auto"/>
              </w:rPr>
              <w:t>Alere Inc. (fka IM US</w:t>
            </w: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ind w:left="160"/>
              <w:spacing w:after="0"/>
              <w:rPr>
                <w:sz w:val="20"/>
                <w:szCs w:val="20"/>
                <w:color w:val="auto"/>
              </w:rPr>
            </w:pPr>
            <w:r>
              <w:rPr>
                <w:rFonts w:ascii="Arial" w:cs="Arial" w:eastAsia="Arial" w:hAnsi="Arial"/>
                <w:sz w:val="14"/>
                <w:szCs w:val="14"/>
                <w:color w:val="auto"/>
              </w:rPr>
              <w:t>Holdings, LLC)</w:t>
            </w:r>
          </w:p>
        </w:tc>
        <w:tc>
          <w:tcPr>
            <w:tcW w:w="1860" w:type="dxa"/>
            <w:vAlign w:val="bottom"/>
            <w:gridSpan w:val="2"/>
          </w:tcPr>
          <w:p>
            <w:pPr>
              <w:spacing w:after="0"/>
              <w:rPr>
                <w:sz w:val="20"/>
                <w:szCs w:val="20"/>
                <w:color w:val="auto"/>
              </w:rPr>
            </w:pPr>
            <w:r>
              <w:rPr>
                <w:rFonts w:ascii="Arial" w:cs="Arial" w:eastAsia="Arial" w:hAnsi="Arial"/>
                <w:sz w:val="14"/>
                <w:szCs w:val="14"/>
                <w:color w:val="auto"/>
                <w:w w:val="97"/>
              </w:rPr>
              <w:t>Healthcare &amp; Pharmaceuticals</w:t>
            </w:r>
          </w:p>
        </w:tc>
        <w:tc>
          <w:tcPr>
            <w:tcW w:w="1400" w:type="dxa"/>
            <w:vAlign w:val="bottom"/>
            <w:gridSpan w:val="2"/>
          </w:tcPr>
          <w:p>
            <w:pPr>
              <w:spacing w:after="0"/>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3.25%</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4.25%</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6/20/2022</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927,265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925,091</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925,365</w:t>
            </w: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Alion Science and</w:t>
            </w: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Technology</w:t>
            </w:r>
          </w:p>
        </w:tc>
        <w:tc>
          <w:tcPr>
            <w:tcW w:w="1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 (First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High Tech Industries</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Lien)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8/19/2021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2,985,000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2,971,074</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2,824,555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tcPr>
          <w:p>
            <w:pPr>
              <w:spacing w:after="0" w:line="130" w:lineRule="exact"/>
              <w:rPr>
                <w:sz w:val="20"/>
                <w:szCs w:val="20"/>
                <w:color w:val="auto"/>
              </w:rPr>
            </w:pPr>
            <w:r>
              <w:rPr>
                <w:rFonts w:ascii="Arial" w:cs="Arial" w:eastAsia="Arial" w:hAnsi="Arial"/>
                <w:sz w:val="14"/>
                <w:szCs w:val="14"/>
                <w:color w:val="auto"/>
              </w:rPr>
              <w:t>Alliance Healthcare</w:t>
            </w: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ind w:left="160"/>
              <w:spacing w:after="0"/>
              <w:rPr>
                <w:sz w:val="20"/>
                <w:szCs w:val="20"/>
                <w:color w:val="auto"/>
              </w:rPr>
            </w:pPr>
            <w:r>
              <w:rPr>
                <w:rFonts w:ascii="Arial" w:cs="Arial" w:eastAsia="Arial" w:hAnsi="Arial"/>
                <w:sz w:val="14"/>
                <w:szCs w:val="14"/>
                <w:color w:val="auto"/>
              </w:rPr>
              <w:t>Services, Inc.</w:t>
            </w:r>
          </w:p>
        </w:tc>
        <w:tc>
          <w:tcPr>
            <w:tcW w:w="1860" w:type="dxa"/>
            <w:vAlign w:val="bottom"/>
            <w:gridSpan w:val="2"/>
          </w:tcPr>
          <w:p>
            <w:pPr>
              <w:spacing w:after="0"/>
              <w:rPr>
                <w:sz w:val="20"/>
                <w:szCs w:val="20"/>
                <w:color w:val="auto"/>
              </w:rPr>
            </w:pPr>
            <w:r>
              <w:rPr>
                <w:rFonts w:ascii="Arial" w:cs="Arial" w:eastAsia="Arial" w:hAnsi="Arial"/>
                <w:sz w:val="14"/>
                <w:szCs w:val="14"/>
                <w:color w:val="auto"/>
                <w:w w:val="97"/>
              </w:rPr>
              <w:t>Healthcare &amp; Pharmaceuticals</w:t>
            </w:r>
          </w:p>
        </w:tc>
        <w:tc>
          <w:tcPr>
            <w:tcW w:w="1400" w:type="dxa"/>
            <w:vAlign w:val="bottom"/>
            <w:gridSpan w:val="2"/>
          </w:tcPr>
          <w:p>
            <w:pPr>
              <w:spacing w:after="0"/>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3.25%</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4.25%</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6/3/2019</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994,856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990,161</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906,981</w:t>
            </w: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Alliant Holdings I, LLC</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Banking, Finance, Insurance</w:t>
            </w:r>
          </w:p>
        </w:tc>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B (First</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&amp; Real Estate</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Lien)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8/12/2022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995,000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992,679</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960,921</w:t>
            </w:r>
          </w:p>
        </w:tc>
        <w:tc>
          <w:tcPr>
            <w:tcW w:w="0" w:type="dxa"/>
            <w:vAlign w:val="bottom"/>
          </w:tcPr>
          <w:p>
            <w:pPr>
              <w:spacing w:after="0"/>
              <w:rPr>
                <w:sz w:val="1"/>
                <w:szCs w:val="1"/>
                <w:color w:val="auto"/>
              </w:rPr>
            </w:pPr>
          </w:p>
        </w:tc>
      </w:tr>
      <w:tr>
        <w:trPr>
          <w:trHeight w:val="149"/>
        </w:trPr>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Alvogen Pharma US, Inc</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w w:val="97"/>
              </w:rPr>
              <w:t>Healthcare &amp; Pharmaceuticals</w:t>
            </w: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6.00%</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4/4/2022</w:t>
            </w:r>
          </w:p>
        </w:tc>
        <w:tc>
          <w:tcPr>
            <w:tcW w:w="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480,447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478,240</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456,425</w:t>
            </w: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Beacon</w:t>
            </w: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(First</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Advisors, Inc.</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Financial Intermediaries</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Lien)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4/30/2022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248,749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247,612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244,190</w:t>
            </w:r>
          </w:p>
        </w:tc>
        <w:tc>
          <w:tcPr>
            <w:tcW w:w="0" w:type="dxa"/>
            <w:vAlign w:val="bottom"/>
          </w:tcPr>
          <w:p>
            <w:pPr>
              <w:spacing w:after="0"/>
              <w:rPr>
                <w:sz w:val="1"/>
                <w:szCs w:val="1"/>
                <w:color w:val="auto"/>
              </w:rPr>
            </w:pPr>
          </w:p>
        </w:tc>
      </w:tr>
      <w:tr>
        <w:trPr>
          <w:trHeight w:val="149"/>
        </w:trPr>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Aramark Corporation</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Food Products</w:t>
            </w: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LC-2 Facility</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3.50%</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0.62%</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4.12%</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7/26/2016</w:t>
            </w:r>
          </w:p>
        </w:tc>
        <w:tc>
          <w:tcPr>
            <w:tcW w:w="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9,447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9,445</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9,305</w:t>
            </w:r>
          </w:p>
        </w:tc>
        <w:tc>
          <w:tcPr>
            <w:tcW w:w="0" w:type="dxa"/>
            <w:vAlign w:val="bottom"/>
          </w:tcPr>
          <w:p>
            <w:pPr>
              <w:spacing w:after="0"/>
              <w:rPr>
                <w:sz w:val="1"/>
                <w:szCs w:val="1"/>
                <w:color w:val="auto"/>
              </w:rPr>
            </w:pPr>
          </w:p>
        </w:tc>
      </w:tr>
      <w:tr>
        <w:trPr>
          <w:trHeight w:val="149"/>
        </w:trPr>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Food Products</w:t>
            </w:r>
          </w:p>
        </w:tc>
        <w:tc>
          <w:tcPr>
            <w:tcW w:w="1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LC-3 Facility</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0.62%</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4.12%</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7/26/2016</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5,244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5,244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5,166</w:t>
            </w:r>
          </w:p>
        </w:tc>
        <w:tc>
          <w:tcPr>
            <w:tcW w:w="0" w:type="dxa"/>
            <w:vAlign w:val="bottom"/>
          </w:tcPr>
          <w:p>
            <w:pPr>
              <w:spacing w:after="0"/>
              <w:rPr>
                <w:sz w:val="1"/>
                <w:szCs w:val="1"/>
                <w:color w:val="auto"/>
              </w:rPr>
            </w:pPr>
          </w:p>
        </w:tc>
      </w:tr>
      <w:tr>
        <w:trPr>
          <w:trHeight w:val="149"/>
        </w:trPr>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Aramark Corporation</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Food Products</w:t>
            </w: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U.S. Term F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0.75%</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3.25%</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2/24/2021</w:t>
            </w:r>
          </w:p>
        </w:tc>
        <w:tc>
          <w:tcPr>
            <w:tcW w:w="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3,150,423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3,150,423</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3,126,133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Asurion, LLC (fka</w:t>
            </w: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Incremental Tranche</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Asurion Corporation)</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Insurance</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B-1 Term Loan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1.25%</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5/24/2019</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2,596,480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2,573,245</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2,441,237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tcPr>
          <w:p>
            <w:pPr>
              <w:spacing w:after="0" w:line="130" w:lineRule="exact"/>
              <w:rPr>
                <w:sz w:val="20"/>
                <w:szCs w:val="20"/>
                <w:color w:val="auto"/>
              </w:rPr>
            </w:pPr>
            <w:r>
              <w:rPr>
                <w:rFonts w:ascii="Arial" w:cs="Arial" w:eastAsia="Arial" w:hAnsi="Arial"/>
                <w:sz w:val="14"/>
                <w:szCs w:val="14"/>
                <w:color w:val="auto"/>
              </w:rPr>
              <w:t>Asurion, LLC (fka</w:t>
            </w: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spacing w:after="0" w:line="130" w:lineRule="exact"/>
              <w:rPr>
                <w:sz w:val="20"/>
                <w:szCs w:val="20"/>
                <w:color w:val="auto"/>
              </w:rPr>
            </w:pPr>
            <w:r>
              <w:rPr>
                <w:rFonts w:ascii="Arial" w:cs="Arial" w:eastAsia="Arial" w:hAnsi="Arial"/>
                <w:sz w:val="14"/>
                <w:szCs w:val="14"/>
                <w:color w:val="auto"/>
              </w:rPr>
              <w:t>Term Loan B4 (First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ind w:left="160"/>
              <w:spacing w:after="0"/>
              <w:rPr>
                <w:sz w:val="20"/>
                <w:szCs w:val="20"/>
                <w:color w:val="auto"/>
              </w:rPr>
            </w:pPr>
            <w:r>
              <w:rPr>
                <w:rFonts w:ascii="Arial" w:cs="Arial" w:eastAsia="Arial" w:hAnsi="Arial"/>
                <w:sz w:val="14"/>
                <w:szCs w:val="14"/>
                <w:color w:val="auto"/>
              </w:rPr>
              <w:t>Asurion Corporation)</w:t>
            </w:r>
          </w:p>
        </w:tc>
        <w:tc>
          <w:tcPr>
            <w:tcW w:w="1860" w:type="dxa"/>
            <w:vAlign w:val="bottom"/>
            <w:gridSpan w:val="2"/>
          </w:tcPr>
          <w:p>
            <w:pPr>
              <w:spacing w:after="0"/>
              <w:rPr>
                <w:sz w:val="20"/>
                <w:szCs w:val="20"/>
                <w:color w:val="auto"/>
              </w:rPr>
            </w:pPr>
            <w:r>
              <w:rPr>
                <w:rFonts w:ascii="Arial" w:cs="Arial" w:eastAsia="Arial" w:hAnsi="Arial"/>
                <w:sz w:val="14"/>
                <w:szCs w:val="14"/>
                <w:color w:val="auto"/>
              </w:rPr>
              <w:t>Insurance</w:t>
            </w:r>
          </w:p>
        </w:tc>
        <w:tc>
          <w:tcPr>
            <w:tcW w:w="1400" w:type="dxa"/>
            <w:vAlign w:val="bottom"/>
            <w:gridSpan w:val="2"/>
          </w:tcPr>
          <w:p>
            <w:pPr>
              <w:spacing w:after="0"/>
              <w:rPr>
                <w:sz w:val="20"/>
                <w:szCs w:val="20"/>
                <w:color w:val="auto"/>
              </w:rPr>
            </w:pPr>
            <w:r>
              <w:rPr>
                <w:rFonts w:ascii="Arial" w:cs="Arial" w:eastAsia="Arial" w:hAnsi="Arial"/>
                <w:sz w:val="14"/>
                <w:szCs w:val="14"/>
                <w:color w:val="auto"/>
              </w:rPr>
              <w:t>Lien)</w:t>
            </w:r>
          </w:p>
        </w:tc>
        <w:tc>
          <w:tcPr>
            <w:tcW w:w="480" w:type="dxa"/>
            <w:vAlign w:val="bottom"/>
            <w:gridSpan w:val="2"/>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4.00%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5.00%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8/4/2022</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2,478,125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2,466,303</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2,270,582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Auction.com, LLC</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Banking, Finance, Insurance</w:t>
            </w: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&amp; Real Estate</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5/13/2019</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2,522,992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2,522,722</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2,491,455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tcPr>
          <w:p>
            <w:pPr>
              <w:spacing w:after="0" w:line="130" w:lineRule="exact"/>
              <w:rPr>
                <w:sz w:val="20"/>
                <w:szCs w:val="20"/>
                <w:color w:val="auto"/>
              </w:rPr>
            </w:pPr>
            <w:r>
              <w:rPr>
                <w:rFonts w:ascii="Arial" w:cs="Arial" w:eastAsia="Arial" w:hAnsi="Arial"/>
                <w:sz w:val="14"/>
                <w:szCs w:val="14"/>
                <w:color w:val="auto"/>
              </w:rPr>
              <w:t>Avantor Performance</w:t>
            </w: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Materials Holdings,</w:t>
            </w: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ind w:left="160"/>
              <w:spacing w:after="0"/>
              <w:rPr>
                <w:sz w:val="20"/>
                <w:szCs w:val="20"/>
                <w:color w:val="auto"/>
              </w:rPr>
            </w:pPr>
            <w:r>
              <w:rPr>
                <w:rFonts w:ascii="Arial" w:cs="Arial" w:eastAsia="Arial" w:hAnsi="Arial"/>
                <w:sz w:val="14"/>
                <w:szCs w:val="14"/>
                <w:color w:val="auto"/>
              </w:rPr>
              <w:t>Inc.</w:t>
            </w:r>
          </w:p>
        </w:tc>
        <w:tc>
          <w:tcPr>
            <w:tcW w:w="1860" w:type="dxa"/>
            <w:vAlign w:val="bottom"/>
            <w:gridSpan w:val="2"/>
          </w:tcPr>
          <w:p>
            <w:pPr>
              <w:spacing w:after="0"/>
              <w:rPr>
                <w:sz w:val="20"/>
                <w:szCs w:val="20"/>
                <w:color w:val="auto"/>
              </w:rPr>
            </w:pPr>
            <w:r>
              <w:rPr>
                <w:rFonts w:ascii="Arial" w:cs="Arial" w:eastAsia="Arial" w:hAnsi="Arial"/>
                <w:sz w:val="14"/>
                <w:szCs w:val="14"/>
                <w:color w:val="auto"/>
              </w:rPr>
              <w:t>Chemicals/Plastics</w:t>
            </w:r>
          </w:p>
        </w:tc>
        <w:tc>
          <w:tcPr>
            <w:tcW w:w="1400" w:type="dxa"/>
            <w:vAlign w:val="bottom"/>
            <w:gridSpan w:val="2"/>
          </w:tcPr>
          <w:p>
            <w:pPr>
              <w:spacing w:after="0"/>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4.00%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1.25%</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5.25%</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6/24/2017</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2,156,953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2,153,896</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2,135,384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Bass Pro Group, LLC</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Retailers (Except Food and</w:t>
            </w: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Drugs)</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0.75%</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6/5/2020</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1,488,750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1,485,895</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1,397,564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Belmond Interfin Ltd.</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Lodging &amp; Casinos</w:t>
            </w: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3/19/2021</w:t>
            </w:r>
          </w:p>
        </w:tc>
        <w:tc>
          <w:tcPr>
            <w:tcW w:w="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491,249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489,361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477,127</w:t>
            </w: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Berry Plastics</w:t>
            </w: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Chemicals/Plastics</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E Loan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1/6/2021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1,314,499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1,305,069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1,291,903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tcPr>
          <w:p>
            <w:pPr>
              <w:spacing w:after="0" w:line="130" w:lineRule="exact"/>
              <w:rPr>
                <w:sz w:val="20"/>
                <w:szCs w:val="20"/>
                <w:color w:val="auto"/>
              </w:rPr>
            </w:pPr>
            <w:r>
              <w:rPr>
                <w:rFonts w:ascii="Arial" w:cs="Arial" w:eastAsia="Arial" w:hAnsi="Arial"/>
                <w:sz w:val="14"/>
                <w:szCs w:val="14"/>
                <w:color w:val="auto"/>
                <w:w w:val="98"/>
              </w:rPr>
              <w:t>BJ’s Wholesale Club, Inc.</w:t>
            </w: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spacing w:after="0" w:line="130" w:lineRule="exact"/>
              <w:rPr>
                <w:sz w:val="20"/>
                <w:szCs w:val="20"/>
                <w:color w:val="auto"/>
              </w:rPr>
            </w:pPr>
            <w:r>
              <w:rPr>
                <w:rFonts w:ascii="Arial" w:cs="Arial" w:eastAsia="Arial" w:hAnsi="Arial"/>
                <w:sz w:val="14"/>
                <w:szCs w:val="14"/>
                <w:color w:val="auto"/>
              </w:rPr>
              <w:t>New 2013</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(November)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Replacement Loan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Food/Drug Retailers</w:t>
            </w:r>
          </w:p>
        </w:tc>
        <w:tc>
          <w:tcPr>
            <w:tcW w:w="140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480" w:type="dxa"/>
            <w:vAlign w:val="bottom"/>
            <w:gridSpan w:val="2"/>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3.50%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4.50%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9/26/2019</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1,476,196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1,475,409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1,401,161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Blue Coat Systems</w:t>
            </w: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Technology</w:t>
            </w:r>
          </w:p>
        </w:tc>
        <w:tc>
          <w:tcPr>
            <w:tcW w:w="1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4.50%</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5/20/2022</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997,500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995,159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945,131</w:t>
            </w:r>
          </w:p>
        </w:tc>
        <w:tc>
          <w:tcPr>
            <w:tcW w:w="0" w:type="dxa"/>
            <w:vAlign w:val="bottom"/>
          </w:tcPr>
          <w:p>
            <w:pPr>
              <w:spacing w:after="0"/>
              <w:rPr>
                <w:sz w:val="1"/>
                <w:szCs w:val="1"/>
                <w:color w:val="auto"/>
              </w:rPr>
            </w:pPr>
          </w:p>
        </w:tc>
      </w:tr>
      <w:tr>
        <w:trPr>
          <w:trHeight w:val="149"/>
        </w:trPr>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BMC Software</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Technology</w:t>
            </w: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9/10/2020</w:t>
            </w:r>
          </w:p>
        </w:tc>
        <w:tc>
          <w:tcPr>
            <w:tcW w:w="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1,979,798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1,926,080</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1,571,821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Brickman Group</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Brokers/Dealers/Investment</w:t>
            </w:r>
          </w:p>
        </w:tc>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Initial Term Loan</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Holdings, Inc.</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Houses</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 Lien)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12/18/2020</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1,476,212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1,464,327</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1,426,390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tcPr>
          <w:p>
            <w:pPr>
              <w:spacing w:after="0" w:line="130" w:lineRule="exact"/>
              <w:rPr>
                <w:sz w:val="20"/>
                <w:szCs w:val="20"/>
                <w:color w:val="auto"/>
              </w:rPr>
            </w:pPr>
            <w:r>
              <w:rPr>
                <w:rFonts w:ascii="Arial" w:cs="Arial" w:eastAsia="Arial" w:hAnsi="Arial"/>
                <w:sz w:val="14"/>
                <w:szCs w:val="14"/>
                <w:color w:val="auto"/>
              </w:rPr>
              <w:t>Brock Holdings III, Inc.</w:t>
            </w: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spacing w:after="0" w:line="130" w:lineRule="exact"/>
              <w:rPr>
                <w:sz w:val="20"/>
                <w:szCs w:val="20"/>
                <w:color w:val="auto"/>
              </w:rPr>
            </w:pPr>
            <w:r>
              <w:rPr>
                <w:rFonts w:ascii="Arial" w:cs="Arial" w:eastAsia="Arial" w:hAnsi="Arial"/>
                <w:sz w:val="14"/>
                <w:szCs w:val="14"/>
                <w:color w:val="auto"/>
              </w:rPr>
              <w:t>Term Loan (First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Industrial Equipment</w:t>
            </w:r>
          </w:p>
        </w:tc>
        <w:tc>
          <w:tcPr>
            <w:tcW w:w="1400" w:type="dxa"/>
            <w:vAlign w:val="bottom"/>
            <w:gridSpan w:val="2"/>
          </w:tcPr>
          <w:p>
            <w:pPr>
              <w:spacing w:after="0"/>
              <w:rPr>
                <w:sz w:val="20"/>
                <w:szCs w:val="20"/>
                <w:color w:val="auto"/>
              </w:rPr>
            </w:pPr>
            <w:r>
              <w:rPr>
                <w:rFonts w:ascii="Arial" w:cs="Arial" w:eastAsia="Arial" w:hAnsi="Arial"/>
                <w:sz w:val="14"/>
                <w:szCs w:val="14"/>
                <w:color w:val="auto"/>
              </w:rPr>
              <w:t>Lien)</w:t>
            </w:r>
          </w:p>
        </w:tc>
        <w:tc>
          <w:tcPr>
            <w:tcW w:w="480" w:type="dxa"/>
            <w:vAlign w:val="bottom"/>
            <w:gridSpan w:val="2"/>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4.50%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1.50%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6.00%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3/16/2017</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1,917,168</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1,924,101</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1,802,138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Burlington Coat Factory</w:t>
            </w: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Warehouse</w:t>
            </w: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Retailers (Except Food and</w:t>
            </w: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Drugs)</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B-2 Loan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8/13/2021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1,861,667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1,853,426</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1,845,843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tcPr>
          <w:p>
            <w:pPr>
              <w:spacing w:after="0" w:line="130" w:lineRule="exact"/>
              <w:rPr>
                <w:sz w:val="20"/>
                <w:szCs w:val="20"/>
                <w:color w:val="auto"/>
              </w:rPr>
            </w:pPr>
            <w:r>
              <w:rPr>
                <w:rFonts w:ascii="Arial" w:cs="Arial" w:eastAsia="Arial" w:hAnsi="Arial"/>
                <w:sz w:val="14"/>
                <w:szCs w:val="14"/>
                <w:color w:val="auto"/>
              </w:rPr>
              <w:t>BWAY Holding</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Leisure</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ind w:left="160"/>
              <w:spacing w:after="0"/>
              <w:rPr>
                <w:sz w:val="20"/>
                <w:szCs w:val="20"/>
                <w:color w:val="auto"/>
              </w:rPr>
            </w:pPr>
            <w:r>
              <w:rPr>
                <w:rFonts w:ascii="Arial" w:cs="Arial" w:eastAsia="Arial" w:hAnsi="Arial"/>
                <w:sz w:val="14"/>
                <w:szCs w:val="14"/>
                <w:color w:val="auto"/>
              </w:rPr>
              <w:t>Company</w:t>
            </w:r>
          </w:p>
        </w:tc>
        <w:tc>
          <w:tcPr>
            <w:tcW w:w="1860" w:type="dxa"/>
            <w:vAlign w:val="bottom"/>
            <w:gridSpan w:val="2"/>
          </w:tcPr>
          <w:p>
            <w:pPr>
              <w:spacing w:after="0"/>
              <w:rPr>
                <w:sz w:val="20"/>
                <w:szCs w:val="20"/>
                <w:color w:val="auto"/>
              </w:rPr>
            </w:pPr>
            <w:r>
              <w:rPr>
                <w:rFonts w:ascii="Arial" w:cs="Arial" w:eastAsia="Arial" w:hAnsi="Arial"/>
                <w:sz w:val="14"/>
                <w:szCs w:val="14"/>
                <w:color w:val="auto"/>
              </w:rPr>
              <w:t>Goods/Activities/Movies</w:t>
            </w:r>
          </w:p>
        </w:tc>
        <w:tc>
          <w:tcPr>
            <w:tcW w:w="1400" w:type="dxa"/>
            <w:vAlign w:val="bottom"/>
            <w:gridSpan w:val="2"/>
          </w:tcPr>
          <w:p>
            <w:pPr>
              <w:spacing w:after="0"/>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4.50%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5.50%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8/14/2020</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985,000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976,335</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930,826</w:t>
            </w: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Caesars Entertainment</w:t>
            </w: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Lodging &amp; Casinos</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B-7 Loan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3/1/2017</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995,000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991,037</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814,656</w:t>
            </w:r>
          </w:p>
        </w:tc>
        <w:tc>
          <w:tcPr>
            <w:tcW w:w="0" w:type="dxa"/>
            <w:vAlign w:val="bottom"/>
          </w:tcPr>
          <w:p>
            <w:pPr>
              <w:spacing w:after="0"/>
              <w:rPr>
                <w:sz w:val="1"/>
                <w:szCs w:val="1"/>
                <w:color w:val="auto"/>
              </w:rPr>
            </w:pPr>
          </w:p>
        </w:tc>
      </w:tr>
      <w:tr>
        <w:trPr>
          <w:trHeight w:val="130"/>
        </w:trPr>
        <w:tc>
          <w:tcPr>
            <w:tcW w:w="1580" w:type="dxa"/>
            <w:vAlign w:val="bottom"/>
            <w:gridSpan w:val="2"/>
          </w:tcPr>
          <w:p>
            <w:pPr>
              <w:spacing w:after="0" w:line="130" w:lineRule="exact"/>
              <w:rPr>
                <w:sz w:val="20"/>
                <w:szCs w:val="20"/>
                <w:color w:val="auto"/>
              </w:rPr>
            </w:pPr>
            <w:r>
              <w:rPr>
                <w:rFonts w:ascii="Arial" w:cs="Arial" w:eastAsia="Arial" w:hAnsi="Arial"/>
                <w:sz w:val="14"/>
                <w:szCs w:val="14"/>
                <w:color w:val="auto"/>
              </w:rPr>
              <w:t>Camp International</w:t>
            </w: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spacing w:after="0" w:line="130" w:lineRule="exact"/>
              <w:rPr>
                <w:sz w:val="20"/>
                <w:szCs w:val="20"/>
                <w:color w:val="auto"/>
              </w:rPr>
            </w:pPr>
            <w:r>
              <w:rPr>
                <w:rFonts w:ascii="Arial" w:cs="Arial" w:eastAsia="Arial" w:hAnsi="Arial"/>
                <w:sz w:val="14"/>
                <w:szCs w:val="14"/>
                <w:color w:val="auto"/>
              </w:rPr>
              <w:t>2013 Replacement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Holding Company</w:t>
            </w: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Term Loan (First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Aerospace and Defense</w:t>
            </w:r>
          </w:p>
        </w:tc>
        <w:tc>
          <w:tcPr>
            <w:tcW w:w="1400" w:type="dxa"/>
            <w:vAlign w:val="bottom"/>
            <w:gridSpan w:val="2"/>
          </w:tcPr>
          <w:p>
            <w:pPr>
              <w:spacing w:after="0"/>
              <w:rPr>
                <w:sz w:val="20"/>
                <w:szCs w:val="20"/>
                <w:color w:val="auto"/>
              </w:rPr>
            </w:pPr>
            <w:r>
              <w:rPr>
                <w:rFonts w:ascii="Arial" w:cs="Arial" w:eastAsia="Arial" w:hAnsi="Arial"/>
                <w:sz w:val="14"/>
                <w:szCs w:val="14"/>
                <w:color w:val="auto"/>
              </w:rPr>
              <w:t>Lien)</w:t>
            </w:r>
          </w:p>
        </w:tc>
        <w:tc>
          <w:tcPr>
            <w:tcW w:w="480" w:type="dxa"/>
            <w:vAlign w:val="bottom"/>
            <w:gridSpan w:val="2"/>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3.75%</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4.75%</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5/31/2019</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1,940,113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1,940,984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1,806,730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Capital Automotive L.P.</w:t>
            </w: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Tranche B-1 Term</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Conglomerate</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 Facility</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4/10/2019</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2,051,828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2,055,060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2,044,564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tcPr>
          <w:p>
            <w:pPr>
              <w:spacing w:after="0" w:line="130" w:lineRule="exact"/>
              <w:rPr>
                <w:sz w:val="20"/>
                <w:szCs w:val="20"/>
                <w:color w:val="auto"/>
              </w:rPr>
            </w:pPr>
            <w:r>
              <w:rPr>
                <w:rFonts w:ascii="Arial" w:cs="Arial" w:eastAsia="Arial" w:hAnsi="Arial"/>
                <w:sz w:val="14"/>
                <w:szCs w:val="14"/>
                <w:color w:val="auto"/>
              </w:rPr>
              <w:t>Catalent Pharma</w:t>
            </w: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ind w:left="160"/>
              <w:spacing w:after="0"/>
              <w:rPr>
                <w:sz w:val="20"/>
                <w:szCs w:val="20"/>
                <w:color w:val="auto"/>
              </w:rPr>
            </w:pPr>
            <w:r>
              <w:rPr>
                <w:rFonts w:ascii="Arial" w:cs="Arial" w:eastAsia="Arial" w:hAnsi="Arial"/>
                <w:sz w:val="14"/>
                <w:szCs w:val="14"/>
                <w:color w:val="auto"/>
              </w:rPr>
              <w:t>Solutions, Inc</w:t>
            </w:r>
          </w:p>
        </w:tc>
        <w:tc>
          <w:tcPr>
            <w:tcW w:w="1860" w:type="dxa"/>
            <w:vAlign w:val="bottom"/>
            <w:gridSpan w:val="2"/>
          </w:tcPr>
          <w:p>
            <w:pPr>
              <w:spacing w:after="0"/>
              <w:rPr>
                <w:sz w:val="20"/>
                <w:szCs w:val="20"/>
                <w:color w:val="auto"/>
              </w:rPr>
            </w:pPr>
            <w:r>
              <w:rPr>
                <w:rFonts w:ascii="Arial" w:cs="Arial" w:eastAsia="Arial" w:hAnsi="Arial"/>
                <w:sz w:val="14"/>
                <w:szCs w:val="14"/>
                <w:color w:val="auto"/>
              </w:rPr>
              <w:t>Drugs</w:t>
            </w:r>
          </w:p>
        </w:tc>
        <w:tc>
          <w:tcPr>
            <w:tcW w:w="1400" w:type="dxa"/>
            <w:vAlign w:val="bottom"/>
            <w:gridSpan w:val="2"/>
          </w:tcPr>
          <w:p>
            <w:pPr>
              <w:spacing w:after="0"/>
              <w:rPr>
                <w:sz w:val="20"/>
                <w:szCs w:val="20"/>
                <w:color w:val="auto"/>
              </w:rPr>
            </w:pPr>
            <w:r>
              <w:rPr>
                <w:rFonts w:ascii="Arial" w:cs="Arial" w:eastAsia="Arial" w:hAnsi="Arial"/>
                <w:sz w:val="14"/>
                <w:szCs w:val="14"/>
                <w:color w:val="auto"/>
              </w:rPr>
              <w:t>Initial Term B Loan</w:t>
            </w:r>
          </w:p>
        </w:tc>
        <w:tc>
          <w:tcPr>
            <w:tcW w:w="480" w:type="dxa"/>
            <w:vAlign w:val="bottom"/>
            <w:gridSpan w:val="2"/>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3.25%</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4.25%</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5/20/2021</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492,501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490,549</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487,271</w:t>
            </w: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Cengage Learning</w:t>
            </w: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Acquisitions, Inc.</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Publishing</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3/31/2020</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2,647,871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2,670,807</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2,539,758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tcPr>
          <w:p>
            <w:pPr>
              <w:spacing w:after="0" w:line="130" w:lineRule="exact"/>
              <w:rPr>
                <w:sz w:val="20"/>
                <w:szCs w:val="20"/>
                <w:color w:val="auto"/>
              </w:rPr>
            </w:pPr>
            <w:r>
              <w:rPr>
                <w:rFonts w:ascii="Arial" w:cs="Arial" w:eastAsia="Arial" w:hAnsi="Arial"/>
                <w:sz w:val="14"/>
                <w:szCs w:val="14"/>
                <w:color w:val="auto"/>
              </w:rPr>
              <w:t>Charter Communications</w:t>
            </w: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ind w:left="160"/>
              <w:spacing w:after="0"/>
              <w:rPr>
                <w:sz w:val="20"/>
                <w:szCs w:val="20"/>
                <w:color w:val="auto"/>
              </w:rPr>
            </w:pPr>
            <w:r>
              <w:rPr>
                <w:rFonts w:ascii="Arial" w:cs="Arial" w:eastAsia="Arial" w:hAnsi="Arial"/>
                <w:sz w:val="14"/>
                <w:szCs w:val="14"/>
                <w:color w:val="auto"/>
              </w:rPr>
              <w:t>Operating, LLC</w:t>
            </w:r>
          </w:p>
        </w:tc>
        <w:tc>
          <w:tcPr>
            <w:tcW w:w="1860" w:type="dxa"/>
            <w:vAlign w:val="bottom"/>
            <w:gridSpan w:val="2"/>
          </w:tcPr>
          <w:p>
            <w:pPr>
              <w:spacing w:after="0"/>
              <w:rPr>
                <w:sz w:val="20"/>
                <w:szCs w:val="20"/>
                <w:color w:val="auto"/>
              </w:rPr>
            </w:pPr>
            <w:r>
              <w:rPr>
                <w:rFonts w:ascii="Arial" w:cs="Arial" w:eastAsia="Arial" w:hAnsi="Arial"/>
                <w:sz w:val="14"/>
                <w:szCs w:val="14"/>
                <w:color w:val="auto"/>
                <w:w w:val="99"/>
              </w:rPr>
              <w:t>Cable and Satellite Television</w:t>
            </w:r>
          </w:p>
        </w:tc>
        <w:tc>
          <w:tcPr>
            <w:tcW w:w="1400" w:type="dxa"/>
            <w:vAlign w:val="bottom"/>
            <w:gridSpan w:val="2"/>
          </w:tcPr>
          <w:p>
            <w:pPr>
              <w:spacing w:after="0"/>
              <w:rPr>
                <w:sz w:val="20"/>
                <w:szCs w:val="20"/>
                <w:color w:val="auto"/>
              </w:rPr>
            </w:pPr>
            <w:r>
              <w:rPr>
                <w:rFonts w:ascii="Arial" w:cs="Arial" w:eastAsia="Arial" w:hAnsi="Arial"/>
                <w:sz w:val="14"/>
                <w:szCs w:val="14"/>
                <w:color w:val="auto"/>
              </w:rPr>
              <w:t>Term F Loan</w:t>
            </w:r>
          </w:p>
        </w:tc>
        <w:tc>
          <w:tcPr>
            <w:tcW w:w="480" w:type="dxa"/>
            <w:vAlign w:val="bottom"/>
            <w:gridSpan w:val="2"/>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2.25%</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0.75%</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3.00%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12/31/2020</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2,628,783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2,621,343</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2,566,823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CHS/Community Health</w:t>
            </w: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Systems, Inc.</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Healthcare &amp; Pharmaceuticals</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G Loan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12/31/2019</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1,022,569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994,876</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974,212</w:t>
            </w:r>
          </w:p>
        </w:tc>
        <w:tc>
          <w:tcPr>
            <w:tcW w:w="0" w:type="dxa"/>
            <w:vAlign w:val="bottom"/>
          </w:tcPr>
          <w:p>
            <w:pPr>
              <w:spacing w:after="0"/>
              <w:rPr>
                <w:sz w:val="1"/>
                <w:szCs w:val="1"/>
                <w:color w:val="auto"/>
              </w:rPr>
            </w:pPr>
          </w:p>
        </w:tc>
      </w:tr>
      <w:tr>
        <w:trPr>
          <w:trHeight w:val="130"/>
        </w:trPr>
        <w:tc>
          <w:tcPr>
            <w:tcW w:w="1580" w:type="dxa"/>
            <w:vAlign w:val="bottom"/>
            <w:gridSpan w:val="2"/>
          </w:tcPr>
          <w:p>
            <w:pPr>
              <w:spacing w:after="0" w:line="130" w:lineRule="exact"/>
              <w:rPr>
                <w:sz w:val="20"/>
                <w:szCs w:val="20"/>
                <w:color w:val="auto"/>
              </w:rPr>
            </w:pPr>
            <w:r>
              <w:rPr>
                <w:rFonts w:ascii="Arial" w:cs="Arial" w:eastAsia="Arial" w:hAnsi="Arial"/>
                <w:sz w:val="14"/>
                <w:szCs w:val="14"/>
                <w:color w:val="auto"/>
              </w:rPr>
              <w:t>CHS/Community Health</w:t>
            </w: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ind w:left="160"/>
              <w:spacing w:after="0"/>
              <w:rPr>
                <w:sz w:val="20"/>
                <w:szCs w:val="20"/>
                <w:color w:val="auto"/>
              </w:rPr>
            </w:pPr>
            <w:r>
              <w:rPr>
                <w:rFonts w:ascii="Arial" w:cs="Arial" w:eastAsia="Arial" w:hAnsi="Arial"/>
                <w:sz w:val="14"/>
                <w:szCs w:val="14"/>
                <w:color w:val="auto"/>
              </w:rPr>
              <w:t>Systems, Inc.</w:t>
            </w:r>
          </w:p>
        </w:tc>
        <w:tc>
          <w:tcPr>
            <w:tcW w:w="1860" w:type="dxa"/>
            <w:vAlign w:val="bottom"/>
            <w:gridSpan w:val="2"/>
          </w:tcPr>
          <w:p>
            <w:pPr>
              <w:spacing w:after="0"/>
              <w:rPr>
                <w:sz w:val="20"/>
                <w:szCs w:val="20"/>
                <w:color w:val="auto"/>
              </w:rPr>
            </w:pPr>
            <w:r>
              <w:rPr>
                <w:rFonts w:ascii="Arial" w:cs="Arial" w:eastAsia="Arial" w:hAnsi="Arial"/>
                <w:sz w:val="14"/>
                <w:szCs w:val="14"/>
                <w:color w:val="auto"/>
                <w:w w:val="97"/>
              </w:rPr>
              <w:t>Healthcare &amp; Pharmaceuticals</w:t>
            </w:r>
          </w:p>
        </w:tc>
        <w:tc>
          <w:tcPr>
            <w:tcW w:w="1400" w:type="dxa"/>
            <w:vAlign w:val="bottom"/>
            <w:gridSpan w:val="2"/>
          </w:tcPr>
          <w:p>
            <w:pPr>
              <w:spacing w:after="0"/>
              <w:rPr>
                <w:sz w:val="20"/>
                <w:szCs w:val="20"/>
                <w:color w:val="auto"/>
              </w:rPr>
            </w:pPr>
            <w:r>
              <w:rPr>
                <w:rFonts w:ascii="Arial" w:cs="Arial" w:eastAsia="Arial" w:hAnsi="Arial"/>
                <w:sz w:val="14"/>
                <w:szCs w:val="14"/>
                <w:color w:val="auto"/>
              </w:rPr>
              <w:t>Term H Loan</w:t>
            </w:r>
          </w:p>
        </w:tc>
        <w:tc>
          <w:tcPr>
            <w:tcW w:w="480" w:type="dxa"/>
            <w:vAlign w:val="bottom"/>
            <w:gridSpan w:val="2"/>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3.00%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4.00%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1/27/2021</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1,881,500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1,828,566</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1,785,920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Cinedigm Digital</w:t>
            </w: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Funding I, LLC</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Services: Business</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2/28/2018</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298,828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297,362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295,840</w:t>
            </w:r>
          </w:p>
        </w:tc>
        <w:tc>
          <w:tcPr>
            <w:tcW w:w="0" w:type="dxa"/>
            <w:vAlign w:val="bottom"/>
          </w:tcPr>
          <w:p>
            <w:pPr>
              <w:spacing w:after="0"/>
              <w:rPr>
                <w:sz w:val="1"/>
                <w:szCs w:val="1"/>
                <w:color w:val="auto"/>
              </w:rPr>
            </w:pPr>
          </w:p>
        </w:tc>
      </w:tr>
      <w:tr>
        <w:trPr>
          <w:trHeight w:val="130"/>
        </w:trPr>
        <w:tc>
          <w:tcPr>
            <w:tcW w:w="1580" w:type="dxa"/>
            <w:vAlign w:val="bottom"/>
            <w:gridSpan w:val="2"/>
          </w:tcPr>
          <w:p>
            <w:pPr>
              <w:spacing w:after="0" w:line="130" w:lineRule="exact"/>
              <w:rPr>
                <w:sz w:val="20"/>
                <w:szCs w:val="20"/>
                <w:color w:val="auto"/>
              </w:rPr>
            </w:pPr>
            <w:r>
              <w:rPr>
                <w:rFonts w:ascii="Arial" w:cs="Arial" w:eastAsia="Arial" w:hAnsi="Arial"/>
                <w:sz w:val="14"/>
                <w:szCs w:val="14"/>
                <w:color w:val="auto"/>
              </w:rPr>
              <w:t>CITGO Petroleum</w:t>
            </w: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1860" w:type="dxa"/>
            <w:vAlign w:val="bottom"/>
            <w:gridSpan w:val="2"/>
          </w:tcPr>
          <w:p>
            <w:pPr>
              <w:spacing w:after="0"/>
              <w:rPr>
                <w:sz w:val="20"/>
                <w:szCs w:val="20"/>
                <w:color w:val="auto"/>
              </w:rPr>
            </w:pPr>
            <w:r>
              <w:rPr>
                <w:rFonts w:ascii="Arial" w:cs="Arial" w:eastAsia="Arial" w:hAnsi="Arial"/>
                <w:sz w:val="14"/>
                <w:szCs w:val="14"/>
                <w:color w:val="auto"/>
              </w:rPr>
              <w:t>Oil &amp; Gas</w:t>
            </w:r>
          </w:p>
        </w:tc>
        <w:tc>
          <w:tcPr>
            <w:tcW w:w="1400" w:type="dxa"/>
            <w:vAlign w:val="bottom"/>
            <w:gridSpan w:val="2"/>
          </w:tcPr>
          <w:p>
            <w:pPr>
              <w:spacing w:after="0"/>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3.50%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4.50%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7/29/2021</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1,984,975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1,962,423</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1,865,876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Communications Sales &amp;</w:t>
            </w: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B (First</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Leasing, Inc.</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Telecommunications</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Lien)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10/24/2022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1,990,000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1,978,594</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1,847,596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CommScope, Inc.</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Telecommunications</w:t>
            </w: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0.75%</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3.75%</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12/29/2022</w:t>
            </w:r>
          </w:p>
        </w:tc>
        <w:tc>
          <w:tcPr>
            <w:tcW w:w="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498,750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497,568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494,176</w:t>
            </w: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Consolidated Aerospace</w:t>
            </w: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(First</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Manufacturing, LLC</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Aerospace and Defense</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Lien)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8/11/2022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1,437,500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1,430,556</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1,329,688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tcPr>
          <w:p>
            <w:pPr>
              <w:spacing w:after="0" w:line="130" w:lineRule="exact"/>
              <w:rPr>
                <w:sz w:val="20"/>
                <w:szCs w:val="20"/>
                <w:color w:val="auto"/>
              </w:rPr>
            </w:pPr>
            <w:r>
              <w:rPr>
                <w:rFonts w:ascii="Arial" w:cs="Arial" w:eastAsia="Arial" w:hAnsi="Arial"/>
                <w:sz w:val="14"/>
                <w:szCs w:val="14"/>
                <w:color w:val="auto"/>
              </w:rPr>
              <w:t>Concordia Healthcare</w:t>
            </w: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gridSpan w:val="2"/>
          </w:tcPr>
          <w:p>
            <w:pPr>
              <w:ind w:left="160"/>
              <w:spacing w:after="0"/>
              <w:rPr>
                <w:sz w:val="20"/>
                <w:szCs w:val="20"/>
                <w:color w:val="auto"/>
              </w:rPr>
            </w:pPr>
            <w:r>
              <w:rPr>
                <w:rFonts w:ascii="Arial" w:cs="Arial" w:eastAsia="Arial" w:hAnsi="Arial"/>
                <w:sz w:val="14"/>
                <w:szCs w:val="14"/>
                <w:color w:val="auto"/>
              </w:rPr>
              <w:t>Corp</w:t>
            </w:r>
          </w:p>
        </w:tc>
        <w:tc>
          <w:tcPr>
            <w:tcW w:w="1860" w:type="dxa"/>
            <w:vAlign w:val="bottom"/>
            <w:gridSpan w:val="2"/>
          </w:tcPr>
          <w:p>
            <w:pPr>
              <w:spacing w:after="0"/>
              <w:rPr>
                <w:sz w:val="20"/>
                <w:szCs w:val="20"/>
                <w:color w:val="auto"/>
              </w:rPr>
            </w:pPr>
            <w:r>
              <w:rPr>
                <w:rFonts w:ascii="Arial" w:cs="Arial" w:eastAsia="Arial" w:hAnsi="Arial"/>
                <w:sz w:val="14"/>
                <w:szCs w:val="14"/>
                <w:color w:val="auto"/>
                <w:w w:val="97"/>
              </w:rPr>
              <w:t>Healthcare &amp; Pharmaceuticals</w:t>
            </w:r>
          </w:p>
        </w:tc>
        <w:tc>
          <w:tcPr>
            <w:tcW w:w="1400" w:type="dxa"/>
            <w:vAlign w:val="bottom"/>
            <w:gridSpan w:val="2"/>
          </w:tcPr>
          <w:p>
            <w:pPr>
              <w:spacing w:after="0"/>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4.25%</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5.25%</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10/21/2021</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2,000,000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1,894,483</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CPI Acquisition Inc.</w:t>
            </w:r>
          </w:p>
        </w:tc>
        <w:tc>
          <w:tcPr>
            <w:tcW w:w="1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B (First</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Technology</w:t>
            </w: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Lien)</w:t>
            </w:r>
          </w:p>
        </w:tc>
        <w:tc>
          <w:tcPr>
            <w:tcW w:w="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8/17/2022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1,436,782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1,415,977</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1,396,667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20"/>
                <w:szCs w:val="20"/>
                <w:color w:val="auto"/>
              </w:rPr>
            </w:pPr>
            <w:r>
              <w:rPr>
                <w:rFonts w:ascii="Arial" w:cs="Arial" w:eastAsia="Arial" w:hAnsi="Arial"/>
                <w:sz w:val="14"/>
                <w:szCs w:val="14"/>
                <w:color w:val="auto"/>
              </w:rPr>
              <w:t>CPI International</w:t>
            </w:r>
          </w:p>
        </w:tc>
        <w:tc>
          <w:tcPr>
            <w:tcW w:w="1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1540" w:type="dxa"/>
            <w:vAlign w:val="bottom"/>
          </w:tcPr>
          <w:p>
            <w:pPr>
              <w:ind w:left="160"/>
              <w:spacing w:after="0" w:line="149" w:lineRule="exact"/>
              <w:rPr>
                <w:sz w:val="20"/>
                <w:szCs w:val="20"/>
                <w:color w:val="auto"/>
              </w:rPr>
            </w:pPr>
            <w:r>
              <w:rPr>
                <w:rFonts w:ascii="Arial" w:cs="Arial" w:eastAsia="Arial" w:hAnsi="Arial"/>
                <w:sz w:val="14"/>
                <w:szCs w:val="14"/>
                <w:color w:val="auto"/>
              </w:rPr>
              <w:t>Acquisition, Inc. (f/k/a</w:t>
            </w:r>
          </w:p>
        </w:tc>
        <w:tc>
          <w:tcPr>
            <w:tcW w:w="1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540" w:type="dxa"/>
            <w:vAlign w:val="bottom"/>
          </w:tcPr>
          <w:p>
            <w:pPr>
              <w:ind w:left="160"/>
              <w:spacing w:after="0" w:line="149" w:lineRule="exact"/>
              <w:rPr>
                <w:sz w:val="20"/>
                <w:szCs w:val="20"/>
                <w:color w:val="auto"/>
              </w:rPr>
            </w:pPr>
            <w:r>
              <w:rPr>
                <w:rFonts w:ascii="Arial" w:cs="Arial" w:eastAsia="Arial" w:hAnsi="Arial"/>
                <w:sz w:val="14"/>
                <w:szCs w:val="14"/>
                <w:color w:val="auto"/>
              </w:rPr>
              <w:t>Catalyst Holdings,</w:t>
            </w:r>
          </w:p>
        </w:tc>
        <w:tc>
          <w:tcPr>
            <w:tcW w:w="1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Inc.)</w:t>
            </w:r>
          </w:p>
        </w:tc>
        <w:tc>
          <w:tcPr>
            <w:tcW w:w="1840" w:type="dxa"/>
            <w:vAlign w:val="bottom"/>
          </w:tcPr>
          <w:p>
            <w:pPr>
              <w:ind w:left="40"/>
              <w:spacing w:after="0"/>
              <w:rPr>
                <w:sz w:val="20"/>
                <w:szCs w:val="20"/>
                <w:color w:val="auto"/>
              </w:rPr>
            </w:pPr>
            <w:r>
              <w:rPr>
                <w:rFonts w:ascii="Arial" w:cs="Arial" w:eastAsia="Arial" w:hAnsi="Arial"/>
                <w:sz w:val="14"/>
                <w:szCs w:val="14"/>
                <w:color w:val="auto"/>
              </w:rPr>
              <w:t>Electronics/Electric</w:t>
            </w:r>
          </w:p>
        </w:tc>
        <w:tc>
          <w:tcPr>
            <w:tcW w:w="1420" w:type="dxa"/>
            <w:vAlign w:val="bottom"/>
          </w:tcPr>
          <w:p>
            <w:pPr>
              <w:ind w:left="60"/>
              <w:spacing w:after="0"/>
              <w:rPr>
                <w:sz w:val="20"/>
                <w:szCs w:val="20"/>
                <w:color w:val="auto"/>
              </w:rPr>
            </w:pPr>
            <w:r>
              <w:rPr>
                <w:rFonts w:ascii="Arial" w:cs="Arial" w:eastAsia="Arial" w:hAnsi="Arial"/>
                <w:sz w:val="14"/>
                <w:szCs w:val="14"/>
                <w:color w:val="auto"/>
              </w:rPr>
              <w:t>Term B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tcPr>
          <w:p>
            <w:pPr>
              <w:jc w:val="right"/>
              <w:spacing w:after="0"/>
              <w:rPr>
                <w:sz w:val="20"/>
                <w:szCs w:val="20"/>
                <w:color w:val="auto"/>
              </w:rPr>
            </w:pPr>
            <w:r>
              <w:rPr>
                <w:rFonts w:ascii="Arial" w:cs="Arial" w:eastAsia="Arial" w:hAnsi="Arial"/>
                <w:sz w:val="14"/>
                <w:szCs w:val="14"/>
                <w:color w:val="auto"/>
              </w:rPr>
              <w:t>11/17/2017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1,564,182</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1,564,182</w:t>
            </w:r>
          </w:p>
        </w:tc>
        <w:tc>
          <w:tcPr>
            <w:tcW w:w="800" w:type="dxa"/>
            <w:vAlign w:val="bottom"/>
          </w:tcPr>
          <w:p>
            <w:pPr>
              <w:jc w:val="right"/>
              <w:spacing w:after="0"/>
              <w:rPr>
                <w:sz w:val="20"/>
                <w:szCs w:val="20"/>
                <w:color w:val="auto"/>
              </w:rPr>
            </w:pPr>
            <w:r>
              <w:rPr>
                <w:rFonts w:ascii="Arial" w:cs="Arial" w:eastAsia="Arial" w:hAnsi="Arial"/>
                <w:sz w:val="14"/>
                <w:szCs w:val="14"/>
                <w:color w:val="auto"/>
              </w:rPr>
              <w:t>1,501,615</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Crosby US Acquisition</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Initial Term Loan</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Industrial Equipment</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(First 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735,000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734,245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536,550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CT Technologies</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1540" w:type="dxa"/>
            <w:vAlign w:val="bottom"/>
          </w:tcPr>
          <w:p>
            <w:pPr>
              <w:ind w:left="160"/>
              <w:spacing w:after="0" w:line="149" w:lineRule="exact"/>
              <w:rPr>
                <w:sz w:val="20"/>
                <w:szCs w:val="20"/>
                <w:color w:val="auto"/>
              </w:rPr>
            </w:pPr>
            <w:r>
              <w:rPr>
                <w:rFonts w:ascii="Arial" w:cs="Arial" w:eastAsia="Arial" w:hAnsi="Arial"/>
                <w:sz w:val="14"/>
                <w:szCs w:val="14"/>
                <w:color w:val="auto"/>
              </w:rPr>
              <w:t>Intermediate Hldgs,</w:t>
            </w:r>
          </w:p>
        </w:tc>
        <w:tc>
          <w:tcPr>
            <w:tcW w:w="1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Inc</w:t>
            </w:r>
          </w:p>
        </w:tc>
        <w:tc>
          <w:tcPr>
            <w:tcW w:w="1840" w:type="dxa"/>
            <w:vAlign w:val="bottom"/>
          </w:tcPr>
          <w:p>
            <w:pPr>
              <w:ind w:left="40"/>
              <w:spacing w:after="0"/>
              <w:rPr>
                <w:sz w:val="20"/>
                <w:szCs w:val="20"/>
                <w:color w:val="auto"/>
              </w:rPr>
            </w:pPr>
            <w:r>
              <w:rPr>
                <w:rFonts w:ascii="Arial" w:cs="Arial" w:eastAsia="Arial" w:hAnsi="Arial"/>
                <w:sz w:val="14"/>
                <w:szCs w:val="14"/>
                <w:color w:val="auto"/>
                <w:w w:val="94"/>
              </w:rPr>
              <w:t>Healthcare &amp; Pharmaceuticals</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5.25%</w:t>
            </w:r>
          </w:p>
        </w:tc>
        <w:tc>
          <w:tcPr>
            <w:tcW w:w="800" w:type="dxa"/>
            <w:vAlign w:val="bottom"/>
          </w:tcPr>
          <w:p>
            <w:pPr>
              <w:jc w:val="right"/>
              <w:spacing w:after="0"/>
              <w:rPr>
                <w:sz w:val="20"/>
                <w:szCs w:val="20"/>
                <w:color w:val="auto"/>
              </w:rPr>
            </w:pPr>
            <w:r>
              <w:rPr>
                <w:rFonts w:ascii="Arial" w:cs="Arial" w:eastAsia="Arial" w:hAnsi="Arial"/>
                <w:sz w:val="14"/>
                <w:szCs w:val="14"/>
                <w:color w:val="auto"/>
              </w:rPr>
              <w:t>12/1/2021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1,485,038</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1,471,665</w:t>
            </w:r>
          </w:p>
        </w:tc>
        <w:tc>
          <w:tcPr>
            <w:tcW w:w="800" w:type="dxa"/>
            <w:vAlign w:val="bottom"/>
          </w:tcPr>
          <w:p>
            <w:pPr>
              <w:jc w:val="right"/>
              <w:spacing w:after="0"/>
              <w:rPr>
                <w:sz w:val="20"/>
                <w:szCs w:val="20"/>
                <w:color w:val="auto"/>
              </w:rPr>
            </w:pPr>
            <w:r>
              <w:rPr>
                <w:rFonts w:ascii="Arial" w:cs="Arial" w:eastAsia="Arial" w:hAnsi="Arial"/>
                <w:sz w:val="14"/>
                <w:szCs w:val="14"/>
                <w:color w:val="auto"/>
              </w:rPr>
              <w:t>1,433,061</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Culligan International</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Dollar Loan (First</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Company</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Conglomerate</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12/19/2017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771,625</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742,910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721,469</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Culligan International</w:t>
            </w:r>
          </w:p>
        </w:tc>
        <w:tc>
          <w:tcPr>
            <w:tcW w:w="1840" w:type="dxa"/>
            <w:vAlign w:val="bottom"/>
          </w:tcPr>
          <w:p>
            <w:pPr>
              <w:spacing w:after="0"/>
              <w:rPr>
                <w:sz w:val="11"/>
                <w:szCs w:val="11"/>
                <w:color w:val="auto"/>
              </w:rPr>
            </w:pPr>
          </w:p>
        </w:tc>
        <w:tc>
          <w:tcPr>
            <w:tcW w:w="1420" w:type="dxa"/>
            <w:vAlign w:val="bottom"/>
          </w:tcPr>
          <w:p>
            <w:pPr>
              <w:ind w:left="60"/>
              <w:spacing w:after="0" w:line="130" w:lineRule="exact"/>
              <w:rPr>
                <w:sz w:val="20"/>
                <w:szCs w:val="20"/>
                <w:color w:val="auto"/>
              </w:rPr>
            </w:pPr>
            <w:r>
              <w:rPr>
                <w:rFonts w:ascii="Arial" w:cs="Arial" w:eastAsia="Arial" w:hAnsi="Arial"/>
                <w:sz w:val="14"/>
                <w:szCs w:val="14"/>
                <w:color w:val="auto"/>
              </w:rPr>
              <w:t>Dollar Loan (Second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Company</w:t>
            </w:r>
          </w:p>
        </w:tc>
        <w:tc>
          <w:tcPr>
            <w:tcW w:w="1840" w:type="dxa"/>
            <w:vAlign w:val="bottom"/>
          </w:tcPr>
          <w:p>
            <w:pPr>
              <w:ind w:left="40"/>
              <w:spacing w:after="0"/>
              <w:rPr>
                <w:sz w:val="20"/>
                <w:szCs w:val="20"/>
                <w:color w:val="auto"/>
              </w:rPr>
            </w:pPr>
            <w:r>
              <w:rPr>
                <w:rFonts w:ascii="Arial" w:cs="Arial" w:eastAsia="Arial" w:hAnsi="Arial"/>
                <w:sz w:val="14"/>
                <w:szCs w:val="14"/>
                <w:color w:val="auto"/>
              </w:rPr>
              <w:t>Conglomerate</w:t>
            </w:r>
          </w:p>
        </w:tc>
        <w:tc>
          <w:tcPr>
            <w:tcW w:w="1420" w:type="dxa"/>
            <w:vAlign w:val="bottom"/>
          </w:tcPr>
          <w:p>
            <w:pPr>
              <w:ind w:left="60"/>
              <w:spacing w:after="0"/>
              <w:rPr>
                <w:sz w:val="20"/>
                <w:szCs w:val="20"/>
                <w:color w:val="auto"/>
              </w:rPr>
            </w:pPr>
            <w:r>
              <w:rPr>
                <w:rFonts w:ascii="Arial" w:cs="Arial" w:eastAsia="Arial" w:hAnsi="Arial"/>
                <w:sz w:val="14"/>
                <w:szCs w:val="14"/>
                <w:color w:val="auto"/>
              </w:rPr>
              <w:t>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8.00%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9.50%</w:t>
            </w:r>
          </w:p>
        </w:tc>
        <w:tc>
          <w:tcPr>
            <w:tcW w:w="800" w:type="dxa"/>
            <w:vAlign w:val="bottom"/>
          </w:tcPr>
          <w:p>
            <w:pPr>
              <w:jc w:val="right"/>
              <w:spacing w:after="0"/>
              <w:rPr>
                <w:sz w:val="20"/>
                <w:szCs w:val="20"/>
                <w:color w:val="auto"/>
              </w:rPr>
            </w:pPr>
            <w:r>
              <w:rPr>
                <w:rFonts w:ascii="Arial" w:cs="Arial" w:eastAsia="Arial" w:hAnsi="Arial"/>
                <w:sz w:val="14"/>
                <w:szCs w:val="14"/>
                <w:color w:val="auto"/>
              </w:rPr>
              <w:t>6/19/2018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783,162</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754,065</w:t>
            </w:r>
          </w:p>
        </w:tc>
        <w:tc>
          <w:tcPr>
            <w:tcW w:w="800" w:type="dxa"/>
            <w:vAlign w:val="bottom"/>
          </w:tcPr>
          <w:p>
            <w:pPr>
              <w:jc w:val="right"/>
              <w:spacing w:after="0"/>
              <w:rPr>
                <w:sz w:val="20"/>
                <w:szCs w:val="20"/>
                <w:color w:val="auto"/>
              </w:rPr>
            </w:pPr>
            <w:r>
              <w:rPr>
                <w:rFonts w:ascii="Arial" w:cs="Arial" w:eastAsia="Arial" w:hAnsi="Arial"/>
                <w:sz w:val="14"/>
                <w:szCs w:val="14"/>
                <w:color w:val="auto"/>
              </w:rPr>
              <w:t>734,214</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Cumulus Media Holdings</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Broadcast Radio and</w:t>
            </w: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Television</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470,093</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466,690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304,973</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DAE Aviation</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(StandardAero)</w:t>
            </w:r>
          </w:p>
        </w:tc>
        <w:tc>
          <w:tcPr>
            <w:tcW w:w="1840" w:type="dxa"/>
            <w:vAlign w:val="bottom"/>
          </w:tcPr>
          <w:p>
            <w:pPr>
              <w:ind w:left="40"/>
              <w:spacing w:after="0"/>
              <w:rPr>
                <w:sz w:val="20"/>
                <w:szCs w:val="20"/>
                <w:color w:val="auto"/>
              </w:rPr>
            </w:pPr>
            <w:r>
              <w:rPr>
                <w:rFonts w:ascii="Arial" w:cs="Arial" w:eastAsia="Arial" w:hAnsi="Arial"/>
                <w:sz w:val="14"/>
                <w:szCs w:val="14"/>
                <w:color w:val="auto"/>
              </w:rPr>
              <w:t>Aerospace and Defense</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5.25%</w:t>
            </w:r>
          </w:p>
        </w:tc>
        <w:tc>
          <w:tcPr>
            <w:tcW w:w="800" w:type="dxa"/>
            <w:vAlign w:val="bottom"/>
          </w:tcPr>
          <w:p>
            <w:pPr>
              <w:jc w:val="right"/>
              <w:spacing w:after="0"/>
              <w:rPr>
                <w:sz w:val="20"/>
                <w:szCs w:val="20"/>
                <w:color w:val="auto"/>
              </w:rPr>
            </w:pPr>
            <w:r>
              <w:rPr>
                <w:rFonts w:ascii="Arial" w:cs="Arial" w:eastAsia="Arial" w:hAnsi="Arial"/>
                <w:sz w:val="14"/>
                <w:szCs w:val="14"/>
                <w:color w:val="auto"/>
              </w:rPr>
              <w:t>7/7/2022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1,995,000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1,985,759</w:t>
            </w:r>
          </w:p>
        </w:tc>
        <w:tc>
          <w:tcPr>
            <w:tcW w:w="800" w:type="dxa"/>
            <w:vAlign w:val="bottom"/>
          </w:tcPr>
          <w:p>
            <w:pPr>
              <w:jc w:val="right"/>
              <w:spacing w:after="0"/>
              <w:rPr>
                <w:sz w:val="20"/>
                <w:szCs w:val="20"/>
                <w:color w:val="auto"/>
              </w:rPr>
            </w:pPr>
            <w:r>
              <w:rPr>
                <w:rFonts w:ascii="Arial" w:cs="Arial" w:eastAsia="Arial" w:hAnsi="Arial"/>
                <w:sz w:val="14"/>
                <w:szCs w:val="14"/>
                <w:color w:val="auto"/>
              </w:rPr>
              <w:t>1,970,063</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DCS Business Services,</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Financial Intermediaries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B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2,409,739</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2,397,948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2,409,739</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Dell International LLC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Technology</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Term Loan B2</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4/29/2020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3"/>
              </w:rPr>
              <w:t>2,904,989</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2,892,348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2,889,854</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Delta 2 (Lux) S.a.r.l.</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Lodging &amp; Casinos</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B-3</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7/30/2021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1,000,000</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995,870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925,000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Deluxe Entertainment</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Leisure</w:t>
            </w:r>
          </w:p>
        </w:tc>
        <w:tc>
          <w:tcPr>
            <w:tcW w:w="142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Service Group, Inc.</w:t>
            </w:r>
          </w:p>
        </w:tc>
        <w:tc>
          <w:tcPr>
            <w:tcW w:w="1840" w:type="dxa"/>
            <w:vAlign w:val="bottom"/>
          </w:tcPr>
          <w:p>
            <w:pPr>
              <w:ind w:left="40"/>
              <w:spacing w:after="0"/>
              <w:rPr>
                <w:sz w:val="20"/>
                <w:szCs w:val="20"/>
                <w:color w:val="auto"/>
              </w:rPr>
            </w:pPr>
            <w:r>
              <w:rPr>
                <w:rFonts w:ascii="Arial" w:cs="Arial" w:eastAsia="Arial" w:hAnsi="Arial"/>
                <w:sz w:val="14"/>
                <w:szCs w:val="14"/>
                <w:color w:val="auto"/>
              </w:rPr>
              <w:t>Goods/Activities/Movies</w:t>
            </w:r>
          </w:p>
        </w:tc>
        <w:tc>
          <w:tcPr>
            <w:tcW w:w="1420" w:type="dxa"/>
            <w:vAlign w:val="bottom"/>
          </w:tcPr>
          <w:p>
            <w:pPr>
              <w:ind w:left="60"/>
              <w:spacing w:after="0"/>
              <w:rPr>
                <w:sz w:val="20"/>
                <w:szCs w:val="20"/>
                <w:color w:val="auto"/>
              </w:rPr>
            </w:pPr>
            <w:r>
              <w:rPr>
                <w:rFonts w:ascii="Arial" w:cs="Arial" w:eastAsia="Arial" w:hAnsi="Arial"/>
                <w:sz w:val="14"/>
                <w:szCs w:val="14"/>
                <w:color w:val="auto"/>
              </w:rPr>
              <w:t>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6.50%</w:t>
            </w:r>
          </w:p>
        </w:tc>
        <w:tc>
          <w:tcPr>
            <w:tcW w:w="800" w:type="dxa"/>
            <w:vAlign w:val="bottom"/>
          </w:tcPr>
          <w:p>
            <w:pPr>
              <w:jc w:val="right"/>
              <w:spacing w:after="0"/>
              <w:rPr>
                <w:sz w:val="20"/>
                <w:szCs w:val="20"/>
                <w:color w:val="auto"/>
              </w:rPr>
            </w:pPr>
            <w:r>
              <w:rPr>
                <w:rFonts w:ascii="Arial" w:cs="Arial" w:eastAsia="Arial" w:hAnsi="Arial"/>
                <w:sz w:val="14"/>
                <w:szCs w:val="14"/>
                <w:color w:val="auto"/>
              </w:rPr>
              <w:t>2/28/2020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1,882,983</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1,884,279</w:t>
            </w:r>
          </w:p>
        </w:tc>
        <w:tc>
          <w:tcPr>
            <w:tcW w:w="800" w:type="dxa"/>
            <w:vAlign w:val="bottom"/>
          </w:tcPr>
          <w:p>
            <w:pPr>
              <w:jc w:val="right"/>
              <w:spacing w:after="0"/>
              <w:rPr>
                <w:sz w:val="20"/>
                <w:szCs w:val="20"/>
                <w:color w:val="auto"/>
              </w:rPr>
            </w:pPr>
            <w:r>
              <w:rPr>
                <w:rFonts w:ascii="Arial" w:cs="Arial" w:eastAsia="Arial" w:hAnsi="Arial"/>
                <w:sz w:val="14"/>
                <w:szCs w:val="14"/>
                <w:color w:val="auto"/>
              </w:rPr>
              <w:t>1,751,174</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Diamond Resorts</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International</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Lodging &amp; Casinos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5/7/2021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926,971</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923,222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897,614</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Diamond Resorts</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International</w:t>
            </w:r>
          </w:p>
        </w:tc>
        <w:tc>
          <w:tcPr>
            <w:tcW w:w="1840" w:type="dxa"/>
            <w:vAlign w:val="bottom"/>
          </w:tcPr>
          <w:p>
            <w:pPr>
              <w:ind w:left="40"/>
              <w:spacing w:after="0"/>
              <w:rPr>
                <w:sz w:val="20"/>
                <w:szCs w:val="20"/>
                <w:color w:val="auto"/>
              </w:rPr>
            </w:pPr>
            <w:r>
              <w:rPr>
                <w:rFonts w:ascii="Arial" w:cs="Arial" w:eastAsia="Arial" w:hAnsi="Arial"/>
                <w:sz w:val="14"/>
                <w:szCs w:val="14"/>
                <w:color w:val="auto"/>
              </w:rPr>
              <w:t>Lodging &amp; Casinos</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 (Add-On)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tcPr>
          <w:p>
            <w:pPr>
              <w:jc w:val="right"/>
              <w:spacing w:after="0"/>
              <w:rPr>
                <w:sz w:val="20"/>
                <w:szCs w:val="20"/>
                <w:color w:val="auto"/>
              </w:rPr>
            </w:pPr>
            <w:r>
              <w:rPr>
                <w:rFonts w:ascii="Arial" w:cs="Arial" w:eastAsia="Arial" w:hAnsi="Arial"/>
                <w:sz w:val="14"/>
                <w:szCs w:val="14"/>
                <w:color w:val="auto"/>
              </w:rPr>
              <w:t>5/7/2021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1,000,000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980,687</w:t>
            </w:r>
          </w:p>
        </w:tc>
        <w:tc>
          <w:tcPr>
            <w:tcW w:w="800" w:type="dxa"/>
            <w:vAlign w:val="bottom"/>
          </w:tcPr>
          <w:p>
            <w:pPr>
              <w:jc w:val="right"/>
              <w:spacing w:after="0"/>
              <w:rPr>
                <w:sz w:val="20"/>
                <w:szCs w:val="20"/>
                <w:color w:val="auto"/>
              </w:rPr>
            </w:pPr>
            <w:r>
              <w:rPr>
                <w:rFonts w:ascii="Arial" w:cs="Arial" w:eastAsia="Arial" w:hAnsi="Arial"/>
                <w:sz w:val="14"/>
                <w:szCs w:val="14"/>
                <w:color w:val="auto"/>
              </w:rPr>
              <w:t>968,330</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DJO Finance, LLC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Healthcare &amp; Pharmaceuticals</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6/8/2020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497,500</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495,435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478,222</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DPX Holdings B.V.</w:t>
            </w:r>
          </w:p>
        </w:tc>
        <w:tc>
          <w:tcPr>
            <w:tcW w:w="1840" w:type="dxa"/>
            <w:vAlign w:val="bottom"/>
          </w:tcPr>
          <w:p>
            <w:pPr>
              <w:spacing w:after="0"/>
              <w:rPr>
                <w:sz w:val="11"/>
                <w:szCs w:val="11"/>
                <w:color w:val="auto"/>
              </w:rPr>
            </w:pPr>
          </w:p>
        </w:tc>
        <w:tc>
          <w:tcPr>
            <w:tcW w:w="1420" w:type="dxa"/>
            <w:vAlign w:val="bottom"/>
          </w:tcPr>
          <w:p>
            <w:pPr>
              <w:ind w:left="60"/>
              <w:spacing w:after="0" w:line="130" w:lineRule="exact"/>
              <w:rPr>
                <w:sz w:val="20"/>
                <w:szCs w:val="20"/>
                <w:color w:val="auto"/>
              </w:rPr>
            </w:pPr>
            <w:r>
              <w:rPr>
                <w:rFonts w:ascii="Arial" w:cs="Arial" w:eastAsia="Arial" w:hAnsi="Arial"/>
                <w:sz w:val="14"/>
                <w:szCs w:val="14"/>
                <w:color w:val="auto"/>
              </w:rPr>
              <w:t>Term Loan 2015 Incr</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Arial" w:cs="Arial" w:eastAsia="Arial" w:hAnsi="Arial"/>
                <w:sz w:val="14"/>
                <w:szCs w:val="14"/>
                <w:color w:val="auto"/>
                <w:w w:val="94"/>
              </w:rPr>
              <w:t>Healthcare &amp; Pharmaceuticals</w:t>
            </w:r>
          </w:p>
        </w:tc>
        <w:tc>
          <w:tcPr>
            <w:tcW w:w="1420" w:type="dxa"/>
            <w:vAlign w:val="bottom"/>
          </w:tcPr>
          <w:p>
            <w:pPr>
              <w:ind w:left="60"/>
              <w:spacing w:after="0"/>
              <w:rPr>
                <w:sz w:val="20"/>
                <w:szCs w:val="20"/>
                <w:color w:val="auto"/>
              </w:rPr>
            </w:pPr>
            <w:r>
              <w:rPr>
                <w:rFonts w:ascii="Arial" w:cs="Arial" w:eastAsia="Arial" w:hAnsi="Arial"/>
                <w:sz w:val="14"/>
                <w:szCs w:val="14"/>
                <w:color w:val="auto"/>
              </w:rPr>
              <w:t>Dollar</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tcPr>
          <w:p>
            <w:pPr>
              <w:jc w:val="right"/>
              <w:spacing w:after="0"/>
              <w:rPr>
                <w:sz w:val="20"/>
                <w:szCs w:val="20"/>
                <w:color w:val="auto"/>
              </w:rPr>
            </w:pPr>
            <w:r>
              <w:rPr>
                <w:rFonts w:ascii="Arial" w:cs="Arial" w:eastAsia="Arial" w:hAnsi="Arial"/>
                <w:sz w:val="14"/>
                <w:szCs w:val="14"/>
                <w:color w:val="auto"/>
              </w:rPr>
              <w:t>3/11/2021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2,955,000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2,948,456</w:t>
            </w:r>
          </w:p>
        </w:tc>
        <w:tc>
          <w:tcPr>
            <w:tcW w:w="800" w:type="dxa"/>
            <w:vAlign w:val="bottom"/>
          </w:tcPr>
          <w:p>
            <w:pPr>
              <w:jc w:val="right"/>
              <w:spacing w:after="0"/>
              <w:rPr>
                <w:sz w:val="20"/>
                <w:szCs w:val="20"/>
                <w:color w:val="auto"/>
              </w:rPr>
            </w:pPr>
            <w:r>
              <w:rPr>
                <w:rFonts w:ascii="Arial" w:cs="Arial" w:eastAsia="Arial" w:hAnsi="Arial"/>
                <w:sz w:val="14"/>
                <w:szCs w:val="14"/>
                <w:color w:val="auto"/>
              </w:rPr>
              <w:t>2,799,863</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Drew Marine Group, Inc.</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Chemicals/Plastics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2,472,161</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2,445,601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2,299,110</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w w:val="99"/>
              </w:rPr>
              <w:t>DTZ U.S. Borrower, LLC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Construction &amp; Building</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Term Loan B Add-on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11/4/2021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3"/>
              </w:rPr>
              <w:t>2,985,000</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2,970,317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2,869,331</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Edelman Financial</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Banking, Finance, Insurance</w:t>
            </w: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Group, Inc.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&amp; Real Estate</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1,500,000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1,470,617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1,459,695</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Education Management</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Leisure</w:t>
            </w: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II, LLC</w:t>
            </w:r>
          </w:p>
        </w:tc>
        <w:tc>
          <w:tcPr>
            <w:tcW w:w="1840" w:type="dxa"/>
            <w:vAlign w:val="bottom"/>
          </w:tcPr>
          <w:p>
            <w:pPr>
              <w:ind w:left="40"/>
              <w:spacing w:after="0"/>
              <w:rPr>
                <w:sz w:val="20"/>
                <w:szCs w:val="20"/>
                <w:color w:val="auto"/>
              </w:rPr>
            </w:pPr>
            <w:r>
              <w:rPr>
                <w:rFonts w:ascii="Arial" w:cs="Arial" w:eastAsia="Arial" w:hAnsi="Arial"/>
                <w:sz w:val="14"/>
                <w:szCs w:val="14"/>
                <w:color w:val="auto"/>
              </w:rPr>
              <w:t>Goods/Activities/Movies</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 A</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tcPr>
          <w:p>
            <w:pPr>
              <w:jc w:val="right"/>
              <w:spacing w:after="0"/>
              <w:rPr>
                <w:sz w:val="20"/>
                <w:szCs w:val="20"/>
                <w:color w:val="auto"/>
              </w:rPr>
            </w:pPr>
            <w:r>
              <w:rPr>
                <w:rFonts w:ascii="Arial" w:cs="Arial" w:eastAsia="Arial" w:hAnsi="Arial"/>
                <w:sz w:val="14"/>
                <w:szCs w:val="14"/>
                <w:color w:val="auto"/>
              </w:rPr>
              <w:t>7/2/2020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501,970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485,313</w:t>
            </w:r>
          </w:p>
        </w:tc>
        <w:tc>
          <w:tcPr>
            <w:tcW w:w="800" w:type="dxa"/>
            <w:vAlign w:val="bottom"/>
          </w:tcPr>
          <w:p>
            <w:pPr>
              <w:jc w:val="right"/>
              <w:spacing w:after="0"/>
              <w:rPr>
                <w:sz w:val="20"/>
                <w:szCs w:val="20"/>
                <w:color w:val="auto"/>
              </w:rPr>
            </w:pPr>
            <w:r>
              <w:rPr>
                <w:rFonts w:ascii="Arial" w:cs="Arial" w:eastAsia="Arial" w:hAnsi="Arial"/>
                <w:sz w:val="14"/>
                <w:szCs w:val="14"/>
                <w:color w:val="auto"/>
              </w:rPr>
              <w:t>160,630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Education Management</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Leisure</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 (2.00%</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II, LLC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Goods/Activities/Movies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Cash/6.50% PIK)</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893,447</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867,647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56,582</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Emerald Performance</w:t>
            </w:r>
          </w:p>
        </w:tc>
        <w:tc>
          <w:tcPr>
            <w:tcW w:w="1840" w:type="dxa"/>
            <w:vAlign w:val="bottom"/>
          </w:tcPr>
          <w:p>
            <w:pPr>
              <w:spacing w:after="0"/>
              <w:rPr>
                <w:sz w:val="11"/>
                <w:szCs w:val="11"/>
                <w:color w:val="auto"/>
              </w:rPr>
            </w:pPr>
          </w:p>
        </w:tc>
        <w:tc>
          <w:tcPr>
            <w:tcW w:w="142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Materials, LLC</w:t>
            </w:r>
          </w:p>
        </w:tc>
        <w:tc>
          <w:tcPr>
            <w:tcW w:w="1840" w:type="dxa"/>
            <w:vAlign w:val="bottom"/>
          </w:tcPr>
          <w:p>
            <w:pPr>
              <w:ind w:left="40"/>
              <w:spacing w:after="0"/>
              <w:rPr>
                <w:sz w:val="20"/>
                <w:szCs w:val="20"/>
                <w:color w:val="auto"/>
              </w:rPr>
            </w:pPr>
            <w:r>
              <w:rPr>
                <w:rFonts w:ascii="Arial" w:cs="Arial" w:eastAsia="Arial" w:hAnsi="Arial"/>
                <w:sz w:val="14"/>
                <w:szCs w:val="14"/>
                <w:color w:val="auto"/>
              </w:rPr>
              <w:t>Chemicals/Plastics</w:t>
            </w:r>
          </w:p>
        </w:tc>
        <w:tc>
          <w:tcPr>
            <w:tcW w:w="1420" w:type="dxa"/>
            <w:vAlign w:val="bottom"/>
          </w:tcPr>
          <w:p>
            <w:pPr>
              <w:ind w:left="60"/>
              <w:spacing w:after="0"/>
              <w:rPr>
                <w:sz w:val="20"/>
                <w:szCs w:val="20"/>
                <w:color w:val="auto"/>
              </w:rPr>
            </w:pPr>
            <w:r>
              <w:rPr>
                <w:rFonts w:ascii="Arial" w:cs="Arial" w:eastAsia="Arial" w:hAnsi="Arial"/>
                <w:sz w:val="14"/>
                <w:szCs w:val="14"/>
                <w:color w:val="auto"/>
              </w:rPr>
              <w:t>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tcPr>
          <w:p>
            <w:pPr>
              <w:jc w:val="right"/>
              <w:spacing w:after="0"/>
              <w:rPr>
                <w:sz w:val="20"/>
                <w:szCs w:val="20"/>
                <w:color w:val="auto"/>
              </w:rPr>
            </w:pPr>
            <w:r>
              <w:rPr>
                <w:rFonts w:ascii="Arial" w:cs="Arial" w:eastAsia="Arial" w:hAnsi="Arial"/>
                <w:sz w:val="14"/>
                <w:szCs w:val="14"/>
                <w:color w:val="auto"/>
              </w:rPr>
              <w:t>8/1/2021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484,659</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482,690</w:t>
            </w:r>
          </w:p>
        </w:tc>
        <w:tc>
          <w:tcPr>
            <w:tcW w:w="800" w:type="dxa"/>
            <w:vAlign w:val="bottom"/>
          </w:tcPr>
          <w:p>
            <w:pPr>
              <w:jc w:val="right"/>
              <w:spacing w:after="0"/>
              <w:rPr>
                <w:sz w:val="20"/>
                <w:szCs w:val="20"/>
                <w:color w:val="auto"/>
              </w:rPr>
            </w:pPr>
            <w:r>
              <w:rPr>
                <w:rFonts w:ascii="Arial" w:cs="Arial" w:eastAsia="Arial" w:hAnsi="Arial"/>
                <w:sz w:val="14"/>
                <w:szCs w:val="14"/>
                <w:color w:val="auto"/>
              </w:rPr>
              <w:t>473,148</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Emerald Performance</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(Second</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Materials, LLC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Chemicals/Plastics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497,844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468,750</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Emerald 2 Limited</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Term Loan B1A</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5/14/2021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3"/>
              </w:rPr>
              <w:t>1,000,000</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991,762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866,670</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Endo International plc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Healthcare &amp; Pharmaceuticals</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9/26/2022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1,000,000</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997,602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987,780</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EnergySolutions, LLC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Environmental Industries</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5.75%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6.75%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5/29/2020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937,857</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923,660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731,528</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Evergreen Acqco 1 LP</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New 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965,081</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963,406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719,951</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EWT Holdings III Corp.</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1540" w:type="dxa"/>
            <w:vAlign w:val="bottom"/>
          </w:tcPr>
          <w:p>
            <w:pPr>
              <w:ind w:left="160"/>
              <w:spacing w:after="0" w:line="149" w:lineRule="exact"/>
              <w:rPr>
                <w:sz w:val="20"/>
                <w:szCs w:val="20"/>
                <w:color w:val="auto"/>
              </w:rPr>
            </w:pPr>
            <w:r>
              <w:rPr>
                <w:rFonts w:ascii="Arial" w:cs="Arial" w:eastAsia="Arial" w:hAnsi="Arial"/>
                <w:sz w:val="14"/>
                <w:szCs w:val="14"/>
                <w:color w:val="auto"/>
              </w:rPr>
              <w:t>(fka WTG Holdings III</w:t>
            </w:r>
          </w:p>
        </w:tc>
        <w:tc>
          <w:tcPr>
            <w:tcW w:w="1840" w:type="dxa"/>
            <w:vAlign w:val="bottom"/>
          </w:tcPr>
          <w:p>
            <w:pPr>
              <w:spacing w:after="0"/>
              <w:rPr>
                <w:sz w:val="12"/>
                <w:szCs w:val="12"/>
                <w:color w:val="auto"/>
              </w:rPr>
            </w:pP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Term Loan (First</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Corp.)</w:t>
            </w:r>
          </w:p>
        </w:tc>
        <w:tc>
          <w:tcPr>
            <w:tcW w:w="1840" w:type="dxa"/>
            <w:vAlign w:val="bottom"/>
          </w:tcPr>
          <w:p>
            <w:pPr>
              <w:ind w:left="40"/>
              <w:spacing w:after="0"/>
              <w:rPr>
                <w:sz w:val="20"/>
                <w:szCs w:val="20"/>
                <w:color w:val="auto"/>
              </w:rPr>
            </w:pPr>
            <w:r>
              <w:rPr>
                <w:rFonts w:ascii="Arial" w:cs="Arial" w:eastAsia="Arial" w:hAnsi="Arial"/>
                <w:sz w:val="14"/>
                <w:szCs w:val="14"/>
                <w:color w:val="auto"/>
              </w:rPr>
              <w:t>Industrial Equipment</w:t>
            </w:r>
          </w:p>
        </w:tc>
        <w:tc>
          <w:tcPr>
            <w:tcW w:w="1420" w:type="dxa"/>
            <w:vAlign w:val="bottom"/>
          </w:tcPr>
          <w:p>
            <w:pPr>
              <w:ind w:left="60"/>
              <w:spacing w:after="0"/>
              <w:rPr>
                <w:sz w:val="20"/>
                <w:szCs w:val="20"/>
                <w:color w:val="auto"/>
              </w:rPr>
            </w:pPr>
            <w:r>
              <w:rPr>
                <w:rFonts w:ascii="Arial" w:cs="Arial" w:eastAsia="Arial" w:hAnsi="Arial"/>
                <w:sz w:val="14"/>
                <w:szCs w:val="14"/>
                <w:color w:val="auto"/>
              </w:rPr>
              <w:t>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1/15/2021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1,967,406</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1,962,950</w:t>
            </w:r>
          </w:p>
        </w:tc>
        <w:tc>
          <w:tcPr>
            <w:tcW w:w="800" w:type="dxa"/>
            <w:vAlign w:val="bottom"/>
          </w:tcPr>
          <w:p>
            <w:pPr>
              <w:jc w:val="right"/>
              <w:spacing w:after="0"/>
              <w:rPr>
                <w:sz w:val="20"/>
                <w:szCs w:val="20"/>
                <w:color w:val="auto"/>
              </w:rPr>
            </w:pPr>
            <w:r>
              <w:rPr>
                <w:rFonts w:ascii="Arial" w:cs="Arial" w:eastAsia="Arial" w:hAnsi="Arial"/>
                <w:sz w:val="14"/>
                <w:szCs w:val="14"/>
                <w:color w:val="auto"/>
              </w:rPr>
              <w:t>1,908,383</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Federal-Mogul</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7"/>
              </w:rPr>
              <w:t>Tranche C 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4/15/2021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2,955,000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2,943,580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2,345,530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First Data Corporation</w:t>
            </w:r>
          </w:p>
        </w:tc>
        <w:tc>
          <w:tcPr>
            <w:tcW w:w="1840" w:type="dxa"/>
            <w:vAlign w:val="bottom"/>
          </w:tcPr>
          <w:p>
            <w:pPr>
              <w:spacing w:after="0"/>
              <w:rPr>
                <w:sz w:val="11"/>
                <w:szCs w:val="11"/>
                <w:color w:val="auto"/>
              </w:rPr>
            </w:pPr>
          </w:p>
        </w:tc>
        <w:tc>
          <w:tcPr>
            <w:tcW w:w="1420" w:type="dxa"/>
            <w:vAlign w:val="bottom"/>
          </w:tcPr>
          <w:p>
            <w:pPr>
              <w:ind w:left="60"/>
              <w:spacing w:after="0" w:line="130" w:lineRule="exact"/>
              <w:rPr>
                <w:sz w:val="20"/>
                <w:szCs w:val="20"/>
                <w:color w:val="auto"/>
              </w:rPr>
            </w:pPr>
            <w:r>
              <w:rPr>
                <w:rFonts w:ascii="Arial" w:cs="Arial" w:eastAsia="Arial" w:hAnsi="Arial"/>
                <w:sz w:val="14"/>
                <w:szCs w:val="14"/>
                <w:color w:val="auto"/>
              </w:rPr>
              <w:t>First Data Corp T/L</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Arial" w:cs="Arial" w:eastAsia="Arial" w:hAnsi="Arial"/>
                <w:sz w:val="14"/>
                <w:szCs w:val="14"/>
                <w:color w:val="auto"/>
              </w:rPr>
              <w:t>Financial Intermediaries</w:t>
            </w:r>
          </w:p>
        </w:tc>
        <w:tc>
          <w:tcPr>
            <w:tcW w:w="1420" w:type="dxa"/>
            <w:vAlign w:val="bottom"/>
          </w:tcPr>
          <w:p>
            <w:pPr>
              <w:ind w:left="60"/>
              <w:spacing w:after="0"/>
              <w:rPr>
                <w:sz w:val="20"/>
                <w:szCs w:val="20"/>
                <w:color w:val="auto"/>
              </w:rPr>
            </w:pPr>
            <w:r>
              <w:rPr>
                <w:rFonts w:ascii="Arial" w:cs="Arial" w:eastAsia="Arial" w:hAnsi="Arial"/>
                <w:sz w:val="14"/>
                <w:szCs w:val="14"/>
                <w:color w:val="auto"/>
              </w:rPr>
              <w:t>(2018 New Dollar)</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0.62%</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4.12%</w:t>
            </w:r>
          </w:p>
        </w:tc>
        <w:tc>
          <w:tcPr>
            <w:tcW w:w="800" w:type="dxa"/>
            <w:vAlign w:val="bottom"/>
          </w:tcPr>
          <w:p>
            <w:pPr>
              <w:jc w:val="right"/>
              <w:spacing w:after="0"/>
              <w:rPr>
                <w:sz w:val="20"/>
                <w:szCs w:val="20"/>
                <w:color w:val="auto"/>
              </w:rPr>
            </w:pPr>
            <w:r>
              <w:rPr>
                <w:rFonts w:ascii="Arial" w:cs="Arial" w:eastAsia="Arial" w:hAnsi="Arial"/>
                <w:sz w:val="14"/>
                <w:szCs w:val="14"/>
                <w:color w:val="auto"/>
              </w:rPr>
              <w:t>3/23/2018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2,790,451</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2,748,229</w:t>
            </w:r>
          </w:p>
        </w:tc>
        <w:tc>
          <w:tcPr>
            <w:tcW w:w="800" w:type="dxa"/>
            <w:vAlign w:val="bottom"/>
          </w:tcPr>
          <w:p>
            <w:pPr>
              <w:jc w:val="right"/>
              <w:spacing w:after="0"/>
              <w:rPr>
                <w:sz w:val="20"/>
                <w:szCs w:val="20"/>
                <w:color w:val="auto"/>
              </w:rPr>
            </w:pPr>
            <w:r>
              <w:rPr>
                <w:rFonts w:ascii="Arial" w:cs="Arial" w:eastAsia="Arial" w:hAnsi="Arial"/>
                <w:sz w:val="14"/>
                <w:szCs w:val="14"/>
                <w:color w:val="auto"/>
              </w:rPr>
              <w:t>2,752,780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Data Corporation</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First Data T/L Ext</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Financial Intermediaries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(2021)</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0.62%</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3/24/2021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2,111,028</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2,034,284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2,077,779</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First Eagle Investment</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Banking, Finance, Insurance</w:t>
            </w: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Management</w:t>
            </w:r>
          </w:p>
        </w:tc>
        <w:tc>
          <w:tcPr>
            <w:tcW w:w="1840" w:type="dxa"/>
            <w:vAlign w:val="bottom"/>
          </w:tcPr>
          <w:p>
            <w:pPr>
              <w:ind w:left="40"/>
              <w:spacing w:after="0"/>
              <w:rPr>
                <w:sz w:val="20"/>
                <w:szCs w:val="20"/>
                <w:color w:val="auto"/>
              </w:rPr>
            </w:pPr>
            <w:r>
              <w:rPr>
                <w:rFonts w:ascii="Arial" w:cs="Arial" w:eastAsia="Arial" w:hAnsi="Arial"/>
                <w:sz w:val="14"/>
                <w:szCs w:val="14"/>
                <w:color w:val="auto"/>
              </w:rPr>
              <w:t>&amp; Real Estate</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12/1/2022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1,500,000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1,470,946</w:t>
            </w:r>
          </w:p>
        </w:tc>
        <w:tc>
          <w:tcPr>
            <w:tcW w:w="800" w:type="dxa"/>
            <w:vAlign w:val="bottom"/>
          </w:tcPr>
          <w:p>
            <w:pPr>
              <w:jc w:val="right"/>
              <w:spacing w:after="0"/>
              <w:rPr>
                <w:sz w:val="20"/>
                <w:szCs w:val="20"/>
                <w:color w:val="auto"/>
              </w:rPr>
            </w:pPr>
            <w:r>
              <w:rPr>
                <w:rFonts w:ascii="Arial" w:cs="Arial" w:eastAsia="Arial" w:hAnsi="Arial"/>
                <w:sz w:val="14"/>
                <w:szCs w:val="14"/>
                <w:color w:val="auto"/>
              </w:rPr>
              <w:t>1,412,504</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Fitness International,</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Leisure</w:t>
            </w: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Goods/Activities/Movies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1,976,234</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1,945,935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1,850,249</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w w:val="98"/>
              </w:rPr>
              <w:t>FMG Resources (August</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1540" w:type="dxa"/>
            <w:vAlign w:val="bottom"/>
          </w:tcPr>
          <w:p>
            <w:pPr>
              <w:ind w:left="160"/>
              <w:spacing w:after="0" w:line="149" w:lineRule="exact"/>
              <w:rPr>
                <w:sz w:val="20"/>
                <w:szCs w:val="20"/>
                <w:color w:val="auto"/>
              </w:rPr>
            </w:pPr>
            <w:r>
              <w:rPr>
                <w:rFonts w:ascii="Arial" w:cs="Arial" w:eastAsia="Arial" w:hAnsi="Arial"/>
                <w:sz w:val="14"/>
                <w:szCs w:val="14"/>
                <w:color w:val="auto"/>
              </w:rPr>
              <w:t>2006) Pty LTD (FMG</w:t>
            </w:r>
          </w:p>
        </w:tc>
        <w:tc>
          <w:tcPr>
            <w:tcW w:w="1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w w:val="97"/>
              </w:rPr>
              <w:t>America Finance, Inc.)</w:t>
            </w:r>
          </w:p>
        </w:tc>
        <w:tc>
          <w:tcPr>
            <w:tcW w:w="1840" w:type="dxa"/>
            <w:vAlign w:val="bottom"/>
          </w:tcPr>
          <w:p>
            <w:pPr>
              <w:ind w:left="40"/>
              <w:spacing w:after="0"/>
              <w:rPr>
                <w:sz w:val="20"/>
                <w:szCs w:val="20"/>
                <w:color w:val="auto"/>
              </w:rPr>
            </w:pPr>
            <w:r>
              <w:rPr>
                <w:rFonts w:ascii="Arial" w:cs="Arial" w:eastAsia="Arial" w:hAnsi="Arial"/>
                <w:sz w:val="14"/>
                <w:szCs w:val="14"/>
                <w:color w:val="auto"/>
              </w:rPr>
              <w:t>Nonferrous Metals/Minerals</w:t>
            </w:r>
          </w:p>
        </w:tc>
        <w:tc>
          <w:tcPr>
            <w:tcW w:w="1420" w:type="dxa"/>
            <w:vAlign w:val="bottom"/>
          </w:tcPr>
          <w:p>
            <w:pPr>
              <w:ind w:left="60"/>
              <w:spacing w:after="0"/>
              <w:rPr>
                <w:sz w:val="20"/>
                <w:szCs w:val="20"/>
                <w:color w:val="auto"/>
              </w:rPr>
            </w:pPr>
            <w:r>
              <w:rPr>
                <w:rFonts w:ascii="Arial" w:cs="Arial" w:eastAsia="Arial" w:hAnsi="Arial"/>
                <w:sz w:val="14"/>
                <w:szCs w:val="14"/>
                <w:color w:val="auto"/>
              </w:rPr>
              <w:t>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tcPr>
          <w:p>
            <w:pPr>
              <w:jc w:val="right"/>
              <w:spacing w:after="0"/>
              <w:rPr>
                <w:sz w:val="20"/>
                <w:szCs w:val="20"/>
                <w:color w:val="auto"/>
              </w:rPr>
            </w:pPr>
            <w:r>
              <w:rPr>
                <w:rFonts w:ascii="Arial" w:cs="Arial" w:eastAsia="Arial" w:hAnsi="Arial"/>
                <w:sz w:val="14"/>
                <w:szCs w:val="14"/>
                <w:color w:val="auto"/>
              </w:rPr>
              <w:t>6/28/2019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1,962,387</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1,962,515</w:t>
            </w:r>
          </w:p>
        </w:tc>
        <w:tc>
          <w:tcPr>
            <w:tcW w:w="800" w:type="dxa"/>
            <w:vAlign w:val="bottom"/>
          </w:tcPr>
          <w:p>
            <w:pPr>
              <w:jc w:val="right"/>
              <w:spacing w:after="0"/>
              <w:rPr>
                <w:sz w:val="20"/>
                <w:szCs w:val="20"/>
                <w:color w:val="auto"/>
              </w:rPr>
            </w:pPr>
            <w:r>
              <w:rPr>
                <w:rFonts w:ascii="Arial" w:cs="Arial" w:eastAsia="Arial" w:hAnsi="Arial"/>
                <w:sz w:val="14"/>
                <w:szCs w:val="14"/>
                <w:color w:val="auto"/>
              </w:rPr>
              <w:t>1,504,738</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Garda World Security</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7"/>
              </w:rPr>
              <w:t>Term B Delayed Draw</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199,120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198,391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187,344</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Garda World Security</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840" w:type="dxa"/>
            <w:vAlign w:val="bottom"/>
          </w:tcPr>
          <w:p>
            <w:pPr>
              <w:ind w:left="40"/>
              <w:spacing w:after="0"/>
              <w:rPr>
                <w:sz w:val="20"/>
                <w:szCs w:val="20"/>
                <w:color w:val="auto"/>
              </w:rPr>
            </w:pPr>
            <w:r>
              <w:rPr>
                <w:rFonts w:ascii="Arial" w:cs="Arial" w:eastAsia="Arial" w:hAnsi="Arial"/>
                <w:sz w:val="14"/>
                <w:szCs w:val="14"/>
                <w:color w:val="auto"/>
              </w:rPr>
              <w:t>Services: Business</w:t>
            </w:r>
          </w:p>
        </w:tc>
        <w:tc>
          <w:tcPr>
            <w:tcW w:w="1420" w:type="dxa"/>
            <w:vAlign w:val="bottom"/>
          </w:tcPr>
          <w:p>
            <w:pPr>
              <w:ind w:left="60"/>
              <w:spacing w:after="0"/>
              <w:rPr>
                <w:sz w:val="20"/>
                <w:szCs w:val="20"/>
                <w:color w:val="auto"/>
              </w:rPr>
            </w:pPr>
            <w:r>
              <w:rPr>
                <w:rFonts w:ascii="Arial" w:cs="Arial" w:eastAsia="Arial" w:hAnsi="Arial"/>
                <w:sz w:val="14"/>
                <w:szCs w:val="14"/>
                <w:color w:val="auto"/>
              </w:rPr>
              <w:t>Term B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tcPr>
          <w:p>
            <w:pPr>
              <w:jc w:val="right"/>
              <w:spacing w:after="0"/>
              <w:rPr>
                <w:sz w:val="20"/>
                <w:szCs w:val="20"/>
                <w:color w:val="auto"/>
              </w:rPr>
            </w:pPr>
            <w:r>
              <w:rPr>
                <w:rFonts w:ascii="Arial" w:cs="Arial" w:eastAsia="Arial" w:hAnsi="Arial"/>
                <w:sz w:val="14"/>
                <w:szCs w:val="14"/>
                <w:color w:val="auto"/>
              </w:rPr>
              <w:t>11/6/2020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778,380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775,586</w:t>
            </w:r>
          </w:p>
        </w:tc>
        <w:tc>
          <w:tcPr>
            <w:tcW w:w="800" w:type="dxa"/>
            <w:vAlign w:val="bottom"/>
          </w:tcPr>
          <w:p>
            <w:pPr>
              <w:jc w:val="right"/>
              <w:spacing w:after="0"/>
              <w:rPr>
                <w:sz w:val="20"/>
                <w:szCs w:val="20"/>
                <w:color w:val="auto"/>
              </w:rPr>
            </w:pPr>
            <w:r>
              <w:rPr>
                <w:rFonts w:ascii="Arial" w:cs="Arial" w:eastAsia="Arial" w:hAnsi="Arial"/>
                <w:sz w:val="14"/>
                <w:szCs w:val="14"/>
                <w:color w:val="auto"/>
              </w:rPr>
              <w:t>732,346</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Gardner Denver, Inc.</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Initial Dollar Term</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High Tech Industries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2,451,137</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2,445,005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2,016,452</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Gates Global LLC</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Leisure</w:t>
            </w:r>
          </w:p>
        </w:tc>
        <w:tc>
          <w:tcPr>
            <w:tcW w:w="142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Arial" w:cs="Arial" w:eastAsia="Arial" w:hAnsi="Arial"/>
                <w:sz w:val="14"/>
                <w:szCs w:val="14"/>
                <w:color w:val="auto"/>
              </w:rPr>
              <w:t>Goods/Activities/Movies</w:t>
            </w:r>
          </w:p>
        </w:tc>
        <w:tc>
          <w:tcPr>
            <w:tcW w:w="1420" w:type="dxa"/>
            <w:vAlign w:val="bottom"/>
          </w:tcPr>
          <w:p>
            <w:pPr>
              <w:ind w:left="60"/>
              <w:spacing w:after="0"/>
              <w:rPr>
                <w:sz w:val="20"/>
                <w:szCs w:val="20"/>
                <w:color w:val="auto"/>
              </w:rPr>
            </w:pPr>
            <w:r>
              <w:rPr>
                <w:rFonts w:ascii="Arial" w:cs="Arial" w:eastAsia="Arial" w:hAnsi="Arial"/>
                <w:sz w:val="14"/>
                <w:szCs w:val="14"/>
                <w:color w:val="auto"/>
              </w:rPr>
              <w:t>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tcPr>
          <w:p>
            <w:pPr>
              <w:jc w:val="right"/>
              <w:spacing w:after="0"/>
              <w:rPr>
                <w:sz w:val="20"/>
                <w:szCs w:val="20"/>
                <w:color w:val="auto"/>
              </w:rPr>
            </w:pPr>
            <w:r>
              <w:rPr>
                <w:rFonts w:ascii="Arial" w:cs="Arial" w:eastAsia="Arial" w:hAnsi="Arial"/>
                <w:sz w:val="14"/>
                <w:szCs w:val="14"/>
                <w:color w:val="auto"/>
              </w:rPr>
              <w:t>7/5/2021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493,750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488,813</w:t>
            </w:r>
          </w:p>
        </w:tc>
        <w:tc>
          <w:tcPr>
            <w:tcW w:w="800" w:type="dxa"/>
            <w:vAlign w:val="bottom"/>
          </w:tcPr>
          <w:p>
            <w:pPr>
              <w:jc w:val="right"/>
              <w:spacing w:after="0"/>
              <w:rPr>
                <w:sz w:val="20"/>
                <w:szCs w:val="20"/>
                <w:color w:val="auto"/>
              </w:rPr>
            </w:pPr>
            <w:r>
              <w:rPr>
                <w:rFonts w:ascii="Arial" w:cs="Arial" w:eastAsia="Arial" w:hAnsi="Arial"/>
                <w:sz w:val="14"/>
                <w:szCs w:val="14"/>
                <w:color w:val="auto"/>
              </w:rPr>
              <w:t>433,883</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Generac Power Systems,</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Industrial Equipment</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693,858</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684,537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676,511</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General Nutrition</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420" w:type="dxa"/>
            <w:vAlign w:val="bottom"/>
          </w:tcPr>
          <w:p>
            <w:pPr>
              <w:ind w:left="60"/>
              <w:spacing w:after="0" w:line="130" w:lineRule="exact"/>
              <w:rPr>
                <w:sz w:val="20"/>
                <w:szCs w:val="20"/>
                <w:color w:val="auto"/>
              </w:rPr>
            </w:pPr>
            <w:r>
              <w:rPr>
                <w:rFonts w:ascii="Arial" w:cs="Arial" w:eastAsia="Arial" w:hAnsi="Arial"/>
                <w:sz w:val="14"/>
                <w:szCs w:val="14"/>
                <w:color w:val="auto"/>
              </w:rPr>
              <w:t>Amended Tranche B</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Centers, Inc.</w:t>
            </w:r>
          </w:p>
        </w:tc>
        <w:tc>
          <w:tcPr>
            <w:tcW w:w="1840" w:type="dxa"/>
            <w:vAlign w:val="bottom"/>
          </w:tcPr>
          <w:p>
            <w:pPr>
              <w:ind w:left="40"/>
              <w:spacing w:after="0"/>
              <w:rPr>
                <w:sz w:val="20"/>
                <w:szCs w:val="20"/>
                <w:color w:val="auto"/>
              </w:rPr>
            </w:pPr>
            <w:r>
              <w:rPr>
                <w:rFonts w:ascii="Arial" w:cs="Arial" w:eastAsia="Arial" w:hAnsi="Arial"/>
                <w:sz w:val="14"/>
                <w:szCs w:val="14"/>
                <w:color w:val="auto"/>
              </w:rPr>
              <w:t>Drugs)</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3.25%</w:t>
            </w:r>
          </w:p>
        </w:tc>
        <w:tc>
          <w:tcPr>
            <w:tcW w:w="800" w:type="dxa"/>
            <w:vAlign w:val="bottom"/>
          </w:tcPr>
          <w:p>
            <w:pPr>
              <w:jc w:val="right"/>
              <w:spacing w:after="0"/>
              <w:rPr>
                <w:sz w:val="20"/>
                <w:szCs w:val="20"/>
                <w:color w:val="auto"/>
              </w:rPr>
            </w:pPr>
            <w:r>
              <w:rPr>
                <w:rFonts w:ascii="Arial" w:cs="Arial" w:eastAsia="Arial" w:hAnsi="Arial"/>
                <w:sz w:val="14"/>
                <w:szCs w:val="14"/>
                <w:color w:val="auto"/>
              </w:rPr>
              <w:t>3/4/2019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4,131,271</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4,121,165</w:t>
            </w:r>
          </w:p>
        </w:tc>
        <w:tc>
          <w:tcPr>
            <w:tcW w:w="800" w:type="dxa"/>
            <w:vAlign w:val="bottom"/>
          </w:tcPr>
          <w:p>
            <w:pPr>
              <w:jc w:val="right"/>
              <w:spacing w:after="0"/>
              <w:rPr>
                <w:sz w:val="20"/>
                <w:szCs w:val="20"/>
                <w:color w:val="auto"/>
              </w:rPr>
            </w:pPr>
            <w:r>
              <w:rPr>
                <w:rFonts w:ascii="Arial" w:cs="Arial" w:eastAsia="Arial" w:hAnsi="Arial"/>
                <w:sz w:val="14"/>
                <w:szCs w:val="14"/>
                <w:color w:val="auto"/>
              </w:rPr>
              <w:t>4,012,497</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Global Tel*Link</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2,725,318</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2,717,647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2,237,023</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w w:val="99"/>
              </w:rPr>
              <w:t>Goodyear Tire &amp; Rubber</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Company, The</w:t>
            </w:r>
          </w:p>
        </w:tc>
        <w:tc>
          <w:tcPr>
            <w:tcW w:w="1840" w:type="dxa"/>
            <w:vAlign w:val="bottom"/>
          </w:tcPr>
          <w:p>
            <w:pPr>
              <w:ind w:left="40"/>
              <w:spacing w:after="0"/>
              <w:rPr>
                <w:sz w:val="20"/>
                <w:szCs w:val="20"/>
                <w:color w:val="auto"/>
              </w:rPr>
            </w:pPr>
            <w:r>
              <w:rPr>
                <w:rFonts w:ascii="Arial" w:cs="Arial" w:eastAsia="Arial" w:hAnsi="Arial"/>
                <w:sz w:val="14"/>
                <w:szCs w:val="14"/>
                <w:color w:val="auto"/>
              </w:rPr>
              <w:t>Chemicals/Plastics</w:t>
            </w:r>
          </w:p>
        </w:tc>
        <w:tc>
          <w:tcPr>
            <w:tcW w:w="1420" w:type="dxa"/>
            <w:vAlign w:val="bottom"/>
          </w:tcPr>
          <w:p>
            <w:pPr>
              <w:ind w:left="60"/>
              <w:spacing w:after="0"/>
              <w:rPr>
                <w:sz w:val="20"/>
                <w:szCs w:val="20"/>
                <w:color w:val="auto"/>
              </w:rPr>
            </w:pPr>
            <w:r>
              <w:rPr>
                <w:rFonts w:ascii="Arial" w:cs="Arial" w:eastAsia="Arial" w:hAnsi="Arial"/>
                <w:sz w:val="14"/>
                <w:szCs w:val="14"/>
                <w:color w:val="auto"/>
              </w:rPr>
              <w:t>Loan (Second 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tcPr>
          <w:p>
            <w:pPr>
              <w:jc w:val="right"/>
              <w:spacing w:after="0"/>
              <w:rPr>
                <w:sz w:val="20"/>
                <w:szCs w:val="20"/>
                <w:color w:val="auto"/>
              </w:rPr>
            </w:pPr>
            <w:r>
              <w:rPr>
                <w:rFonts w:ascii="Arial" w:cs="Arial" w:eastAsia="Arial" w:hAnsi="Arial"/>
                <w:sz w:val="14"/>
                <w:szCs w:val="14"/>
                <w:color w:val="auto"/>
              </w:rPr>
              <w:t>4/30/2019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2,000,000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1,974,077</w:t>
            </w:r>
          </w:p>
        </w:tc>
        <w:tc>
          <w:tcPr>
            <w:tcW w:w="800" w:type="dxa"/>
            <w:vAlign w:val="bottom"/>
          </w:tcPr>
          <w:p>
            <w:pPr>
              <w:jc w:val="right"/>
              <w:spacing w:after="0"/>
              <w:rPr>
                <w:sz w:val="20"/>
                <w:szCs w:val="20"/>
                <w:color w:val="auto"/>
              </w:rPr>
            </w:pPr>
            <w:r>
              <w:rPr>
                <w:rFonts w:ascii="Arial" w:cs="Arial" w:eastAsia="Arial" w:hAnsi="Arial"/>
                <w:sz w:val="14"/>
                <w:szCs w:val="14"/>
                <w:color w:val="auto"/>
              </w:rPr>
              <w:t>2,005,000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Grosvenor Capital</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9"/>
        </w:trPr>
        <w:tc>
          <w:tcPr>
            <w:tcW w:w="15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4"/>
              </w:rPr>
              <w:t>Management Holdings,</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Brokers/Dealers/Investment</w:t>
            </w:r>
          </w:p>
        </w:tc>
        <w:tc>
          <w:tcPr>
            <w:tcW w:w="1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LP</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Houses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Initial 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1,264,036</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1,259,418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1,191,354</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w w:val="98"/>
              </w:rPr>
              <w:t>GTCR Valor Companies,</w:t>
            </w:r>
          </w:p>
        </w:tc>
        <w:tc>
          <w:tcPr>
            <w:tcW w:w="1840" w:type="dxa"/>
            <w:vAlign w:val="bottom"/>
          </w:tcPr>
          <w:p>
            <w:pPr>
              <w:spacing w:after="0"/>
              <w:rPr>
                <w:sz w:val="11"/>
                <w:szCs w:val="11"/>
                <w:color w:val="auto"/>
              </w:rPr>
            </w:pPr>
          </w:p>
        </w:tc>
        <w:tc>
          <w:tcPr>
            <w:tcW w:w="142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Inc.</w:t>
            </w:r>
          </w:p>
        </w:tc>
        <w:tc>
          <w:tcPr>
            <w:tcW w:w="1840" w:type="dxa"/>
            <w:vAlign w:val="bottom"/>
          </w:tcPr>
          <w:p>
            <w:pPr>
              <w:ind w:left="40"/>
              <w:spacing w:after="0"/>
              <w:rPr>
                <w:sz w:val="20"/>
                <w:szCs w:val="20"/>
                <w:color w:val="auto"/>
              </w:rPr>
            </w:pPr>
            <w:r>
              <w:rPr>
                <w:rFonts w:ascii="Arial" w:cs="Arial" w:eastAsia="Arial" w:hAnsi="Arial"/>
                <w:sz w:val="14"/>
                <w:szCs w:val="14"/>
                <w:color w:val="auto"/>
              </w:rPr>
              <w:t>Services: Business</w:t>
            </w:r>
          </w:p>
        </w:tc>
        <w:tc>
          <w:tcPr>
            <w:tcW w:w="1420" w:type="dxa"/>
            <w:vAlign w:val="bottom"/>
          </w:tcPr>
          <w:p>
            <w:pPr>
              <w:ind w:left="60"/>
              <w:spacing w:after="0"/>
              <w:rPr>
                <w:sz w:val="20"/>
                <w:szCs w:val="20"/>
                <w:color w:val="auto"/>
              </w:rPr>
            </w:pPr>
            <w:r>
              <w:rPr>
                <w:rFonts w:ascii="Arial" w:cs="Arial" w:eastAsia="Arial" w:hAnsi="Arial"/>
                <w:sz w:val="14"/>
                <w:szCs w:val="14"/>
                <w:color w:val="auto"/>
              </w:rPr>
              <w:t>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tcPr>
          <w:p>
            <w:pPr>
              <w:jc w:val="right"/>
              <w:spacing w:after="0"/>
              <w:rPr>
                <w:sz w:val="20"/>
                <w:szCs w:val="20"/>
                <w:color w:val="auto"/>
              </w:rPr>
            </w:pPr>
            <w:r>
              <w:rPr>
                <w:rFonts w:ascii="Arial" w:cs="Arial" w:eastAsia="Arial" w:hAnsi="Arial"/>
                <w:sz w:val="14"/>
                <w:szCs w:val="14"/>
                <w:color w:val="auto"/>
              </w:rPr>
              <w:t>6/1/2021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1,974,982</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1,941,456</w:t>
            </w:r>
          </w:p>
        </w:tc>
        <w:tc>
          <w:tcPr>
            <w:tcW w:w="800" w:type="dxa"/>
            <w:vAlign w:val="bottom"/>
          </w:tcPr>
          <w:p>
            <w:pPr>
              <w:jc w:val="right"/>
              <w:spacing w:after="0"/>
              <w:rPr>
                <w:sz w:val="20"/>
                <w:szCs w:val="20"/>
                <w:color w:val="auto"/>
              </w:rPr>
            </w:pPr>
            <w:r>
              <w:rPr>
                <w:rFonts w:ascii="Arial" w:cs="Arial" w:eastAsia="Arial" w:hAnsi="Arial"/>
                <w:sz w:val="14"/>
                <w:szCs w:val="14"/>
                <w:color w:val="auto"/>
              </w:rPr>
              <w:t>1,959,340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Harland Clarke Holdings</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9"/>
        </w:trPr>
        <w:tc>
          <w:tcPr>
            <w:tcW w:w="15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Corp. (fka Clarke</w:t>
            </w:r>
          </w:p>
        </w:tc>
        <w:tc>
          <w:tcPr>
            <w:tcW w:w="1840" w:type="dxa"/>
            <w:vAlign w:val="bottom"/>
            <w:shd w:val="clear" w:color="auto" w:fill="CCEEFF"/>
          </w:tcPr>
          <w:p>
            <w:pPr>
              <w:spacing w:after="0"/>
              <w:rPr>
                <w:sz w:val="12"/>
                <w:szCs w:val="12"/>
                <w:color w:val="auto"/>
              </w:rPr>
            </w:pP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Tranche B-4 Term</w:t>
            </w: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American Corp.)</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Publishing</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475,000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473,378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421,561</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HCA Inc.</w:t>
            </w:r>
          </w:p>
        </w:tc>
        <w:tc>
          <w:tcPr>
            <w:tcW w:w="1840" w:type="dxa"/>
            <w:vAlign w:val="bottom"/>
          </w:tcPr>
          <w:p>
            <w:pPr>
              <w:spacing w:after="0"/>
              <w:rPr>
                <w:sz w:val="11"/>
                <w:szCs w:val="11"/>
                <w:color w:val="auto"/>
              </w:rPr>
            </w:pPr>
          </w:p>
        </w:tc>
        <w:tc>
          <w:tcPr>
            <w:tcW w:w="1420" w:type="dxa"/>
            <w:vAlign w:val="bottom"/>
          </w:tcPr>
          <w:p>
            <w:pPr>
              <w:ind w:left="60"/>
              <w:spacing w:after="0" w:line="130" w:lineRule="exact"/>
              <w:rPr>
                <w:sz w:val="20"/>
                <w:szCs w:val="20"/>
                <w:color w:val="auto"/>
              </w:rPr>
            </w:pPr>
            <w:r>
              <w:rPr>
                <w:rFonts w:ascii="Arial" w:cs="Arial" w:eastAsia="Arial" w:hAnsi="Arial"/>
                <w:sz w:val="14"/>
                <w:szCs w:val="14"/>
                <w:color w:val="auto"/>
              </w:rPr>
              <w:t>Tranche B-4 Term</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Arial" w:cs="Arial" w:eastAsia="Arial" w:hAnsi="Arial"/>
                <w:sz w:val="14"/>
                <w:szCs w:val="14"/>
                <w:color w:val="auto"/>
                <w:w w:val="94"/>
              </w:rPr>
              <w:t>Healthcare &amp; Pharmaceuticals</w:t>
            </w:r>
          </w:p>
        </w:tc>
        <w:tc>
          <w:tcPr>
            <w:tcW w:w="1420" w:type="dxa"/>
            <w:vAlign w:val="bottom"/>
          </w:tcPr>
          <w:p>
            <w:pPr>
              <w:ind w:left="60"/>
              <w:spacing w:after="0"/>
              <w:rPr>
                <w:sz w:val="20"/>
                <w:szCs w:val="20"/>
                <w:color w:val="auto"/>
              </w:rPr>
            </w:pPr>
            <w:r>
              <w:rPr>
                <w:rFonts w:ascii="Arial" w:cs="Arial" w:eastAsia="Arial" w:hAnsi="Arial"/>
                <w:sz w:val="14"/>
                <w:szCs w:val="14"/>
                <w:color w:val="auto"/>
              </w:rPr>
              <w:t>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0.62%</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3.37%</w:t>
            </w:r>
          </w:p>
        </w:tc>
        <w:tc>
          <w:tcPr>
            <w:tcW w:w="800" w:type="dxa"/>
            <w:vAlign w:val="bottom"/>
          </w:tcPr>
          <w:p>
            <w:pPr>
              <w:jc w:val="right"/>
              <w:spacing w:after="0"/>
              <w:rPr>
                <w:sz w:val="20"/>
                <w:szCs w:val="20"/>
                <w:color w:val="auto"/>
              </w:rPr>
            </w:pPr>
            <w:r>
              <w:rPr>
                <w:rFonts w:ascii="Arial" w:cs="Arial" w:eastAsia="Arial" w:hAnsi="Arial"/>
                <w:sz w:val="14"/>
                <w:szCs w:val="14"/>
                <w:color w:val="auto"/>
              </w:rPr>
              <w:t>5/1/2018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2,119,664</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2,053,127</w:t>
            </w:r>
          </w:p>
        </w:tc>
        <w:tc>
          <w:tcPr>
            <w:tcW w:w="800" w:type="dxa"/>
            <w:vAlign w:val="bottom"/>
          </w:tcPr>
          <w:p>
            <w:pPr>
              <w:jc w:val="right"/>
              <w:spacing w:after="0"/>
              <w:rPr>
                <w:sz w:val="20"/>
                <w:szCs w:val="20"/>
                <w:color w:val="auto"/>
              </w:rPr>
            </w:pPr>
            <w:r>
              <w:rPr>
                <w:rFonts w:ascii="Arial" w:cs="Arial" w:eastAsia="Arial" w:hAnsi="Arial"/>
                <w:sz w:val="14"/>
                <w:szCs w:val="14"/>
                <w:color w:val="auto"/>
              </w:rPr>
              <w:t>2,116,294</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Headwaters Incorporated</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Building &amp; Development</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3/24/2022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248,750</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247,628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248,285</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Hercules Achievement</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Holdings, Inc.</w:t>
            </w:r>
          </w:p>
        </w:tc>
        <w:tc>
          <w:tcPr>
            <w:tcW w:w="1840" w:type="dxa"/>
            <w:vAlign w:val="bottom"/>
          </w:tcPr>
          <w:p>
            <w:pPr>
              <w:ind w:left="40"/>
              <w:spacing w:after="0"/>
              <w:rPr>
                <w:sz w:val="20"/>
                <w:szCs w:val="20"/>
                <w:color w:val="auto"/>
              </w:rPr>
            </w:pPr>
            <w:r>
              <w:rPr>
                <w:rFonts w:ascii="Arial" w:cs="Arial" w:eastAsia="Arial" w:hAnsi="Arial"/>
                <w:sz w:val="14"/>
                <w:szCs w:val="14"/>
                <w:color w:val="auto"/>
              </w:rPr>
              <w:t>Drugs)</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tcPr>
          <w:p>
            <w:pPr>
              <w:jc w:val="right"/>
              <w:spacing w:after="0"/>
              <w:rPr>
                <w:sz w:val="20"/>
                <w:szCs w:val="20"/>
                <w:color w:val="auto"/>
              </w:rPr>
            </w:pPr>
            <w:r>
              <w:rPr>
                <w:rFonts w:ascii="Arial" w:cs="Arial" w:eastAsia="Arial" w:hAnsi="Arial"/>
                <w:sz w:val="14"/>
                <w:szCs w:val="14"/>
                <w:color w:val="auto"/>
              </w:rPr>
              <w:t>12/10/2021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249,370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246,940</w:t>
            </w:r>
          </w:p>
        </w:tc>
        <w:tc>
          <w:tcPr>
            <w:tcW w:w="800" w:type="dxa"/>
            <w:vAlign w:val="bottom"/>
          </w:tcPr>
          <w:p>
            <w:pPr>
              <w:jc w:val="right"/>
              <w:spacing w:after="0"/>
              <w:rPr>
                <w:sz w:val="20"/>
                <w:szCs w:val="20"/>
                <w:color w:val="auto"/>
              </w:rPr>
            </w:pPr>
            <w:r>
              <w:rPr>
                <w:rFonts w:ascii="Arial" w:cs="Arial" w:eastAsia="Arial" w:hAnsi="Arial"/>
                <w:sz w:val="14"/>
                <w:szCs w:val="14"/>
                <w:color w:val="auto"/>
              </w:rPr>
              <w:t>244,929</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Hertz Corporation, The</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Tranche B-1 Term</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2,910,000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2,933,230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2,879,998</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Hoffmaster Group,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Containers/Glass Products</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5/8/2020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3"/>
              </w:rPr>
              <w:t>1,970,000</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1,955,325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1,915,825</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Hostess Brand, LLC</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 (First</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Beverage, Food &amp; Tobacco</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997,500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995,241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983,784</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Huntsman International</w:t>
            </w:r>
          </w:p>
        </w:tc>
        <w:tc>
          <w:tcPr>
            <w:tcW w:w="1840" w:type="dxa"/>
            <w:vAlign w:val="bottom"/>
          </w:tcPr>
          <w:p>
            <w:pPr>
              <w:spacing w:after="0"/>
              <w:rPr>
                <w:sz w:val="11"/>
                <w:szCs w:val="11"/>
                <w:color w:val="auto"/>
              </w:rPr>
            </w:pPr>
          </w:p>
        </w:tc>
        <w:tc>
          <w:tcPr>
            <w:tcW w:w="1420" w:type="dxa"/>
            <w:vAlign w:val="bottom"/>
          </w:tcPr>
          <w:p>
            <w:pPr>
              <w:ind w:left="60"/>
              <w:spacing w:after="0" w:line="130" w:lineRule="exact"/>
              <w:rPr>
                <w:sz w:val="20"/>
                <w:szCs w:val="20"/>
                <w:color w:val="auto"/>
              </w:rPr>
            </w:pPr>
            <w:r>
              <w:rPr>
                <w:rFonts w:ascii="Arial" w:cs="Arial" w:eastAsia="Arial" w:hAnsi="Arial"/>
                <w:sz w:val="14"/>
                <w:szCs w:val="14"/>
                <w:color w:val="auto"/>
              </w:rPr>
              <w:t>Term Loan B (First</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LLC</w:t>
            </w:r>
          </w:p>
        </w:tc>
        <w:tc>
          <w:tcPr>
            <w:tcW w:w="1840" w:type="dxa"/>
            <w:vAlign w:val="bottom"/>
          </w:tcPr>
          <w:p>
            <w:pPr>
              <w:ind w:left="40"/>
              <w:spacing w:after="0"/>
              <w:rPr>
                <w:sz w:val="20"/>
                <w:szCs w:val="20"/>
                <w:color w:val="auto"/>
              </w:rPr>
            </w:pPr>
            <w:r>
              <w:rPr>
                <w:rFonts w:ascii="Arial" w:cs="Arial" w:eastAsia="Arial" w:hAnsi="Arial"/>
                <w:sz w:val="14"/>
                <w:szCs w:val="14"/>
                <w:color w:val="auto"/>
              </w:rPr>
              <w:t>Chemicals/Plastics</w:t>
            </w:r>
          </w:p>
        </w:tc>
        <w:tc>
          <w:tcPr>
            <w:tcW w:w="1420" w:type="dxa"/>
            <w:vAlign w:val="bottom"/>
          </w:tcPr>
          <w:p>
            <w:pPr>
              <w:ind w:left="60"/>
              <w:spacing w:after="0"/>
              <w:rPr>
                <w:sz w:val="20"/>
                <w:szCs w:val="20"/>
                <w:color w:val="auto"/>
              </w:rPr>
            </w:pPr>
            <w:r>
              <w:rPr>
                <w:rFonts w:ascii="Arial" w:cs="Arial" w:eastAsia="Arial" w:hAnsi="Arial"/>
                <w:sz w:val="14"/>
                <w:szCs w:val="14"/>
                <w:color w:val="auto"/>
              </w:rPr>
              <w:t>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0.62%</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3.62%</w:t>
            </w:r>
          </w:p>
        </w:tc>
        <w:tc>
          <w:tcPr>
            <w:tcW w:w="800" w:type="dxa"/>
            <w:vAlign w:val="bottom"/>
          </w:tcPr>
          <w:p>
            <w:pPr>
              <w:jc w:val="right"/>
              <w:spacing w:after="0"/>
              <w:rPr>
                <w:sz w:val="20"/>
                <w:szCs w:val="20"/>
                <w:color w:val="auto"/>
              </w:rPr>
            </w:pPr>
            <w:r>
              <w:rPr>
                <w:rFonts w:ascii="Arial" w:cs="Arial" w:eastAsia="Arial" w:hAnsi="Arial"/>
                <w:sz w:val="14"/>
                <w:szCs w:val="14"/>
                <w:color w:val="auto"/>
              </w:rPr>
              <w:t>4/19/2019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3,840,541</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3,814,577</w:t>
            </w:r>
          </w:p>
        </w:tc>
        <w:tc>
          <w:tcPr>
            <w:tcW w:w="800" w:type="dxa"/>
            <w:vAlign w:val="bottom"/>
          </w:tcPr>
          <w:p>
            <w:pPr>
              <w:jc w:val="right"/>
              <w:spacing w:after="0"/>
              <w:rPr>
                <w:sz w:val="20"/>
                <w:szCs w:val="20"/>
                <w:color w:val="auto"/>
              </w:rPr>
            </w:pPr>
            <w:r>
              <w:rPr>
                <w:rFonts w:ascii="Arial" w:cs="Arial" w:eastAsia="Arial" w:hAnsi="Arial"/>
                <w:sz w:val="14"/>
                <w:szCs w:val="14"/>
                <w:color w:val="auto"/>
              </w:rPr>
              <w:t>3,727,245</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Husky Injection Molding</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Systems Ltd.</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6/30/2021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491,196</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489,277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465,757</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Infor (US), Inc. (fka</w:t>
            </w:r>
          </w:p>
        </w:tc>
        <w:tc>
          <w:tcPr>
            <w:tcW w:w="1840" w:type="dxa"/>
            <w:vAlign w:val="bottom"/>
          </w:tcPr>
          <w:p>
            <w:pPr>
              <w:spacing w:after="0"/>
              <w:rPr>
                <w:sz w:val="11"/>
                <w:szCs w:val="11"/>
                <w:color w:val="auto"/>
              </w:rPr>
            </w:pPr>
          </w:p>
        </w:tc>
        <w:tc>
          <w:tcPr>
            <w:tcW w:w="1420" w:type="dxa"/>
            <w:vAlign w:val="bottom"/>
          </w:tcPr>
          <w:p>
            <w:pPr>
              <w:ind w:left="60"/>
              <w:spacing w:after="0" w:line="130" w:lineRule="exact"/>
              <w:rPr>
                <w:sz w:val="20"/>
                <w:szCs w:val="20"/>
                <w:color w:val="auto"/>
              </w:rPr>
            </w:pPr>
            <w:r>
              <w:rPr>
                <w:rFonts w:ascii="Arial" w:cs="Arial" w:eastAsia="Arial" w:hAnsi="Arial"/>
                <w:sz w:val="14"/>
                <w:szCs w:val="14"/>
                <w:color w:val="auto"/>
              </w:rPr>
              <w:t>Tranche B-5 Term</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w w:val="98"/>
              </w:rPr>
              <w:t>Lawson Software Inc.)</w:t>
            </w:r>
          </w:p>
        </w:tc>
        <w:tc>
          <w:tcPr>
            <w:tcW w:w="1840" w:type="dxa"/>
            <w:vAlign w:val="bottom"/>
          </w:tcPr>
          <w:p>
            <w:pPr>
              <w:ind w:left="40"/>
              <w:spacing w:after="0"/>
              <w:rPr>
                <w:sz w:val="20"/>
                <w:szCs w:val="20"/>
                <w:color w:val="auto"/>
              </w:rPr>
            </w:pPr>
            <w:r>
              <w:rPr>
                <w:rFonts w:ascii="Arial" w:cs="Arial" w:eastAsia="Arial" w:hAnsi="Arial"/>
                <w:sz w:val="14"/>
                <w:szCs w:val="14"/>
                <w:color w:val="auto"/>
              </w:rPr>
              <w:t>Services: Business</w:t>
            </w:r>
          </w:p>
        </w:tc>
        <w:tc>
          <w:tcPr>
            <w:tcW w:w="1420" w:type="dxa"/>
            <w:vAlign w:val="bottom"/>
          </w:tcPr>
          <w:p>
            <w:pPr>
              <w:ind w:left="60"/>
              <w:spacing w:after="0"/>
              <w:rPr>
                <w:sz w:val="20"/>
                <w:szCs w:val="20"/>
                <w:color w:val="auto"/>
              </w:rPr>
            </w:pPr>
            <w:r>
              <w:rPr>
                <w:rFonts w:ascii="Arial" w:cs="Arial" w:eastAsia="Arial" w:hAnsi="Arial"/>
                <w:sz w:val="14"/>
                <w:szCs w:val="14"/>
                <w:color w:val="auto"/>
              </w:rPr>
              <w:t>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tcPr>
          <w:p>
            <w:pPr>
              <w:jc w:val="right"/>
              <w:spacing w:after="0"/>
              <w:rPr>
                <w:sz w:val="20"/>
                <w:szCs w:val="20"/>
                <w:color w:val="auto"/>
              </w:rPr>
            </w:pPr>
            <w:r>
              <w:rPr>
                <w:rFonts w:ascii="Arial" w:cs="Arial" w:eastAsia="Arial" w:hAnsi="Arial"/>
                <w:sz w:val="14"/>
                <w:szCs w:val="14"/>
                <w:color w:val="auto"/>
              </w:rPr>
              <w:t>6/3/2020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2,188,296</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2,174,333</w:t>
            </w:r>
          </w:p>
        </w:tc>
        <w:tc>
          <w:tcPr>
            <w:tcW w:w="800" w:type="dxa"/>
            <w:vAlign w:val="bottom"/>
          </w:tcPr>
          <w:p>
            <w:pPr>
              <w:jc w:val="right"/>
              <w:spacing w:after="0"/>
              <w:rPr>
                <w:sz w:val="20"/>
                <w:szCs w:val="20"/>
                <w:color w:val="auto"/>
              </w:rPr>
            </w:pPr>
            <w:r>
              <w:rPr>
                <w:rFonts w:ascii="Arial" w:cs="Arial" w:eastAsia="Arial" w:hAnsi="Arial"/>
                <w:sz w:val="14"/>
                <w:szCs w:val="14"/>
                <w:color w:val="auto"/>
              </w:rPr>
              <w:t>2,015,049</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Insight Global</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10/29/2021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1,979,592</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1,971,967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1,961,439</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Informatica Corporation</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8/5/2022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498,750</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497,554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468,411</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 Crew Group, Inc.</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B-1 Loan</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Retired 03/05/2014</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3/5/2021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955,481</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955,481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639,379</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Jazz Acquisition,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Aerospace and Defense</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First Lien 6/14</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6/19/2021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492,727</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491,745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434,832</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J.Jill Group, Inc.</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995,000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990,362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925,350</w:t>
            </w:r>
          </w:p>
        </w:tc>
      </w:tr>
    </w:tbl>
    <w:p>
      <w:pPr>
        <w:sectPr>
          <w:pgSz w:w="11900" w:h="16838" w:orient="portrait"/>
          <w:cols w:equalWidth="0" w:num="1">
            <w:col w:w="11420"/>
          </w:cols>
          <w:pgMar w:left="240" w:top="108" w:right="239" w:bottom="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40" w:type="dxa"/>
            <w:vAlign w:val="bottom"/>
          </w:tcPr>
          <w:p>
            <w:pPr>
              <w:spacing w:after="0"/>
              <w:rPr>
                <w:sz w:val="20"/>
                <w:szCs w:val="20"/>
                <w:color w:val="auto"/>
              </w:rPr>
            </w:pPr>
            <w:r>
              <w:rPr>
                <w:rFonts w:ascii="Arial" w:cs="Arial" w:eastAsia="Arial" w:hAnsi="Arial"/>
                <w:sz w:val="14"/>
                <w:szCs w:val="14"/>
                <w:color w:val="auto"/>
              </w:rPr>
              <w:t>Kinetic Concepts, Inc.</w:t>
            </w:r>
          </w:p>
        </w:tc>
        <w:tc>
          <w:tcPr>
            <w:tcW w:w="1840" w:type="dxa"/>
            <w:vAlign w:val="bottom"/>
          </w:tcPr>
          <w:p>
            <w:pPr>
              <w:ind w:left="40"/>
              <w:spacing w:after="0"/>
              <w:rPr>
                <w:sz w:val="20"/>
                <w:szCs w:val="20"/>
                <w:color w:val="auto"/>
              </w:rPr>
            </w:pPr>
            <w:r>
              <w:rPr>
                <w:rFonts w:ascii="Arial" w:cs="Arial" w:eastAsia="Arial" w:hAnsi="Arial"/>
                <w:sz w:val="14"/>
                <w:szCs w:val="14"/>
                <w:color w:val="auto"/>
                <w:w w:val="94"/>
              </w:rPr>
              <w:t>Healthcare &amp; Pharmaceuticals</w:t>
            </w:r>
          </w:p>
        </w:tc>
        <w:tc>
          <w:tcPr>
            <w:tcW w:w="1420" w:type="dxa"/>
            <w:vAlign w:val="bottom"/>
          </w:tcPr>
          <w:p>
            <w:pPr>
              <w:ind w:left="60"/>
              <w:spacing w:after="0"/>
              <w:rPr>
                <w:sz w:val="20"/>
                <w:szCs w:val="20"/>
                <w:color w:val="auto"/>
              </w:rPr>
            </w:pPr>
            <w:r>
              <w:rPr>
                <w:rFonts w:ascii="Arial" w:cs="Arial" w:eastAsia="Arial" w:hAnsi="Arial"/>
                <w:sz w:val="14"/>
                <w:szCs w:val="14"/>
                <w:color w:val="auto"/>
                <w:w w:val="99"/>
              </w:rPr>
              <w:t>Dollar Term D-1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tcPr>
          <w:p>
            <w:pPr>
              <w:jc w:val="right"/>
              <w:spacing w:after="0"/>
              <w:rPr>
                <w:sz w:val="20"/>
                <w:szCs w:val="20"/>
                <w:color w:val="auto"/>
              </w:rPr>
            </w:pPr>
            <w:r>
              <w:rPr>
                <w:rFonts w:ascii="Arial" w:cs="Arial" w:eastAsia="Arial" w:hAnsi="Arial"/>
                <w:sz w:val="14"/>
                <w:szCs w:val="14"/>
                <w:color w:val="auto"/>
              </w:rPr>
              <w:t>5/4/2018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2,452,586</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2,436,004</w:t>
            </w:r>
          </w:p>
        </w:tc>
        <w:tc>
          <w:tcPr>
            <w:tcW w:w="800" w:type="dxa"/>
            <w:vAlign w:val="bottom"/>
          </w:tcPr>
          <w:p>
            <w:pPr>
              <w:jc w:val="right"/>
              <w:spacing w:after="0"/>
              <w:rPr>
                <w:sz w:val="20"/>
                <w:szCs w:val="20"/>
                <w:color w:val="auto"/>
              </w:rPr>
            </w:pPr>
            <w:r>
              <w:rPr>
                <w:rFonts w:ascii="Arial" w:cs="Arial" w:eastAsia="Arial" w:hAnsi="Arial"/>
                <w:sz w:val="14"/>
                <w:szCs w:val="14"/>
                <w:color w:val="auto"/>
              </w:rPr>
              <w:t>2,392,645</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Koosharem, LLC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6.50%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5/15/2020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2,965,050</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2,942,458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2,683,370</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Kraton Polymers, LLC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Term Loan (Initial)</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1/6/2022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3"/>
              </w:rPr>
              <w:t>2,500,000</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2,252,500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2,250,000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LPL Holdings</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Banking, Finance, Insurance</w:t>
            </w: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&amp; Real Estate</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B (2022)</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2,000,000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1,980,543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1,900,000</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Mauser Holdings,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Containers/Glass Products</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7/31/2021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493,750</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491,750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475,234</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Michaels Stores, Inc.</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B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486,250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486,250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479,792</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Michaels Stores, Inc.</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Arial" w:cs="Arial" w:eastAsia="Arial" w:hAnsi="Arial"/>
                <w:sz w:val="14"/>
                <w:szCs w:val="14"/>
                <w:color w:val="auto"/>
              </w:rPr>
              <w:t>Drugs)</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 B-2</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tcPr>
          <w:p>
            <w:pPr>
              <w:jc w:val="right"/>
              <w:spacing w:after="0"/>
              <w:rPr>
                <w:sz w:val="20"/>
                <w:szCs w:val="20"/>
                <w:color w:val="auto"/>
              </w:rPr>
            </w:pPr>
            <w:r>
              <w:rPr>
                <w:rFonts w:ascii="Arial" w:cs="Arial" w:eastAsia="Arial" w:hAnsi="Arial"/>
                <w:sz w:val="14"/>
                <w:szCs w:val="14"/>
                <w:color w:val="auto"/>
              </w:rPr>
              <w:t>1/28/2020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1,212,794</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1,208,220</w:t>
            </w:r>
          </w:p>
        </w:tc>
        <w:tc>
          <w:tcPr>
            <w:tcW w:w="800" w:type="dxa"/>
            <w:vAlign w:val="bottom"/>
          </w:tcPr>
          <w:p>
            <w:pPr>
              <w:jc w:val="right"/>
              <w:spacing w:after="0"/>
              <w:rPr>
                <w:sz w:val="20"/>
                <w:szCs w:val="20"/>
                <w:color w:val="auto"/>
              </w:rPr>
            </w:pPr>
            <w:r>
              <w:rPr>
                <w:rFonts w:ascii="Arial" w:cs="Arial" w:eastAsia="Arial" w:hAnsi="Arial"/>
                <w:sz w:val="14"/>
                <w:szCs w:val="14"/>
                <w:color w:val="auto"/>
              </w:rPr>
              <w:t>1,201,042</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 Holding Corp.</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7/8/2021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992,447</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987,851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950,268</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Microsemi Corporation</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Electronics/Electric</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4.50%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1/15/2023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3"/>
              </w:rPr>
              <w:t>2,183,824</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2,119,162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2,180,177</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Midas Intermediate</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Holdco II, LLC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(Initial)</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8/18/2021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246,875</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245,802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244,098</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MPH Acquisition</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Holdings, LLC</w:t>
            </w:r>
          </w:p>
        </w:tc>
        <w:tc>
          <w:tcPr>
            <w:tcW w:w="1840" w:type="dxa"/>
            <w:vAlign w:val="bottom"/>
          </w:tcPr>
          <w:p>
            <w:pPr>
              <w:ind w:left="40"/>
              <w:spacing w:after="0"/>
              <w:rPr>
                <w:sz w:val="20"/>
                <w:szCs w:val="20"/>
                <w:color w:val="auto"/>
              </w:rPr>
            </w:pPr>
            <w:r>
              <w:rPr>
                <w:rFonts w:ascii="Arial" w:cs="Arial" w:eastAsia="Arial" w:hAnsi="Arial"/>
                <w:sz w:val="14"/>
                <w:szCs w:val="14"/>
                <w:color w:val="auto"/>
                <w:w w:val="94"/>
              </w:rPr>
              <w:t>Healthcare &amp; Pharmaceuticals</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tcPr>
          <w:p>
            <w:pPr>
              <w:jc w:val="right"/>
              <w:spacing w:after="0"/>
              <w:rPr>
                <w:sz w:val="20"/>
                <w:szCs w:val="20"/>
                <w:color w:val="auto"/>
              </w:rPr>
            </w:pPr>
            <w:r>
              <w:rPr>
                <w:rFonts w:ascii="Arial" w:cs="Arial" w:eastAsia="Arial" w:hAnsi="Arial"/>
                <w:sz w:val="14"/>
                <w:szCs w:val="14"/>
                <w:color w:val="auto"/>
              </w:rPr>
              <w:t>3/31/2021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376,136</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375,400</w:t>
            </w:r>
          </w:p>
        </w:tc>
        <w:tc>
          <w:tcPr>
            <w:tcW w:w="800" w:type="dxa"/>
            <w:vAlign w:val="bottom"/>
          </w:tcPr>
          <w:p>
            <w:pPr>
              <w:jc w:val="right"/>
              <w:spacing w:after="0"/>
              <w:rPr>
                <w:sz w:val="20"/>
                <w:szCs w:val="20"/>
                <w:color w:val="auto"/>
              </w:rPr>
            </w:pPr>
            <w:r>
              <w:rPr>
                <w:rFonts w:ascii="Arial" w:cs="Arial" w:eastAsia="Arial" w:hAnsi="Arial"/>
                <w:sz w:val="14"/>
                <w:szCs w:val="14"/>
                <w:color w:val="auto"/>
              </w:rPr>
              <w:t>366,500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MSC Software</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985,000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977,601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886,500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National Veterinary</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Associates, Inc</w:t>
            </w:r>
          </w:p>
        </w:tc>
        <w:tc>
          <w:tcPr>
            <w:tcW w:w="1840" w:type="dxa"/>
            <w:vAlign w:val="bottom"/>
          </w:tcPr>
          <w:p>
            <w:pPr>
              <w:ind w:left="40"/>
              <w:spacing w:after="0"/>
              <w:rPr>
                <w:sz w:val="20"/>
                <w:szCs w:val="20"/>
                <w:color w:val="auto"/>
              </w:rPr>
            </w:pPr>
            <w:r>
              <w:rPr>
                <w:rFonts w:ascii="Arial" w:cs="Arial" w:eastAsia="Arial" w:hAnsi="Arial"/>
                <w:sz w:val="14"/>
                <w:szCs w:val="14"/>
                <w:color w:val="auto"/>
                <w:w w:val="94"/>
              </w:rPr>
              <w:t>Healthcare &amp; Pharmaceuticals</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8/14/2021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987,526</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984,296</w:t>
            </w:r>
          </w:p>
        </w:tc>
        <w:tc>
          <w:tcPr>
            <w:tcW w:w="800" w:type="dxa"/>
            <w:vAlign w:val="bottom"/>
          </w:tcPr>
          <w:p>
            <w:pPr>
              <w:jc w:val="right"/>
              <w:spacing w:after="0"/>
              <w:rPr>
                <w:sz w:val="20"/>
                <w:szCs w:val="20"/>
                <w:color w:val="auto"/>
              </w:rPr>
            </w:pPr>
            <w:r>
              <w:rPr>
                <w:rFonts w:ascii="Arial" w:cs="Arial" w:eastAsia="Arial" w:hAnsi="Arial"/>
                <w:sz w:val="14"/>
                <w:szCs w:val="14"/>
                <w:color w:val="auto"/>
              </w:rPr>
              <w:t>959,549</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National Vision, Inc.</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(Second</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249,729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218,750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Neptune Finco (CSC</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Holdings)</w:t>
            </w:r>
          </w:p>
        </w:tc>
        <w:tc>
          <w:tcPr>
            <w:tcW w:w="1840" w:type="dxa"/>
            <w:vAlign w:val="bottom"/>
          </w:tcPr>
          <w:p>
            <w:pPr>
              <w:ind w:left="40"/>
              <w:spacing w:after="0"/>
              <w:rPr>
                <w:sz w:val="20"/>
                <w:szCs w:val="20"/>
                <w:color w:val="auto"/>
              </w:rPr>
            </w:pPr>
            <w:r>
              <w:rPr>
                <w:rFonts w:ascii="Arial" w:cs="Arial" w:eastAsia="Arial" w:hAnsi="Arial"/>
                <w:sz w:val="14"/>
                <w:szCs w:val="14"/>
                <w:color w:val="auto"/>
                <w:w w:val="96"/>
              </w:rPr>
              <w:t>Cable and Satellite Television</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tcPr>
          <w:p>
            <w:pPr>
              <w:jc w:val="right"/>
              <w:spacing w:after="0"/>
              <w:rPr>
                <w:sz w:val="20"/>
                <w:szCs w:val="20"/>
                <w:color w:val="auto"/>
              </w:rPr>
            </w:pPr>
            <w:r>
              <w:rPr>
                <w:rFonts w:ascii="Arial" w:cs="Arial" w:eastAsia="Arial" w:hAnsi="Arial"/>
                <w:sz w:val="14"/>
                <w:szCs w:val="14"/>
                <w:color w:val="auto"/>
              </w:rPr>
              <w:t>10/7/2022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1,000,000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985,784</w:t>
            </w:r>
          </w:p>
        </w:tc>
        <w:tc>
          <w:tcPr>
            <w:tcW w:w="800" w:type="dxa"/>
            <w:vAlign w:val="bottom"/>
          </w:tcPr>
          <w:p>
            <w:pPr>
              <w:jc w:val="right"/>
              <w:spacing w:after="0"/>
              <w:rPr>
                <w:sz w:val="20"/>
                <w:szCs w:val="20"/>
                <w:color w:val="auto"/>
              </w:rPr>
            </w:pPr>
            <w:r>
              <w:rPr>
                <w:rFonts w:ascii="Arial" w:cs="Arial" w:eastAsia="Arial" w:hAnsi="Arial"/>
                <w:sz w:val="14"/>
                <w:szCs w:val="14"/>
                <w:color w:val="auto"/>
              </w:rPr>
              <w:t>989,750</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Millennium Holdco</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Healthcare &amp; Pharmaceuticals</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6.50%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12/21/2020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2,007,042</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1,811,375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1,822,655</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Nortek,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Electronics/Electric</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2.75%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10/30/2020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985,022</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974,747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939,464</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NorthStar Asset</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9"/>
        </w:trPr>
        <w:tc>
          <w:tcPr>
            <w:tcW w:w="15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Management Group</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Banking, Finance, Insurance</w:t>
            </w:r>
          </w:p>
        </w:tc>
        <w:tc>
          <w:tcPr>
            <w:tcW w:w="1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&amp; Real Estate</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3.88%</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1/30/2023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2,000,000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1,930,000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1,950,000</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Novelis,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Conglomerate</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6/2/2022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3"/>
              </w:rPr>
              <w:t>4,771,058</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4,749,389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4,440,090</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Novetta Solutions</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Aerospace and Defense</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(200MM)</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10/16/2022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2,000,000</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1,980,636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1,940,000</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Novetta Solutions</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Aerospace and Defense</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w w:val="99"/>
              </w:rPr>
              <w:t>Term Loan (2nd Lien)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8.50%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9/29/2023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3"/>
              </w:rPr>
              <w:t>1,000,000</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990,269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950,000</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NPC International, Inc.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Food Services</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(2013)</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12/28/2018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481,250</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481,250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472,829</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NRG Energy,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Utilities</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Term Loan (2013)</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2.75%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7/2/2018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3"/>
              </w:rPr>
              <w:t>3,821,925</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3,808,282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3,751,449</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Numericable</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Broadcast Radio and</w:t>
            </w: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Television</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B-5</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3.81%</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997,500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995,164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953,171</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NuSil Technology LLC.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1.25%</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4/7/2017</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789,045</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789,045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774,645</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Onex Carestream Finance</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(First Lien</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LP</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Healthcare &amp; Pharmaceuticals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2013)</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3,832,558</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3,821,232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3,244,912</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OnexYork Acquisition</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Co</w:t>
            </w:r>
          </w:p>
        </w:tc>
        <w:tc>
          <w:tcPr>
            <w:tcW w:w="1840" w:type="dxa"/>
            <w:vAlign w:val="bottom"/>
          </w:tcPr>
          <w:p>
            <w:pPr>
              <w:ind w:left="40"/>
              <w:spacing w:after="0"/>
              <w:rPr>
                <w:sz w:val="20"/>
                <w:szCs w:val="20"/>
                <w:color w:val="auto"/>
              </w:rPr>
            </w:pPr>
            <w:r>
              <w:rPr>
                <w:rFonts w:ascii="Arial" w:cs="Arial" w:eastAsia="Arial" w:hAnsi="Arial"/>
                <w:sz w:val="14"/>
                <w:szCs w:val="14"/>
                <w:color w:val="auto"/>
                <w:w w:val="94"/>
              </w:rPr>
              <w:t>Healthcare &amp; Pharmaceuticals</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10/1/2021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493,749</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490,644</w:t>
            </w:r>
          </w:p>
        </w:tc>
        <w:tc>
          <w:tcPr>
            <w:tcW w:w="800" w:type="dxa"/>
            <w:vAlign w:val="bottom"/>
          </w:tcPr>
          <w:p>
            <w:pPr>
              <w:jc w:val="right"/>
              <w:spacing w:after="0"/>
              <w:rPr>
                <w:sz w:val="20"/>
                <w:szCs w:val="20"/>
                <w:color w:val="auto"/>
              </w:rPr>
            </w:pPr>
            <w:r>
              <w:rPr>
                <w:rFonts w:ascii="Arial" w:cs="Arial" w:eastAsia="Arial" w:hAnsi="Arial"/>
                <w:sz w:val="14"/>
                <w:szCs w:val="14"/>
                <w:color w:val="auto"/>
              </w:rPr>
              <w:t>459,435</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OpenLink International,</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B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10/30/2017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2,944,496</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2,943,282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2,811,994</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P.F. Chang’s China</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1540" w:type="dxa"/>
            <w:vAlign w:val="bottom"/>
          </w:tcPr>
          <w:p>
            <w:pPr>
              <w:ind w:left="160"/>
              <w:spacing w:after="0" w:line="149" w:lineRule="exact"/>
              <w:rPr>
                <w:sz w:val="20"/>
                <w:szCs w:val="20"/>
                <w:color w:val="auto"/>
              </w:rPr>
            </w:pPr>
            <w:r>
              <w:rPr>
                <w:rFonts w:ascii="Arial" w:cs="Arial" w:eastAsia="Arial" w:hAnsi="Arial"/>
                <w:sz w:val="14"/>
                <w:szCs w:val="14"/>
                <w:color w:val="auto"/>
              </w:rPr>
              <w:t>Bistro, Inc. (Wok</w:t>
            </w:r>
          </w:p>
        </w:tc>
        <w:tc>
          <w:tcPr>
            <w:tcW w:w="1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Acquisition Corp.)</w:t>
            </w:r>
          </w:p>
        </w:tc>
        <w:tc>
          <w:tcPr>
            <w:tcW w:w="1840" w:type="dxa"/>
            <w:vAlign w:val="bottom"/>
          </w:tcPr>
          <w:p>
            <w:pPr>
              <w:ind w:left="40"/>
              <w:spacing w:after="0"/>
              <w:rPr>
                <w:sz w:val="20"/>
                <w:szCs w:val="20"/>
                <w:color w:val="auto"/>
              </w:rPr>
            </w:pPr>
            <w:r>
              <w:rPr>
                <w:rFonts w:ascii="Arial" w:cs="Arial" w:eastAsia="Arial" w:hAnsi="Arial"/>
                <w:sz w:val="14"/>
                <w:szCs w:val="14"/>
                <w:color w:val="auto"/>
              </w:rPr>
              <w:t>Food/Drug Retailers</w:t>
            </w:r>
          </w:p>
        </w:tc>
        <w:tc>
          <w:tcPr>
            <w:tcW w:w="1420" w:type="dxa"/>
            <w:vAlign w:val="bottom"/>
          </w:tcPr>
          <w:p>
            <w:pPr>
              <w:ind w:left="60"/>
              <w:spacing w:after="0"/>
              <w:rPr>
                <w:sz w:val="20"/>
                <w:szCs w:val="20"/>
                <w:color w:val="auto"/>
              </w:rPr>
            </w:pPr>
            <w:r>
              <w:rPr>
                <w:rFonts w:ascii="Arial" w:cs="Arial" w:eastAsia="Arial" w:hAnsi="Arial"/>
                <w:sz w:val="14"/>
                <w:szCs w:val="14"/>
                <w:color w:val="auto"/>
              </w:rPr>
              <w:t>Term Borrowing</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tcPr>
          <w:p>
            <w:pPr>
              <w:jc w:val="right"/>
              <w:spacing w:after="0"/>
              <w:rPr>
                <w:sz w:val="20"/>
                <w:szCs w:val="20"/>
                <w:color w:val="auto"/>
              </w:rPr>
            </w:pPr>
            <w:r>
              <w:rPr>
                <w:rFonts w:ascii="Arial" w:cs="Arial" w:eastAsia="Arial" w:hAnsi="Arial"/>
                <w:sz w:val="14"/>
                <w:szCs w:val="14"/>
                <w:color w:val="auto"/>
              </w:rPr>
              <w:t>6/24/2019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1,432,750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1,427,110</w:t>
            </w:r>
          </w:p>
        </w:tc>
        <w:tc>
          <w:tcPr>
            <w:tcW w:w="800" w:type="dxa"/>
            <w:vAlign w:val="bottom"/>
          </w:tcPr>
          <w:p>
            <w:pPr>
              <w:jc w:val="right"/>
              <w:spacing w:after="0"/>
              <w:rPr>
                <w:sz w:val="20"/>
                <w:szCs w:val="20"/>
                <w:color w:val="auto"/>
              </w:rPr>
            </w:pPr>
            <w:r>
              <w:rPr>
                <w:rFonts w:ascii="Arial" w:cs="Arial" w:eastAsia="Arial" w:hAnsi="Arial"/>
                <w:sz w:val="14"/>
                <w:szCs w:val="14"/>
                <w:color w:val="auto"/>
              </w:rPr>
              <w:t>1,336,039</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P2 Upstream Acquisition</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9"/>
        </w:trPr>
        <w:tc>
          <w:tcPr>
            <w:tcW w:w="15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 (P2 Upstream</w:t>
            </w:r>
          </w:p>
        </w:tc>
        <w:tc>
          <w:tcPr>
            <w:tcW w:w="1840" w:type="dxa"/>
            <w:vAlign w:val="bottom"/>
            <w:shd w:val="clear" w:color="auto" w:fill="CCEEFF"/>
          </w:tcPr>
          <w:p>
            <w:pPr>
              <w:spacing w:after="0"/>
              <w:rPr>
                <w:sz w:val="12"/>
                <w:szCs w:val="12"/>
                <w:color w:val="auto"/>
              </w:rPr>
            </w:pP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Canada BC ULC)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980,000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976,133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774,200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w w:val="98"/>
              </w:rPr>
              <w:t>Penn Products Terminal,</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LLC</w:t>
            </w:r>
          </w:p>
        </w:tc>
        <w:tc>
          <w:tcPr>
            <w:tcW w:w="1840" w:type="dxa"/>
            <w:vAlign w:val="bottom"/>
          </w:tcPr>
          <w:p>
            <w:pPr>
              <w:ind w:left="40"/>
              <w:spacing w:after="0"/>
              <w:rPr>
                <w:sz w:val="20"/>
                <w:szCs w:val="20"/>
                <w:color w:val="auto"/>
              </w:rPr>
            </w:pPr>
            <w:r>
              <w:rPr>
                <w:rFonts w:ascii="Arial" w:cs="Arial" w:eastAsia="Arial" w:hAnsi="Arial"/>
                <w:sz w:val="14"/>
                <w:szCs w:val="14"/>
                <w:color w:val="auto"/>
              </w:rPr>
              <w:t>Chemicals/Plastics</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4/13/2022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248,125</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246,994</w:t>
            </w:r>
          </w:p>
        </w:tc>
        <w:tc>
          <w:tcPr>
            <w:tcW w:w="800" w:type="dxa"/>
            <w:vAlign w:val="bottom"/>
          </w:tcPr>
          <w:p>
            <w:pPr>
              <w:jc w:val="right"/>
              <w:spacing w:after="0"/>
              <w:rPr>
                <w:sz w:val="20"/>
                <w:szCs w:val="20"/>
                <w:color w:val="auto"/>
              </w:rPr>
            </w:pPr>
            <w:r>
              <w:rPr>
                <w:rFonts w:ascii="Arial" w:cs="Arial" w:eastAsia="Arial" w:hAnsi="Arial"/>
                <w:sz w:val="14"/>
                <w:szCs w:val="14"/>
                <w:color w:val="auto"/>
              </w:rPr>
              <w:t>218,350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PetCo Animal Supplies</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Stores, Inc.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B-1</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1/15/2023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1,000,000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980,217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978,590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PetCo Animal Supplies</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Stores, Inc.</w:t>
            </w:r>
          </w:p>
        </w:tc>
        <w:tc>
          <w:tcPr>
            <w:tcW w:w="1840" w:type="dxa"/>
            <w:vAlign w:val="bottom"/>
          </w:tcPr>
          <w:p>
            <w:pPr>
              <w:ind w:left="40"/>
              <w:spacing w:after="0"/>
              <w:rPr>
                <w:sz w:val="20"/>
                <w:szCs w:val="20"/>
                <w:color w:val="auto"/>
              </w:rPr>
            </w:pPr>
            <w:r>
              <w:rPr>
                <w:rFonts w:ascii="Arial" w:cs="Arial" w:eastAsia="Arial" w:hAnsi="Arial"/>
                <w:sz w:val="14"/>
                <w:szCs w:val="14"/>
                <w:color w:val="auto"/>
              </w:rPr>
              <w:t>Drugs)</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 B-2</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0.62%</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5.62%</w:t>
            </w:r>
          </w:p>
        </w:tc>
        <w:tc>
          <w:tcPr>
            <w:tcW w:w="800" w:type="dxa"/>
            <w:vAlign w:val="bottom"/>
          </w:tcPr>
          <w:p>
            <w:pPr>
              <w:jc w:val="right"/>
              <w:spacing w:after="0"/>
              <w:rPr>
                <w:sz w:val="20"/>
                <w:szCs w:val="20"/>
                <w:color w:val="auto"/>
              </w:rPr>
            </w:pPr>
            <w:r>
              <w:rPr>
                <w:rFonts w:ascii="Arial" w:cs="Arial" w:eastAsia="Arial" w:hAnsi="Arial"/>
                <w:sz w:val="14"/>
                <w:szCs w:val="14"/>
                <w:color w:val="auto"/>
              </w:rPr>
              <w:t>1/15/2023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1,000,000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980,216</w:t>
            </w:r>
          </w:p>
        </w:tc>
        <w:tc>
          <w:tcPr>
            <w:tcW w:w="800" w:type="dxa"/>
            <w:vAlign w:val="bottom"/>
          </w:tcPr>
          <w:p>
            <w:pPr>
              <w:jc w:val="right"/>
              <w:spacing w:after="0"/>
              <w:rPr>
                <w:sz w:val="20"/>
                <w:szCs w:val="20"/>
                <w:color w:val="auto"/>
              </w:rPr>
            </w:pPr>
            <w:r>
              <w:rPr>
                <w:rFonts w:ascii="Arial" w:cs="Arial" w:eastAsia="Arial" w:hAnsi="Arial"/>
                <w:sz w:val="14"/>
                <w:szCs w:val="14"/>
                <w:color w:val="auto"/>
              </w:rPr>
              <w:t>978,960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Petsmart, Inc. (Argos</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Merger Sub, Inc.)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B1</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992,500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987,862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961,176</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PGX Holdings,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Financial Intermediaries</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4.75%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5.75%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9/29/2020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954,643</w:t>
            </w:r>
          </w:p>
        </w:tc>
        <w:tc>
          <w:tcPr>
            <w:tcW w:w="9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947,123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941,917</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Pharmaceutical Product</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9"/>
        </w:trPr>
        <w:tc>
          <w:tcPr>
            <w:tcW w:w="15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Development, Inc.</w:t>
            </w:r>
          </w:p>
        </w:tc>
        <w:tc>
          <w:tcPr>
            <w:tcW w:w="18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9"/>
        </w:trPr>
        <w:tc>
          <w:tcPr>
            <w:tcW w:w="15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(Jaguar Holdings,</w:t>
            </w:r>
          </w:p>
        </w:tc>
        <w:tc>
          <w:tcPr>
            <w:tcW w:w="18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Conglomerate</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1,920,848</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1,911,850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1,872,346</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Phillips-Medisize</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840" w:type="dxa"/>
            <w:vAlign w:val="bottom"/>
          </w:tcPr>
          <w:p>
            <w:pPr>
              <w:ind w:left="40"/>
              <w:spacing w:after="0"/>
              <w:rPr>
                <w:sz w:val="20"/>
                <w:szCs w:val="20"/>
                <w:color w:val="auto"/>
              </w:rPr>
            </w:pPr>
            <w:r>
              <w:rPr>
                <w:rFonts w:ascii="Arial" w:cs="Arial" w:eastAsia="Arial" w:hAnsi="Arial"/>
                <w:sz w:val="14"/>
                <w:szCs w:val="14"/>
                <w:color w:val="auto"/>
                <w:w w:val="94"/>
              </w:rPr>
              <w:t>Healthcare &amp; Pharmaceuticals</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6/16/2021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492,500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490,535</w:t>
            </w:r>
          </w:p>
        </w:tc>
        <w:tc>
          <w:tcPr>
            <w:tcW w:w="800" w:type="dxa"/>
            <w:vAlign w:val="bottom"/>
          </w:tcPr>
          <w:p>
            <w:pPr>
              <w:jc w:val="right"/>
              <w:spacing w:after="0"/>
              <w:rPr>
                <w:sz w:val="20"/>
                <w:szCs w:val="20"/>
                <w:color w:val="auto"/>
              </w:rPr>
            </w:pPr>
            <w:r>
              <w:rPr>
                <w:rFonts w:ascii="Arial" w:cs="Arial" w:eastAsia="Arial" w:hAnsi="Arial"/>
                <w:sz w:val="14"/>
                <w:szCs w:val="14"/>
                <w:color w:val="auto"/>
              </w:rPr>
              <w:t>458,025</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Physio-Control</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International, Inc.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Healthcare &amp; Pharmaceuticals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498,750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496,371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498,127</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Pinnacle Foods Finance</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LLC</w:t>
            </w:r>
          </w:p>
        </w:tc>
        <w:tc>
          <w:tcPr>
            <w:tcW w:w="1840" w:type="dxa"/>
            <w:vAlign w:val="bottom"/>
          </w:tcPr>
          <w:p>
            <w:pPr>
              <w:ind w:left="40"/>
              <w:spacing w:after="0"/>
              <w:rPr>
                <w:sz w:val="20"/>
                <w:szCs w:val="20"/>
                <w:color w:val="auto"/>
              </w:rPr>
            </w:pPr>
            <w:r>
              <w:rPr>
                <w:rFonts w:ascii="Arial" w:cs="Arial" w:eastAsia="Arial" w:hAnsi="Arial"/>
                <w:sz w:val="14"/>
                <w:szCs w:val="14"/>
                <w:color w:val="auto"/>
              </w:rPr>
              <w:t>Food Products</w:t>
            </w:r>
          </w:p>
        </w:tc>
        <w:tc>
          <w:tcPr>
            <w:tcW w:w="1420" w:type="dxa"/>
            <w:vAlign w:val="bottom"/>
          </w:tcPr>
          <w:p>
            <w:pPr>
              <w:ind w:left="60"/>
              <w:spacing w:after="0"/>
              <w:rPr>
                <w:sz w:val="20"/>
                <w:szCs w:val="20"/>
                <w:color w:val="auto"/>
              </w:rPr>
            </w:pPr>
            <w:r>
              <w:rPr>
                <w:rFonts w:ascii="Arial" w:cs="Arial" w:eastAsia="Arial" w:hAnsi="Arial"/>
                <w:sz w:val="14"/>
                <w:szCs w:val="14"/>
                <w:color w:val="auto"/>
              </w:rPr>
              <w:t>New Term Loan G</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800" w:type="dxa"/>
            <w:vAlign w:val="bottom"/>
          </w:tcPr>
          <w:p>
            <w:pPr>
              <w:jc w:val="right"/>
              <w:spacing w:after="0"/>
              <w:rPr>
                <w:sz w:val="20"/>
                <w:szCs w:val="20"/>
                <w:color w:val="auto"/>
              </w:rPr>
            </w:pPr>
            <w:r>
              <w:rPr>
                <w:rFonts w:ascii="Arial" w:cs="Arial" w:eastAsia="Arial" w:hAnsi="Arial"/>
                <w:sz w:val="14"/>
                <w:szCs w:val="14"/>
                <w:color w:val="auto"/>
              </w:rPr>
              <w:t>4/29/2020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2,581,332</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2,577,286</w:t>
            </w:r>
          </w:p>
        </w:tc>
        <w:tc>
          <w:tcPr>
            <w:tcW w:w="800" w:type="dxa"/>
            <w:vAlign w:val="bottom"/>
          </w:tcPr>
          <w:p>
            <w:pPr>
              <w:jc w:val="right"/>
              <w:spacing w:after="0"/>
              <w:rPr>
                <w:sz w:val="20"/>
                <w:szCs w:val="20"/>
                <w:color w:val="auto"/>
              </w:rPr>
            </w:pPr>
            <w:r>
              <w:rPr>
                <w:rFonts w:ascii="Arial" w:cs="Arial" w:eastAsia="Arial" w:hAnsi="Arial"/>
                <w:sz w:val="14"/>
                <w:szCs w:val="14"/>
                <w:color w:val="auto"/>
              </w:rPr>
              <w:t>2,553,737</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Planet Fitness Holdings</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Leisure</w:t>
            </w: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Goods/Activities/Movies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2,417,118</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2,410,079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2,368,776</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PrePaid Legal Services,</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Inc.</w:t>
            </w:r>
          </w:p>
        </w:tc>
        <w:tc>
          <w:tcPr>
            <w:tcW w:w="1840" w:type="dxa"/>
            <w:vAlign w:val="bottom"/>
          </w:tcPr>
          <w:p>
            <w:pPr>
              <w:ind w:left="40"/>
              <w:spacing w:after="0"/>
              <w:rPr>
                <w:sz w:val="20"/>
                <w:szCs w:val="20"/>
                <w:color w:val="auto"/>
              </w:rPr>
            </w:pPr>
            <w:r>
              <w:rPr>
                <w:rFonts w:ascii="Arial" w:cs="Arial" w:eastAsia="Arial" w:hAnsi="Arial"/>
                <w:sz w:val="14"/>
                <w:szCs w:val="14"/>
                <w:color w:val="auto"/>
              </w:rPr>
              <w:t>Services: Business</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6.50%</w:t>
            </w:r>
          </w:p>
        </w:tc>
        <w:tc>
          <w:tcPr>
            <w:tcW w:w="800" w:type="dxa"/>
            <w:vAlign w:val="bottom"/>
          </w:tcPr>
          <w:p>
            <w:pPr>
              <w:jc w:val="right"/>
              <w:spacing w:after="0"/>
              <w:rPr>
                <w:sz w:val="20"/>
                <w:szCs w:val="20"/>
                <w:color w:val="auto"/>
              </w:rPr>
            </w:pPr>
            <w:r>
              <w:rPr>
                <w:rFonts w:ascii="Arial" w:cs="Arial" w:eastAsia="Arial" w:hAnsi="Arial"/>
                <w:sz w:val="14"/>
                <w:szCs w:val="14"/>
                <w:color w:val="auto"/>
              </w:rPr>
              <w:t>7/1/2019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724,167</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721,080</w:t>
            </w:r>
          </w:p>
        </w:tc>
        <w:tc>
          <w:tcPr>
            <w:tcW w:w="800" w:type="dxa"/>
            <w:vAlign w:val="bottom"/>
          </w:tcPr>
          <w:p>
            <w:pPr>
              <w:jc w:val="right"/>
              <w:spacing w:after="0"/>
              <w:rPr>
                <w:sz w:val="20"/>
                <w:szCs w:val="20"/>
                <w:color w:val="auto"/>
              </w:rPr>
            </w:pPr>
            <w:r>
              <w:rPr>
                <w:rFonts w:ascii="Arial" w:cs="Arial" w:eastAsia="Arial" w:hAnsi="Arial"/>
                <w:sz w:val="14"/>
                <w:szCs w:val="14"/>
                <w:color w:val="auto"/>
              </w:rPr>
              <w:t>716,020</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Presidio, Inc.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2/2/2022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1,902,292</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1,846,615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1,816,688</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Prime Security Services</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(Protection One)</w:t>
            </w:r>
          </w:p>
        </w:tc>
        <w:tc>
          <w:tcPr>
            <w:tcW w:w="1840" w:type="dxa"/>
            <w:vAlign w:val="bottom"/>
          </w:tcPr>
          <w:p>
            <w:pPr>
              <w:ind w:left="40"/>
              <w:spacing w:after="0"/>
              <w:rPr>
                <w:sz w:val="20"/>
                <w:szCs w:val="20"/>
                <w:color w:val="auto"/>
              </w:rPr>
            </w:pPr>
            <w:r>
              <w:rPr>
                <w:rFonts w:ascii="Arial" w:cs="Arial" w:eastAsia="Arial" w:hAnsi="Arial"/>
                <w:sz w:val="14"/>
                <w:szCs w:val="14"/>
                <w:color w:val="auto"/>
              </w:rPr>
              <w:t>Services: Business</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tcPr>
          <w:p>
            <w:pPr>
              <w:jc w:val="right"/>
              <w:spacing w:after="0"/>
              <w:rPr>
                <w:sz w:val="20"/>
                <w:szCs w:val="20"/>
                <w:color w:val="auto"/>
              </w:rPr>
            </w:pPr>
            <w:r>
              <w:rPr>
                <w:rFonts w:ascii="Arial" w:cs="Arial" w:eastAsia="Arial" w:hAnsi="Arial"/>
                <w:sz w:val="14"/>
                <w:szCs w:val="14"/>
                <w:color w:val="auto"/>
              </w:rPr>
              <w:t>7/1/2021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1,995,000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1,985,640</w:t>
            </w:r>
          </w:p>
        </w:tc>
        <w:tc>
          <w:tcPr>
            <w:tcW w:w="800" w:type="dxa"/>
            <w:vAlign w:val="bottom"/>
          </w:tcPr>
          <w:p>
            <w:pPr>
              <w:jc w:val="right"/>
              <w:spacing w:after="0"/>
              <w:rPr>
                <w:sz w:val="20"/>
                <w:szCs w:val="20"/>
                <w:color w:val="auto"/>
              </w:rPr>
            </w:pPr>
            <w:r>
              <w:rPr>
                <w:rFonts w:ascii="Arial" w:cs="Arial" w:eastAsia="Arial" w:hAnsi="Arial"/>
                <w:sz w:val="14"/>
                <w:szCs w:val="14"/>
                <w:color w:val="auto"/>
              </w:rPr>
              <w:t>1,924,178</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Ranpak Holdings, Inc.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10/1/2021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938,354</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936,008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886,745</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Ranpak Holdings, Inc.</w:t>
            </w:r>
          </w:p>
        </w:tc>
        <w:tc>
          <w:tcPr>
            <w:tcW w:w="1840" w:type="dxa"/>
            <w:vAlign w:val="bottom"/>
          </w:tcPr>
          <w:p>
            <w:pPr>
              <w:spacing w:after="0"/>
              <w:rPr>
                <w:sz w:val="11"/>
                <w:szCs w:val="11"/>
                <w:color w:val="auto"/>
              </w:rPr>
            </w:pPr>
          </w:p>
        </w:tc>
        <w:tc>
          <w:tcPr>
            <w:tcW w:w="1420" w:type="dxa"/>
            <w:vAlign w:val="bottom"/>
          </w:tcPr>
          <w:p>
            <w:pPr>
              <w:ind w:left="60"/>
              <w:spacing w:after="0" w:line="130" w:lineRule="exact"/>
              <w:rPr>
                <w:sz w:val="20"/>
                <w:szCs w:val="20"/>
                <w:color w:val="auto"/>
              </w:rPr>
            </w:pPr>
            <w:r>
              <w:rPr>
                <w:rFonts w:ascii="Arial" w:cs="Arial" w:eastAsia="Arial" w:hAnsi="Arial"/>
                <w:sz w:val="14"/>
                <w:szCs w:val="14"/>
                <w:color w:val="auto"/>
              </w:rPr>
              <w:t>Term Loan (Second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Arial" w:cs="Arial" w:eastAsia="Arial" w:hAnsi="Arial"/>
                <w:sz w:val="14"/>
                <w:szCs w:val="14"/>
                <w:color w:val="auto"/>
              </w:rPr>
              <w:t>Services: Business</w:t>
            </w:r>
          </w:p>
        </w:tc>
        <w:tc>
          <w:tcPr>
            <w:tcW w:w="1420" w:type="dxa"/>
            <w:vAlign w:val="bottom"/>
          </w:tcPr>
          <w:p>
            <w:pPr>
              <w:ind w:left="60"/>
              <w:spacing w:after="0"/>
              <w:rPr>
                <w:sz w:val="20"/>
                <w:szCs w:val="20"/>
                <w:color w:val="auto"/>
              </w:rPr>
            </w:pPr>
            <w:r>
              <w:rPr>
                <w:rFonts w:ascii="Arial" w:cs="Arial" w:eastAsia="Arial" w:hAnsi="Arial"/>
                <w:sz w:val="14"/>
                <w:szCs w:val="14"/>
                <w:color w:val="auto"/>
              </w:rPr>
              <w:t>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8.25%</w:t>
            </w:r>
          </w:p>
        </w:tc>
        <w:tc>
          <w:tcPr>
            <w:tcW w:w="800" w:type="dxa"/>
            <w:vAlign w:val="bottom"/>
          </w:tcPr>
          <w:p>
            <w:pPr>
              <w:jc w:val="right"/>
              <w:spacing w:after="0"/>
              <w:rPr>
                <w:sz w:val="20"/>
                <w:szCs w:val="20"/>
                <w:color w:val="auto"/>
              </w:rPr>
            </w:pPr>
            <w:r>
              <w:rPr>
                <w:rFonts w:ascii="Arial" w:cs="Arial" w:eastAsia="Arial" w:hAnsi="Arial"/>
                <w:sz w:val="14"/>
                <w:szCs w:val="14"/>
                <w:color w:val="auto"/>
              </w:rPr>
              <w:t>10/3/2022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500,000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497,866</w:t>
            </w:r>
          </w:p>
        </w:tc>
        <w:tc>
          <w:tcPr>
            <w:tcW w:w="800" w:type="dxa"/>
            <w:vAlign w:val="bottom"/>
          </w:tcPr>
          <w:p>
            <w:pPr>
              <w:jc w:val="right"/>
              <w:spacing w:after="0"/>
              <w:rPr>
                <w:sz w:val="20"/>
                <w:szCs w:val="20"/>
                <w:color w:val="auto"/>
              </w:rPr>
            </w:pPr>
            <w:r>
              <w:rPr>
                <w:rFonts w:ascii="Arial" w:cs="Arial" w:eastAsia="Arial" w:hAnsi="Arial"/>
                <w:sz w:val="14"/>
                <w:szCs w:val="14"/>
                <w:color w:val="auto"/>
              </w:rPr>
              <w:t>400,000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Redtop Acquisitions</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Initial Dollar Term</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Limited</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Electronics/Electric</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 (First 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487,461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482,444</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Regal Cinemas</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840" w:type="dxa"/>
            <w:vAlign w:val="bottom"/>
          </w:tcPr>
          <w:p>
            <w:pPr>
              <w:ind w:left="40"/>
              <w:spacing w:after="0"/>
              <w:rPr>
                <w:sz w:val="20"/>
                <w:szCs w:val="20"/>
                <w:color w:val="auto"/>
              </w:rPr>
            </w:pPr>
            <w:r>
              <w:rPr>
                <w:rFonts w:ascii="Arial" w:cs="Arial" w:eastAsia="Arial" w:hAnsi="Arial"/>
                <w:sz w:val="14"/>
                <w:szCs w:val="14"/>
                <w:color w:val="auto"/>
              </w:rPr>
              <w:t>Services: Consumer</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tcPr>
          <w:p>
            <w:pPr>
              <w:jc w:val="right"/>
              <w:spacing w:after="0"/>
              <w:rPr>
                <w:sz w:val="20"/>
                <w:szCs w:val="20"/>
                <w:color w:val="auto"/>
              </w:rPr>
            </w:pPr>
            <w:r>
              <w:rPr>
                <w:rFonts w:ascii="Arial" w:cs="Arial" w:eastAsia="Arial" w:hAnsi="Arial"/>
                <w:sz w:val="14"/>
                <w:szCs w:val="14"/>
                <w:color w:val="auto"/>
              </w:rPr>
              <w:t>4/1/2022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497,500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496,320</w:t>
            </w:r>
          </w:p>
        </w:tc>
        <w:tc>
          <w:tcPr>
            <w:tcW w:w="800" w:type="dxa"/>
            <w:vAlign w:val="bottom"/>
          </w:tcPr>
          <w:p>
            <w:pPr>
              <w:jc w:val="right"/>
              <w:spacing w:after="0"/>
              <w:rPr>
                <w:sz w:val="20"/>
                <w:szCs w:val="20"/>
                <w:color w:val="auto"/>
              </w:rPr>
            </w:pPr>
            <w:r>
              <w:rPr>
                <w:rFonts w:ascii="Arial" w:cs="Arial" w:eastAsia="Arial" w:hAnsi="Arial"/>
                <w:sz w:val="14"/>
                <w:szCs w:val="14"/>
                <w:color w:val="auto"/>
              </w:rPr>
              <w:t>496,256</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Research Now Group,</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Media</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3/18/2021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2,058,445</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2,048,627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1,996,692</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Rexnord LLC/RBS</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Global, Inc.</w:t>
            </w:r>
          </w:p>
        </w:tc>
        <w:tc>
          <w:tcPr>
            <w:tcW w:w="1840" w:type="dxa"/>
            <w:vAlign w:val="bottom"/>
          </w:tcPr>
          <w:p>
            <w:pPr>
              <w:ind w:left="40"/>
              <w:spacing w:after="0"/>
              <w:rPr>
                <w:sz w:val="20"/>
                <w:szCs w:val="20"/>
                <w:color w:val="auto"/>
              </w:rPr>
            </w:pPr>
            <w:r>
              <w:rPr>
                <w:rFonts w:ascii="Arial" w:cs="Arial" w:eastAsia="Arial" w:hAnsi="Arial"/>
                <w:sz w:val="14"/>
                <w:szCs w:val="14"/>
                <w:color w:val="auto"/>
              </w:rPr>
              <w:t>Industrial Equipment</w:t>
            </w:r>
          </w:p>
        </w:tc>
        <w:tc>
          <w:tcPr>
            <w:tcW w:w="1420" w:type="dxa"/>
            <w:vAlign w:val="bottom"/>
          </w:tcPr>
          <w:p>
            <w:pPr>
              <w:ind w:left="60"/>
              <w:spacing w:after="0"/>
              <w:rPr>
                <w:sz w:val="20"/>
                <w:szCs w:val="20"/>
                <w:color w:val="auto"/>
              </w:rPr>
            </w:pPr>
            <w:r>
              <w:rPr>
                <w:rFonts w:ascii="Arial" w:cs="Arial" w:eastAsia="Arial" w:hAnsi="Arial"/>
                <w:sz w:val="14"/>
                <w:szCs w:val="14"/>
                <w:color w:val="auto"/>
              </w:rPr>
              <w:t>Term B 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tcPr>
          <w:p>
            <w:pPr>
              <w:jc w:val="right"/>
              <w:spacing w:after="0"/>
              <w:rPr>
                <w:sz w:val="20"/>
                <w:szCs w:val="20"/>
                <w:color w:val="auto"/>
              </w:rPr>
            </w:pPr>
            <w:r>
              <w:rPr>
                <w:rFonts w:ascii="Arial" w:cs="Arial" w:eastAsia="Arial" w:hAnsi="Arial"/>
                <w:sz w:val="14"/>
                <w:szCs w:val="14"/>
                <w:color w:val="auto"/>
              </w:rPr>
              <w:t>8/21/2020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1,630,123</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1,631,387</w:t>
            </w:r>
          </w:p>
        </w:tc>
        <w:tc>
          <w:tcPr>
            <w:tcW w:w="800" w:type="dxa"/>
            <w:vAlign w:val="bottom"/>
          </w:tcPr>
          <w:p>
            <w:pPr>
              <w:jc w:val="right"/>
              <w:spacing w:after="0"/>
              <w:rPr>
                <w:sz w:val="20"/>
                <w:szCs w:val="20"/>
                <w:color w:val="auto"/>
              </w:rPr>
            </w:pPr>
            <w:r>
              <w:rPr>
                <w:rFonts w:ascii="Arial" w:cs="Arial" w:eastAsia="Arial" w:hAnsi="Arial"/>
                <w:sz w:val="14"/>
                <w:szCs w:val="14"/>
                <w:color w:val="auto"/>
              </w:rPr>
              <w:t>1,557,647</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Reynolds Group</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5"/>
              </w:rPr>
              <w:t>Incremental U.S. Term</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Holdings Inc.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Industrial Equipment</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1,910,551</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1,910,551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1,902,946</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Riverbed Technology,</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Inc.</w:t>
            </w:r>
          </w:p>
        </w:tc>
        <w:tc>
          <w:tcPr>
            <w:tcW w:w="1840" w:type="dxa"/>
            <w:vAlign w:val="bottom"/>
          </w:tcPr>
          <w:p>
            <w:pPr>
              <w:ind w:left="40"/>
              <w:spacing w:after="0"/>
              <w:rPr>
                <w:sz w:val="20"/>
                <w:szCs w:val="20"/>
                <w:color w:val="auto"/>
              </w:rPr>
            </w:pPr>
            <w:r>
              <w:rPr>
                <w:rFonts w:ascii="Arial" w:cs="Arial" w:eastAsia="Arial" w:hAnsi="Arial"/>
                <w:sz w:val="14"/>
                <w:szCs w:val="14"/>
                <w:color w:val="auto"/>
              </w:rPr>
              <w:t>Technology</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tcPr>
          <w:p>
            <w:pPr>
              <w:jc w:val="right"/>
              <w:spacing w:after="0"/>
              <w:rPr>
                <w:sz w:val="20"/>
                <w:szCs w:val="20"/>
                <w:color w:val="auto"/>
              </w:rPr>
            </w:pPr>
            <w:r>
              <w:rPr>
                <w:rFonts w:ascii="Arial" w:cs="Arial" w:eastAsia="Arial" w:hAnsi="Arial"/>
                <w:sz w:val="14"/>
                <w:szCs w:val="14"/>
                <w:color w:val="auto"/>
              </w:rPr>
              <w:t>2/25/2022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992,500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988,224</w:t>
            </w:r>
          </w:p>
        </w:tc>
        <w:tc>
          <w:tcPr>
            <w:tcW w:w="800" w:type="dxa"/>
            <w:vAlign w:val="bottom"/>
          </w:tcPr>
          <w:p>
            <w:pPr>
              <w:jc w:val="right"/>
              <w:spacing w:after="0"/>
              <w:rPr>
                <w:sz w:val="20"/>
                <w:szCs w:val="20"/>
                <w:color w:val="auto"/>
              </w:rPr>
            </w:pPr>
            <w:r>
              <w:rPr>
                <w:rFonts w:ascii="Arial" w:cs="Arial" w:eastAsia="Arial" w:hAnsi="Arial"/>
                <w:sz w:val="14"/>
                <w:szCs w:val="14"/>
                <w:color w:val="auto"/>
              </w:rPr>
              <w:t>970,873</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Rocket Software, Inc.</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1,901,835</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1,889,759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1,889,150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Rovi Solutions</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1540" w:type="dxa"/>
            <w:vAlign w:val="bottom"/>
          </w:tcPr>
          <w:p>
            <w:pPr>
              <w:ind w:left="160"/>
              <w:spacing w:after="0" w:line="149" w:lineRule="exact"/>
              <w:rPr>
                <w:sz w:val="20"/>
                <w:szCs w:val="20"/>
                <w:color w:val="auto"/>
              </w:rPr>
            </w:pPr>
            <w:r>
              <w:rPr>
                <w:rFonts w:ascii="Arial" w:cs="Arial" w:eastAsia="Arial" w:hAnsi="Arial"/>
                <w:sz w:val="14"/>
                <w:szCs w:val="14"/>
                <w:color w:val="auto"/>
              </w:rPr>
              <w:t>Corporation / Rovi</w:t>
            </w:r>
          </w:p>
        </w:tc>
        <w:tc>
          <w:tcPr>
            <w:tcW w:w="1840" w:type="dxa"/>
            <w:vAlign w:val="bottom"/>
          </w:tcPr>
          <w:p>
            <w:pPr>
              <w:spacing w:after="0"/>
              <w:rPr>
                <w:sz w:val="12"/>
                <w:szCs w:val="12"/>
                <w:color w:val="auto"/>
              </w:rPr>
            </w:pP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Tranche B-3 Term</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Guides, Inc.</w:t>
            </w:r>
          </w:p>
        </w:tc>
        <w:tc>
          <w:tcPr>
            <w:tcW w:w="1840" w:type="dxa"/>
            <w:vAlign w:val="bottom"/>
          </w:tcPr>
          <w:p>
            <w:pPr>
              <w:ind w:left="40"/>
              <w:spacing w:after="0"/>
              <w:rPr>
                <w:sz w:val="20"/>
                <w:szCs w:val="20"/>
                <w:color w:val="auto"/>
              </w:rPr>
            </w:pPr>
            <w:r>
              <w:rPr>
                <w:rFonts w:ascii="Arial" w:cs="Arial" w:eastAsia="Arial" w:hAnsi="Arial"/>
                <w:sz w:val="14"/>
                <w:szCs w:val="14"/>
                <w:color w:val="auto"/>
              </w:rPr>
              <w:t>Electronics/Electric</w:t>
            </w:r>
          </w:p>
        </w:tc>
        <w:tc>
          <w:tcPr>
            <w:tcW w:w="1420" w:type="dxa"/>
            <w:vAlign w:val="bottom"/>
          </w:tcPr>
          <w:p>
            <w:pPr>
              <w:ind w:left="60"/>
              <w:spacing w:after="0"/>
              <w:rPr>
                <w:sz w:val="20"/>
                <w:szCs w:val="20"/>
                <w:color w:val="auto"/>
              </w:rPr>
            </w:pPr>
            <w:r>
              <w:rPr>
                <w:rFonts w:ascii="Arial" w:cs="Arial" w:eastAsia="Arial" w:hAnsi="Arial"/>
                <w:sz w:val="14"/>
                <w:szCs w:val="14"/>
                <w:color w:val="auto"/>
              </w:rPr>
              <w:t>Loan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tcPr>
          <w:p>
            <w:pPr>
              <w:jc w:val="right"/>
              <w:spacing w:after="0"/>
              <w:rPr>
                <w:sz w:val="20"/>
                <w:szCs w:val="20"/>
                <w:color w:val="auto"/>
              </w:rPr>
            </w:pPr>
            <w:r>
              <w:rPr>
                <w:rFonts w:ascii="Arial" w:cs="Arial" w:eastAsia="Arial" w:hAnsi="Arial"/>
                <w:sz w:val="14"/>
                <w:szCs w:val="14"/>
                <w:color w:val="auto"/>
              </w:rPr>
              <w:t>7/2/2021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1,477,500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1,471,640</w:t>
            </w:r>
          </w:p>
        </w:tc>
        <w:tc>
          <w:tcPr>
            <w:tcW w:w="800" w:type="dxa"/>
            <w:vAlign w:val="bottom"/>
          </w:tcPr>
          <w:p>
            <w:pPr>
              <w:jc w:val="right"/>
              <w:spacing w:after="0"/>
              <w:rPr>
                <w:sz w:val="20"/>
                <w:szCs w:val="20"/>
                <w:color w:val="auto"/>
              </w:rPr>
            </w:pPr>
            <w:r>
              <w:rPr>
                <w:rFonts w:ascii="Arial" w:cs="Arial" w:eastAsia="Arial" w:hAnsi="Arial"/>
                <w:sz w:val="14"/>
                <w:szCs w:val="14"/>
                <w:color w:val="auto"/>
              </w:rPr>
              <w:t>1,422,094</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Royal Adhesives and</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Sealants</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Chemicals/Plastics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497,500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495,187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479,675</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Royal Adhesives and</w:t>
            </w:r>
          </w:p>
        </w:tc>
        <w:tc>
          <w:tcPr>
            <w:tcW w:w="1840" w:type="dxa"/>
            <w:vAlign w:val="bottom"/>
          </w:tcPr>
          <w:p>
            <w:pPr>
              <w:spacing w:after="0"/>
              <w:rPr>
                <w:sz w:val="11"/>
                <w:szCs w:val="11"/>
                <w:color w:val="auto"/>
              </w:rPr>
            </w:pPr>
          </w:p>
        </w:tc>
        <w:tc>
          <w:tcPr>
            <w:tcW w:w="1420" w:type="dxa"/>
            <w:vAlign w:val="bottom"/>
          </w:tcPr>
          <w:p>
            <w:pPr>
              <w:ind w:left="60"/>
              <w:spacing w:after="0" w:line="130" w:lineRule="exact"/>
              <w:rPr>
                <w:sz w:val="20"/>
                <w:szCs w:val="20"/>
                <w:color w:val="auto"/>
              </w:rPr>
            </w:pPr>
            <w:r>
              <w:rPr>
                <w:rFonts w:ascii="Arial" w:cs="Arial" w:eastAsia="Arial" w:hAnsi="Arial"/>
                <w:sz w:val="14"/>
                <w:szCs w:val="14"/>
                <w:color w:val="auto"/>
              </w:rPr>
              <w:t>Term Loan (Second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Sealants</w:t>
            </w:r>
          </w:p>
        </w:tc>
        <w:tc>
          <w:tcPr>
            <w:tcW w:w="1840" w:type="dxa"/>
            <w:vAlign w:val="bottom"/>
          </w:tcPr>
          <w:p>
            <w:pPr>
              <w:ind w:left="40"/>
              <w:spacing w:after="0"/>
              <w:rPr>
                <w:sz w:val="20"/>
                <w:szCs w:val="20"/>
                <w:color w:val="auto"/>
              </w:rPr>
            </w:pPr>
            <w:r>
              <w:rPr>
                <w:rFonts w:ascii="Arial" w:cs="Arial" w:eastAsia="Arial" w:hAnsi="Arial"/>
                <w:sz w:val="14"/>
                <w:szCs w:val="14"/>
                <w:color w:val="auto"/>
              </w:rPr>
              <w:t>Chemicals/Plastics</w:t>
            </w:r>
          </w:p>
        </w:tc>
        <w:tc>
          <w:tcPr>
            <w:tcW w:w="1420" w:type="dxa"/>
            <w:vAlign w:val="bottom"/>
          </w:tcPr>
          <w:p>
            <w:pPr>
              <w:ind w:left="60"/>
              <w:spacing w:after="0"/>
              <w:rPr>
                <w:sz w:val="20"/>
                <w:szCs w:val="20"/>
                <w:color w:val="auto"/>
              </w:rPr>
            </w:pPr>
            <w:r>
              <w:rPr>
                <w:rFonts w:ascii="Arial" w:cs="Arial" w:eastAsia="Arial" w:hAnsi="Arial"/>
                <w:sz w:val="14"/>
                <w:szCs w:val="14"/>
                <w:color w:val="auto"/>
              </w:rPr>
              <w:t>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8.50%</w:t>
            </w:r>
          </w:p>
        </w:tc>
        <w:tc>
          <w:tcPr>
            <w:tcW w:w="800" w:type="dxa"/>
            <w:vAlign w:val="bottom"/>
          </w:tcPr>
          <w:p>
            <w:pPr>
              <w:jc w:val="right"/>
              <w:spacing w:after="0"/>
              <w:rPr>
                <w:sz w:val="20"/>
                <w:szCs w:val="20"/>
                <w:color w:val="auto"/>
              </w:rPr>
            </w:pPr>
            <w:r>
              <w:rPr>
                <w:rFonts w:ascii="Arial" w:cs="Arial" w:eastAsia="Arial" w:hAnsi="Arial"/>
                <w:sz w:val="14"/>
                <w:szCs w:val="14"/>
                <w:color w:val="auto"/>
              </w:rPr>
              <w:t>6/19/2023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500,000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496,388</w:t>
            </w:r>
          </w:p>
        </w:tc>
        <w:tc>
          <w:tcPr>
            <w:tcW w:w="800" w:type="dxa"/>
            <w:vAlign w:val="bottom"/>
          </w:tcPr>
          <w:p>
            <w:pPr>
              <w:jc w:val="right"/>
              <w:spacing w:after="0"/>
              <w:rPr>
                <w:sz w:val="20"/>
                <w:szCs w:val="20"/>
                <w:color w:val="auto"/>
              </w:rPr>
            </w:pPr>
            <w:r>
              <w:rPr>
                <w:rFonts w:ascii="Arial" w:cs="Arial" w:eastAsia="Arial" w:hAnsi="Arial"/>
                <w:sz w:val="14"/>
                <w:szCs w:val="14"/>
                <w:color w:val="auto"/>
              </w:rPr>
              <w:t>478,335</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RPI Finance Trust</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Financial Intermediaries</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B-4 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2.75%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11/9/2020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5,155,193</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5,155,193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5,132,665</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Sable International</w:t>
            </w:r>
          </w:p>
        </w:tc>
        <w:tc>
          <w:tcPr>
            <w:tcW w:w="1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Finance Ltd</w:t>
            </w:r>
          </w:p>
        </w:tc>
        <w:tc>
          <w:tcPr>
            <w:tcW w:w="1840" w:type="dxa"/>
            <w:vAlign w:val="bottom"/>
          </w:tcPr>
          <w:p>
            <w:pPr>
              <w:ind w:left="40"/>
              <w:spacing w:after="0"/>
              <w:rPr>
                <w:sz w:val="20"/>
                <w:szCs w:val="20"/>
                <w:color w:val="auto"/>
              </w:rPr>
            </w:pPr>
            <w:r>
              <w:rPr>
                <w:rFonts w:ascii="Arial" w:cs="Arial" w:eastAsia="Arial" w:hAnsi="Arial"/>
                <w:sz w:val="14"/>
                <w:szCs w:val="14"/>
                <w:color w:val="auto"/>
              </w:rPr>
              <w:t>Telecommunications</w:t>
            </w:r>
          </w:p>
        </w:tc>
        <w:tc>
          <w:tcPr>
            <w:tcW w:w="1420" w:type="dxa"/>
            <w:vAlign w:val="bottom"/>
          </w:tcPr>
          <w:p>
            <w:pPr>
              <w:ind w:left="60"/>
              <w:spacing w:after="0"/>
              <w:rPr>
                <w:sz w:val="20"/>
                <w:szCs w:val="20"/>
                <w:color w:val="auto"/>
              </w:rPr>
            </w:pPr>
            <w:r>
              <w:rPr>
                <w:rFonts w:ascii="Arial" w:cs="Arial" w:eastAsia="Arial" w:hAnsi="Arial"/>
                <w:sz w:val="14"/>
                <w:szCs w:val="14"/>
                <w:color w:val="auto"/>
              </w:rPr>
              <w:t>Term Loan B1</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tcPr>
          <w:p>
            <w:pPr>
              <w:jc w:val="right"/>
              <w:spacing w:after="0"/>
              <w:rPr>
                <w:sz w:val="20"/>
                <w:szCs w:val="20"/>
                <w:color w:val="auto"/>
              </w:rPr>
            </w:pPr>
            <w:r>
              <w:rPr>
                <w:rFonts w:ascii="Arial" w:cs="Arial" w:eastAsia="Arial" w:hAnsi="Arial"/>
                <w:sz w:val="14"/>
                <w:szCs w:val="14"/>
                <w:color w:val="auto"/>
              </w:rPr>
              <w:t>12/2/2022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825,000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808,500</w:t>
            </w:r>
          </w:p>
        </w:tc>
        <w:tc>
          <w:tcPr>
            <w:tcW w:w="800" w:type="dxa"/>
            <w:vAlign w:val="bottom"/>
          </w:tcPr>
          <w:p>
            <w:pPr>
              <w:jc w:val="right"/>
              <w:spacing w:after="0"/>
              <w:rPr>
                <w:sz w:val="20"/>
                <w:szCs w:val="20"/>
                <w:color w:val="auto"/>
              </w:rPr>
            </w:pPr>
            <w:r>
              <w:rPr>
                <w:rFonts w:ascii="Arial" w:cs="Arial" w:eastAsia="Arial" w:hAnsi="Arial"/>
                <w:sz w:val="14"/>
                <w:szCs w:val="14"/>
                <w:color w:val="auto"/>
              </w:rPr>
              <w:t>800,770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Sable International</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Finance Ltd</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Telecommunications</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B2</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675,000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661,500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655,175</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SBP Holdings LP</w:t>
            </w:r>
          </w:p>
        </w:tc>
        <w:tc>
          <w:tcPr>
            <w:tcW w:w="1840" w:type="dxa"/>
            <w:vAlign w:val="bottom"/>
          </w:tcPr>
          <w:p>
            <w:pPr>
              <w:spacing w:after="0"/>
              <w:rPr>
                <w:sz w:val="11"/>
                <w:szCs w:val="11"/>
                <w:color w:val="auto"/>
              </w:rPr>
            </w:pPr>
          </w:p>
        </w:tc>
        <w:tc>
          <w:tcPr>
            <w:tcW w:w="142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Arial" w:cs="Arial" w:eastAsia="Arial" w:hAnsi="Arial"/>
                <w:sz w:val="14"/>
                <w:szCs w:val="14"/>
                <w:color w:val="auto"/>
              </w:rPr>
              <w:t>Industrial Equipment</w:t>
            </w:r>
          </w:p>
        </w:tc>
        <w:tc>
          <w:tcPr>
            <w:tcW w:w="1420" w:type="dxa"/>
            <w:vAlign w:val="bottom"/>
          </w:tcPr>
          <w:p>
            <w:pPr>
              <w:ind w:left="60"/>
              <w:spacing w:after="0"/>
              <w:rPr>
                <w:sz w:val="20"/>
                <w:szCs w:val="20"/>
                <w:color w:val="auto"/>
              </w:rPr>
            </w:pPr>
            <w:r>
              <w:rPr>
                <w:rFonts w:ascii="Arial" w:cs="Arial" w:eastAsia="Arial" w:hAnsi="Arial"/>
                <w:sz w:val="14"/>
                <w:szCs w:val="14"/>
                <w:color w:val="auto"/>
              </w:rPr>
              <w:t>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tcPr>
          <w:p>
            <w:pPr>
              <w:jc w:val="right"/>
              <w:spacing w:after="0"/>
              <w:rPr>
                <w:sz w:val="20"/>
                <w:szCs w:val="20"/>
                <w:color w:val="auto"/>
              </w:rPr>
            </w:pPr>
            <w:r>
              <w:rPr>
                <w:rFonts w:ascii="Arial" w:cs="Arial" w:eastAsia="Arial" w:hAnsi="Arial"/>
                <w:sz w:val="14"/>
                <w:szCs w:val="14"/>
                <w:color w:val="auto"/>
              </w:rPr>
              <w:t>3/27/2021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982,500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978,645</w:t>
            </w:r>
          </w:p>
        </w:tc>
        <w:tc>
          <w:tcPr>
            <w:tcW w:w="800" w:type="dxa"/>
            <w:vAlign w:val="bottom"/>
          </w:tcPr>
          <w:p>
            <w:pPr>
              <w:jc w:val="right"/>
              <w:spacing w:after="0"/>
              <w:rPr>
                <w:sz w:val="20"/>
                <w:szCs w:val="20"/>
                <w:color w:val="auto"/>
              </w:rPr>
            </w:pPr>
            <w:r>
              <w:rPr>
                <w:rFonts w:ascii="Arial" w:cs="Arial" w:eastAsia="Arial" w:hAnsi="Arial"/>
                <w:sz w:val="14"/>
                <w:szCs w:val="14"/>
                <w:color w:val="auto"/>
              </w:rPr>
              <w:t>707,400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Scientific Games</w:t>
            </w:r>
          </w:p>
        </w:tc>
        <w:tc>
          <w:tcPr>
            <w:tcW w:w="18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International, Inc.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Electronics/Electric</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B2</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990,000</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981,872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904,613</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SCS Holdings (Sirius</w:t>
            </w:r>
          </w:p>
        </w:tc>
        <w:tc>
          <w:tcPr>
            <w:tcW w:w="1840" w:type="dxa"/>
            <w:vAlign w:val="bottom"/>
          </w:tcPr>
          <w:p>
            <w:pPr>
              <w:spacing w:after="0"/>
              <w:rPr>
                <w:sz w:val="11"/>
                <w:szCs w:val="11"/>
                <w:color w:val="auto"/>
              </w:rPr>
            </w:pPr>
          </w:p>
        </w:tc>
        <w:tc>
          <w:tcPr>
            <w:tcW w:w="142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Computer)</w:t>
            </w:r>
          </w:p>
        </w:tc>
        <w:tc>
          <w:tcPr>
            <w:tcW w:w="1840" w:type="dxa"/>
            <w:vAlign w:val="bottom"/>
          </w:tcPr>
          <w:p>
            <w:pPr>
              <w:ind w:left="40"/>
              <w:spacing w:after="0"/>
              <w:rPr>
                <w:sz w:val="20"/>
                <w:szCs w:val="20"/>
                <w:color w:val="auto"/>
              </w:rPr>
            </w:pPr>
            <w:r>
              <w:rPr>
                <w:rFonts w:ascii="Arial" w:cs="Arial" w:eastAsia="Arial" w:hAnsi="Arial"/>
                <w:sz w:val="14"/>
                <w:szCs w:val="14"/>
                <w:color w:val="auto"/>
              </w:rPr>
              <w:t>High Tech Industries</w:t>
            </w:r>
          </w:p>
        </w:tc>
        <w:tc>
          <w:tcPr>
            <w:tcW w:w="1420" w:type="dxa"/>
            <w:vAlign w:val="bottom"/>
          </w:tcPr>
          <w:p>
            <w:pPr>
              <w:ind w:left="60"/>
              <w:spacing w:after="0"/>
              <w:rPr>
                <w:sz w:val="20"/>
                <w:szCs w:val="20"/>
                <w:color w:val="auto"/>
              </w:rPr>
            </w:pPr>
            <w:r>
              <w:rPr>
                <w:rFonts w:ascii="Arial" w:cs="Arial" w:eastAsia="Arial" w:hAnsi="Arial"/>
                <w:sz w:val="14"/>
                <w:szCs w:val="14"/>
                <w:color w:val="auto"/>
              </w:rPr>
              <w:t>Lien)</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tcPr>
          <w:p>
            <w:pPr>
              <w:jc w:val="right"/>
              <w:spacing w:after="0"/>
              <w:rPr>
                <w:sz w:val="20"/>
                <w:szCs w:val="20"/>
                <w:color w:val="auto"/>
              </w:rPr>
            </w:pPr>
            <w:r>
              <w:rPr>
                <w:rFonts w:ascii="Arial" w:cs="Arial" w:eastAsia="Arial" w:hAnsi="Arial"/>
                <w:sz w:val="14"/>
                <w:szCs w:val="14"/>
                <w:color w:val="auto"/>
              </w:rPr>
              <w:t>10/30/2022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w w:val="93"/>
              </w:rPr>
              <w:t>1,977,528</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1,939,305</w:t>
            </w:r>
          </w:p>
        </w:tc>
        <w:tc>
          <w:tcPr>
            <w:tcW w:w="800" w:type="dxa"/>
            <w:vAlign w:val="bottom"/>
          </w:tcPr>
          <w:p>
            <w:pPr>
              <w:jc w:val="right"/>
              <w:spacing w:after="0"/>
              <w:rPr>
                <w:sz w:val="20"/>
                <w:szCs w:val="20"/>
                <w:color w:val="auto"/>
              </w:rPr>
            </w:pPr>
            <w:r>
              <w:rPr>
                <w:rFonts w:ascii="Arial" w:cs="Arial" w:eastAsia="Arial" w:hAnsi="Arial"/>
                <w:sz w:val="14"/>
                <w:szCs w:val="14"/>
                <w:color w:val="auto"/>
              </w:rPr>
              <w:t>1,937,978</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Seadrill Operating LP</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Oil &amp; Gas</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2/21/2021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987,406</w:t>
            </w:r>
          </w:p>
        </w:tc>
        <w:tc>
          <w:tcPr>
            <w:tcW w:w="9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919,799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407,305</w:t>
            </w:r>
          </w:p>
        </w:tc>
      </w:tr>
    </w:tbl>
    <w:p>
      <w:pPr>
        <w:sectPr>
          <w:pgSz w:w="11900" w:h="16838" w:orient="portrait"/>
          <w:cols w:equalWidth="0" w:num="1">
            <w:col w:w="11420"/>
          </w:cols>
          <w:pgMar w:left="240" w:top="122" w:right="239" w:bottom="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2"/>
          </w:tcPr>
          <w:p>
            <w:pPr>
              <w:spacing w:after="0"/>
              <w:rPr>
                <w:sz w:val="20"/>
                <w:szCs w:val="20"/>
                <w:color w:val="auto"/>
              </w:rPr>
            </w:pPr>
            <w:r>
              <w:rPr>
                <w:rFonts w:ascii="Arial" w:cs="Arial" w:eastAsia="Arial" w:hAnsi="Arial"/>
                <w:sz w:val="14"/>
                <w:szCs w:val="14"/>
                <w:color w:val="auto"/>
              </w:rPr>
              <w:t>Sensus USA Inc. (fka</w:t>
            </w:r>
          </w:p>
        </w:tc>
        <w:tc>
          <w:tcPr>
            <w:tcW w:w="1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Sensus Metering</w:t>
            </w:r>
          </w:p>
        </w:tc>
        <w:tc>
          <w:tcPr>
            <w:tcW w:w="1860" w:type="dxa"/>
            <w:vAlign w:val="bottom"/>
          </w:tcPr>
          <w:p>
            <w:pPr>
              <w:spacing w:after="0"/>
              <w:rPr>
                <w:sz w:val="12"/>
                <w:szCs w:val="12"/>
                <w:color w:val="auto"/>
              </w:rPr>
            </w:pP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rPr>
              <w:t>Term Loan (First</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Arial" w:cs="Arial" w:eastAsia="Arial" w:hAnsi="Arial"/>
                <w:sz w:val="14"/>
                <w:szCs w:val="14"/>
                <w:color w:val="auto"/>
              </w:rPr>
              <w:t>Systems)</w:t>
            </w:r>
          </w:p>
        </w:tc>
        <w:tc>
          <w:tcPr>
            <w:tcW w:w="1860" w:type="dxa"/>
            <w:vAlign w:val="bottom"/>
          </w:tcPr>
          <w:p>
            <w:pPr>
              <w:ind w:left="60"/>
              <w:spacing w:after="0"/>
              <w:rPr>
                <w:sz w:val="20"/>
                <w:szCs w:val="20"/>
                <w:color w:val="auto"/>
              </w:rPr>
            </w:pPr>
            <w:r>
              <w:rPr>
                <w:rFonts w:ascii="Arial" w:cs="Arial" w:eastAsia="Arial" w:hAnsi="Arial"/>
                <w:sz w:val="14"/>
                <w:szCs w:val="14"/>
                <w:color w:val="auto"/>
              </w:rPr>
              <w:t>Utilities</w:t>
            </w:r>
          </w:p>
        </w:tc>
        <w:tc>
          <w:tcPr>
            <w:tcW w:w="1400" w:type="dxa"/>
            <w:vAlign w:val="bottom"/>
          </w:tcPr>
          <w:p>
            <w:pPr>
              <w:ind w:left="60"/>
              <w:spacing w:after="0"/>
              <w:rPr>
                <w:sz w:val="20"/>
                <w:szCs w:val="20"/>
                <w:color w:val="auto"/>
              </w:rPr>
            </w:pPr>
            <w:r>
              <w:rPr>
                <w:rFonts w:ascii="Arial" w:cs="Arial" w:eastAsia="Arial" w:hAnsi="Arial"/>
                <w:sz w:val="14"/>
                <w:szCs w:val="14"/>
                <w:color w:val="auto"/>
              </w:rPr>
              <w:t>Lien)</w:t>
            </w:r>
          </w:p>
        </w:tc>
        <w:tc>
          <w:tcPr>
            <w:tcW w:w="540" w:type="dxa"/>
            <w:vAlign w:val="bottom"/>
          </w:tcPr>
          <w:p>
            <w:pPr>
              <w:ind w:left="6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tcPr>
          <w:p>
            <w:pPr>
              <w:jc w:val="right"/>
              <w:spacing w:after="0"/>
              <w:rPr>
                <w:sz w:val="20"/>
                <w:szCs w:val="20"/>
                <w:color w:val="auto"/>
              </w:rPr>
            </w:pPr>
            <w:r>
              <w:rPr>
                <w:rFonts w:ascii="Arial" w:cs="Arial" w:eastAsia="Arial" w:hAnsi="Arial"/>
                <w:sz w:val="14"/>
                <w:szCs w:val="14"/>
                <w:color w:val="auto"/>
              </w:rPr>
              <w:t>5/9/2017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1,905,121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1,902,477</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1,826,534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ServiceMaster Company,</w:t>
            </w:r>
          </w:p>
        </w:tc>
        <w:tc>
          <w:tcPr>
            <w:tcW w:w="18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The</w:t>
            </w:r>
          </w:p>
        </w:tc>
        <w:tc>
          <w:tcPr>
            <w:tcW w:w="186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Conglomerate</w:t>
            </w:r>
          </w:p>
        </w:tc>
        <w:tc>
          <w:tcPr>
            <w:tcW w:w="14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6"/>
              </w:rPr>
              <w:t>Tranche B Term Loan</w:t>
            </w:r>
          </w:p>
        </w:tc>
        <w:tc>
          <w:tcPr>
            <w:tcW w:w="5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7/1/2021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1,975,000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1,959,254</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1,956,889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line="130" w:lineRule="exact"/>
              <w:rPr>
                <w:sz w:val="20"/>
                <w:szCs w:val="20"/>
                <w:color w:val="auto"/>
              </w:rPr>
            </w:pPr>
            <w:r>
              <w:rPr>
                <w:rFonts w:ascii="Arial" w:cs="Arial" w:eastAsia="Arial" w:hAnsi="Arial"/>
                <w:sz w:val="14"/>
                <w:szCs w:val="14"/>
                <w:color w:val="auto"/>
              </w:rPr>
              <w:t>Shearers Foods LLC</w:t>
            </w:r>
          </w:p>
        </w:tc>
        <w:tc>
          <w:tcPr>
            <w:tcW w:w="1860" w:type="dxa"/>
            <w:vAlign w:val="bottom"/>
          </w:tcPr>
          <w:p>
            <w:pPr>
              <w:spacing w:after="0"/>
              <w:rPr>
                <w:sz w:val="11"/>
                <w:szCs w:val="11"/>
                <w:color w:val="auto"/>
              </w:rPr>
            </w:pPr>
          </w:p>
        </w:tc>
        <w:tc>
          <w:tcPr>
            <w:tcW w:w="140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rPr>
              <w:t>Food Services</w:t>
            </w:r>
          </w:p>
        </w:tc>
        <w:tc>
          <w:tcPr>
            <w:tcW w:w="1400" w:type="dxa"/>
            <w:vAlign w:val="bottom"/>
          </w:tcPr>
          <w:p>
            <w:pPr>
              <w:ind w:left="60"/>
              <w:spacing w:after="0"/>
              <w:rPr>
                <w:sz w:val="20"/>
                <w:szCs w:val="20"/>
                <w:color w:val="auto"/>
              </w:rPr>
            </w:pPr>
            <w:r>
              <w:rPr>
                <w:rFonts w:ascii="Arial" w:cs="Arial" w:eastAsia="Arial" w:hAnsi="Arial"/>
                <w:sz w:val="14"/>
                <w:szCs w:val="14"/>
                <w:color w:val="auto"/>
              </w:rPr>
              <w:t>Lien)</w:t>
            </w:r>
          </w:p>
        </w:tc>
        <w:tc>
          <w:tcPr>
            <w:tcW w:w="540" w:type="dxa"/>
            <w:vAlign w:val="bottom"/>
          </w:tcPr>
          <w:p>
            <w:pPr>
              <w:ind w:left="6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3.94%</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4.94%</w:t>
            </w:r>
          </w:p>
        </w:tc>
        <w:tc>
          <w:tcPr>
            <w:tcW w:w="800" w:type="dxa"/>
            <w:vAlign w:val="bottom"/>
          </w:tcPr>
          <w:p>
            <w:pPr>
              <w:jc w:val="right"/>
              <w:spacing w:after="0"/>
              <w:rPr>
                <w:sz w:val="20"/>
                <w:szCs w:val="20"/>
                <w:color w:val="auto"/>
              </w:rPr>
            </w:pPr>
            <w:r>
              <w:rPr>
                <w:rFonts w:ascii="Arial" w:cs="Arial" w:eastAsia="Arial" w:hAnsi="Arial"/>
                <w:sz w:val="14"/>
                <w:szCs w:val="14"/>
                <w:color w:val="auto"/>
              </w:rPr>
              <w:t>6/30/2021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987,500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985,421</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952,938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Sitel Worldwide</w:t>
            </w:r>
          </w:p>
        </w:tc>
        <w:tc>
          <w:tcPr>
            <w:tcW w:w="1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14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5.50%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9/18/2021</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1,995,000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1,976,131</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1,931,160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line="130" w:lineRule="exact"/>
              <w:rPr>
                <w:sz w:val="20"/>
                <w:szCs w:val="20"/>
                <w:color w:val="auto"/>
              </w:rPr>
            </w:pPr>
            <w:r>
              <w:rPr>
                <w:rFonts w:ascii="Arial" w:cs="Arial" w:eastAsia="Arial" w:hAnsi="Arial"/>
                <w:sz w:val="14"/>
                <w:szCs w:val="14"/>
                <w:color w:val="auto"/>
              </w:rPr>
              <w:t>Sonneborn, LLC</w:t>
            </w:r>
          </w:p>
        </w:tc>
        <w:tc>
          <w:tcPr>
            <w:tcW w:w="1860" w:type="dxa"/>
            <w:vAlign w:val="bottom"/>
          </w:tcPr>
          <w:p>
            <w:pPr>
              <w:spacing w:after="0"/>
              <w:rPr>
                <w:sz w:val="11"/>
                <w:szCs w:val="11"/>
                <w:color w:val="auto"/>
              </w:rPr>
            </w:pPr>
          </w:p>
        </w:tc>
        <w:tc>
          <w:tcPr>
            <w:tcW w:w="140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rPr>
              <w:t>Chemicals/Plastics</w:t>
            </w:r>
          </w:p>
        </w:tc>
        <w:tc>
          <w:tcPr>
            <w:tcW w:w="1400" w:type="dxa"/>
            <w:vAlign w:val="bottom"/>
          </w:tcPr>
          <w:p>
            <w:pPr>
              <w:ind w:left="60"/>
              <w:spacing w:after="0"/>
              <w:rPr>
                <w:sz w:val="20"/>
                <w:szCs w:val="20"/>
                <w:color w:val="auto"/>
              </w:rPr>
            </w:pPr>
            <w:r>
              <w:rPr>
                <w:rFonts w:ascii="Arial" w:cs="Arial" w:eastAsia="Arial" w:hAnsi="Arial"/>
                <w:sz w:val="14"/>
                <w:szCs w:val="14"/>
                <w:color w:val="auto"/>
              </w:rPr>
              <w:t>Lien)</w:t>
            </w:r>
          </w:p>
        </w:tc>
        <w:tc>
          <w:tcPr>
            <w:tcW w:w="540" w:type="dxa"/>
            <w:vAlign w:val="bottom"/>
          </w:tcPr>
          <w:p>
            <w:pPr>
              <w:ind w:left="6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12/10/2020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222,750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222,282</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220,801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Sonneborn, LLC</w:t>
            </w:r>
          </w:p>
        </w:tc>
        <w:tc>
          <w:tcPr>
            <w:tcW w:w="1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4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Initial US Term Loan</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12/10/2020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1,262,250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1,259,600</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1,251,205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line="130" w:lineRule="exact"/>
              <w:rPr>
                <w:sz w:val="20"/>
                <w:szCs w:val="20"/>
                <w:color w:val="auto"/>
              </w:rPr>
            </w:pPr>
            <w:r>
              <w:rPr>
                <w:rFonts w:ascii="Arial" w:cs="Arial" w:eastAsia="Arial" w:hAnsi="Arial"/>
                <w:sz w:val="14"/>
                <w:szCs w:val="14"/>
                <w:color w:val="auto"/>
              </w:rPr>
              <w:t>Sophia, L.P.</w:t>
            </w:r>
          </w:p>
        </w:tc>
        <w:tc>
          <w:tcPr>
            <w:tcW w:w="1860" w:type="dxa"/>
            <w:vAlign w:val="bottom"/>
          </w:tcPr>
          <w:p>
            <w:pPr>
              <w:spacing w:after="0"/>
              <w:rPr>
                <w:sz w:val="11"/>
                <w:szCs w:val="11"/>
                <w:color w:val="auto"/>
              </w:rPr>
            </w:pPr>
          </w:p>
        </w:tc>
        <w:tc>
          <w:tcPr>
            <w:tcW w:w="1400" w:type="dxa"/>
            <w:vAlign w:val="bottom"/>
          </w:tcPr>
          <w:p>
            <w:pPr>
              <w:ind w:left="60"/>
              <w:spacing w:after="0" w:line="130" w:lineRule="exact"/>
              <w:rPr>
                <w:sz w:val="20"/>
                <w:szCs w:val="20"/>
                <w:color w:val="auto"/>
              </w:rPr>
            </w:pPr>
            <w:r>
              <w:rPr>
                <w:rFonts w:ascii="Arial" w:cs="Arial" w:eastAsia="Arial" w:hAnsi="Arial"/>
                <w:sz w:val="14"/>
                <w:szCs w:val="14"/>
                <w:color w:val="auto"/>
              </w:rPr>
              <w:t>Term Loan (Closing</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rPr>
              <w:t>Electronics/Electric</w:t>
            </w:r>
          </w:p>
        </w:tc>
        <w:tc>
          <w:tcPr>
            <w:tcW w:w="1400" w:type="dxa"/>
            <w:vAlign w:val="bottom"/>
          </w:tcPr>
          <w:p>
            <w:pPr>
              <w:ind w:left="60"/>
              <w:spacing w:after="0"/>
              <w:rPr>
                <w:sz w:val="20"/>
                <w:szCs w:val="20"/>
                <w:color w:val="auto"/>
              </w:rPr>
            </w:pPr>
            <w:r>
              <w:rPr>
                <w:rFonts w:ascii="Arial" w:cs="Arial" w:eastAsia="Arial" w:hAnsi="Arial"/>
                <w:sz w:val="14"/>
                <w:szCs w:val="14"/>
                <w:color w:val="auto"/>
              </w:rPr>
              <w:t>Date)</w:t>
            </w:r>
          </w:p>
        </w:tc>
        <w:tc>
          <w:tcPr>
            <w:tcW w:w="540" w:type="dxa"/>
            <w:vAlign w:val="bottom"/>
          </w:tcPr>
          <w:p>
            <w:pPr>
              <w:ind w:left="6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9/30/2022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1,995,000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1,985,507</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1,911,469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SourceHOV LLC</w:t>
            </w:r>
          </w:p>
        </w:tc>
        <w:tc>
          <w:tcPr>
            <w:tcW w:w="1860" w:type="dxa"/>
            <w:vAlign w:val="bottom"/>
            <w:shd w:val="clear" w:color="auto" w:fill="CCEEFF"/>
          </w:tcPr>
          <w:p>
            <w:pPr>
              <w:spacing w:after="0"/>
              <w:rPr>
                <w:sz w:val="11"/>
                <w:szCs w:val="11"/>
                <w:color w:val="auto"/>
              </w:rPr>
            </w:pPr>
          </w:p>
        </w:tc>
        <w:tc>
          <w:tcPr>
            <w:tcW w:w="14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 (First</w:t>
            </w:r>
          </w:p>
        </w:tc>
        <w:tc>
          <w:tcPr>
            <w:tcW w:w="5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86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Services: Business</w:t>
            </w:r>
          </w:p>
        </w:tc>
        <w:tc>
          <w:tcPr>
            <w:tcW w:w="14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10/31/2019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1,937,500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1,891,680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1,541,281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line="130" w:lineRule="exact"/>
              <w:rPr>
                <w:sz w:val="20"/>
                <w:szCs w:val="20"/>
                <w:color w:val="auto"/>
              </w:rPr>
            </w:pPr>
            <w:r>
              <w:rPr>
                <w:rFonts w:ascii="Arial" w:cs="Arial" w:eastAsia="Arial" w:hAnsi="Arial"/>
                <w:sz w:val="14"/>
                <w:szCs w:val="14"/>
                <w:color w:val="auto"/>
              </w:rPr>
              <w:t>SRAM, LLC</w:t>
            </w:r>
          </w:p>
        </w:tc>
        <w:tc>
          <w:tcPr>
            <w:tcW w:w="1860" w:type="dxa"/>
            <w:vAlign w:val="bottom"/>
          </w:tcPr>
          <w:p>
            <w:pPr>
              <w:spacing w:after="0"/>
              <w:rPr>
                <w:sz w:val="11"/>
                <w:szCs w:val="11"/>
                <w:color w:val="auto"/>
              </w:rPr>
            </w:pPr>
          </w:p>
        </w:tc>
        <w:tc>
          <w:tcPr>
            <w:tcW w:w="140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rPr>
              <w:t>Industrial Equipment</w:t>
            </w:r>
          </w:p>
        </w:tc>
        <w:tc>
          <w:tcPr>
            <w:tcW w:w="1400" w:type="dxa"/>
            <w:vAlign w:val="bottom"/>
          </w:tcPr>
          <w:p>
            <w:pPr>
              <w:ind w:left="60"/>
              <w:spacing w:after="0"/>
              <w:rPr>
                <w:sz w:val="20"/>
                <w:szCs w:val="20"/>
                <w:color w:val="auto"/>
              </w:rPr>
            </w:pPr>
            <w:r>
              <w:rPr>
                <w:rFonts w:ascii="Arial" w:cs="Arial" w:eastAsia="Arial" w:hAnsi="Arial"/>
                <w:sz w:val="14"/>
                <w:szCs w:val="14"/>
                <w:color w:val="auto"/>
              </w:rPr>
              <w:t>Lien)</w:t>
            </w:r>
          </w:p>
        </w:tc>
        <w:tc>
          <w:tcPr>
            <w:tcW w:w="540" w:type="dxa"/>
            <w:vAlign w:val="bottom"/>
          </w:tcPr>
          <w:p>
            <w:pPr>
              <w:ind w:left="6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tcPr>
          <w:p>
            <w:pPr>
              <w:jc w:val="right"/>
              <w:spacing w:after="0"/>
              <w:rPr>
                <w:sz w:val="20"/>
                <w:szCs w:val="20"/>
                <w:color w:val="auto"/>
              </w:rPr>
            </w:pPr>
            <w:r>
              <w:rPr>
                <w:rFonts w:ascii="Arial" w:cs="Arial" w:eastAsia="Arial" w:hAnsi="Arial"/>
                <w:sz w:val="14"/>
                <w:szCs w:val="14"/>
                <w:color w:val="auto"/>
              </w:rPr>
              <w:t>4/10/2020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2,904,577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2,896,630</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2,207,479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Staples, Inc.</w:t>
            </w:r>
          </w:p>
        </w:tc>
        <w:tc>
          <w:tcPr>
            <w:tcW w:w="18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Retailers (Except Food and</w:t>
            </w:r>
          </w:p>
        </w:tc>
        <w:tc>
          <w:tcPr>
            <w:tcW w:w="1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8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Drugs)</w:t>
            </w:r>
          </w:p>
        </w:tc>
        <w:tc>
          <w:tcPr>
            <w:tcW w:w="140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1/16</w:t>
            </w:r>
          </w:p>
        </w:tc>
        <w:tc>
          <w:tcPr>
            <w:tcW w:w="5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4/23/2021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1,000,000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990,308</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992,130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line="130" w:lineRule="exact"/>
              <w:rPr>
                <w:sz w:val="20"/>
                <w:szCs w:val="20"/>
                <w:color w:val="auto"/>
              </w:rPr>
            </w:pPr>
            <w:r>
              <w:rPr>
                <w:rFonts w:ascii="Arial" w:cs="Arial" w:eastAsia="Arial" w:hAnsi="Arial"/>
                <w:sz w:val="14"/>
                <w:szCs w:val="14"/>
                <w:color w:val="auto"/>
              </w:rPr>
              <w:t>Steak ‘n Shake</w:t>
            </w:r>
          </w:p>
        </w:tc>
        <w:tc>
          <w:tcPr>
            <w:tcW w:w="1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Arial" w:cs="Arial" w:eastAsia="Arial" w:hAnsi="Arial"/>
                <w:sz w:val="14"/>
                <w:szCs w:val="14"/>
                <w:color w:val="auto"/>
              </w:rPr>
              <w:t>Operations, Inc.</w:t>
            </w:r>
          </w:p>
        </w:tc>
        <w:tc>
          <w:tcPr>
            <w:tcW w:w="1860" w:type="dxa"/>
            <w:vAlign w:val="bottom"/>
          </w:tcPr>
          <w:p>
            <w:pPr>
              <w:ind w:left="60"/>
              <w:spacing w:after="0"/>
              <w:rPr>
                <w:sz w:val="20"/>
                <w:szCs w:val="20"/>
                <w:color w:val="auto"/>
              </w:rPr>
            </w:pPr>
            <w:r>
              <w:rPr>
                <w:rFonts w:ascii="Arial" w:cs="Arial" w:eastAsia="Arial" w:hAnsi="Arial"/>
                <w:sz w:val="14"/>
                <w:szCs w:val="14"/>
                <w:color w:val="auto"/>
              </w:rPr>
              <w:t>Food Services</w:t>
            </w:r>
          </w:p>
        </w:tc>
        <w:tc>
          <w:tcPr>
            <w:tcW w:w="1400" w:type="dxa"/>
            <w:vAlign w:val="bottom"/>
          </w:tcPr>
          <w:p>
            <w:pPr>
              <w:ind w:left="60"/>
              <w:spacing w:after="0"/>
              <w:rPr>
                <w:sz w:val="20"/>
                <w:szCs w:val="20"/>
                <w:color w:val="auto"/>
              </w:rPr>
            </w:pPr>
            <w:r>
              <w:rPr>
                <w:rFonts w:ascii="Arial" w:cs="Arial" w:eastAsia="Arial" w:hAnsi="Arial"/>
                <w:sz w:val="14"/>
                <w:szCs w:val="14"/>
                <w:color w:val="auto"/>
              </w:rPr>
              <w:t>Term Loan</w:t>
            </w:r>
          </w:p>
        </w:tc>
        <w:tc>
          <w:tcPr>
            <w:tcW w:w="540" w:type="dxa"/>
            <w:vAlign w:val="bottom"/>
          </w:tcPr>
          <w:p>
            <w:pPr>
              <w:ind w:left="6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3/19/2021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965,341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957,952</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946,034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SuperMedia Inc. (fka</w:t>
            </w:r>
          </w:p>
        </w:tc>
        <w:tc>
          <w:tcPr>
            <w:tcW w:w="18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Idearc Inc.)</w:t>
            </w:r>
          </w:p>
        </w:tc>
        <w:tc>
          <w:tcPr>
            <w:tcW w:w="1860" w:type="dxa"/>
            <w:vAlign w:val="bottom"/>
            <w:shd w:val="clear" w:color="auto" w:fill="CCEEFF"/>
          </w:tcPr>
          <w:p>
            <w:pPr>
              <w:ind w:left="60"/>
              <w:spacing w:after="0"/>
              <w:rPr>
                <w:sz w:val="20"/>
                <w:szCs w:val="20"/>
                <w:color w:val="auto"/>
              </w:rPr>
            </w:pPr>
            <w:r>
              <w:rPr>
                <w:rFonts w:ascii="Arial" w:cs="Arial" w:eastAsia="Arial" w:hAnsi="Arial"/>
                <w:sz w:val="14"/>
                <w:szCs w:val="14"/>
                <w:color w:val="auto"/>
              </w:rPr>
              <w:t>Publishing</w:t>
            </w:r>
          </w:p>
        </w:tc>
        <w:tc>
          <w:tcPr>
            <w:tcW w:w="14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5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8.60%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12/30/2016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222,900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220,105</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67,520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line="130" w:lineRule="exact"/>
              <w:rPr>
                <w:sz w:val="20"/>
                <w:szCs w:val="20"/>
                <w:color w:val="auto"/>
              </w:rPr>
            </w:pPr>
            <w:r>
              <w:rPr>
                <w:rFonts w:ascii="Arial" w:cs="Arial" w:eastAsia="Arial" w:hAnsi="Arial"/>
                <w:sz w:val="14"/>
                <w:szCs w:val="14"/>
                <w:color w:val="auto"/>
              </w:rPr>
              <w:t>Survey Sampling</w:t>
            </w:r>
          </w:p>
        </w:tc>
        <w:tc>
          <w:tcPr>
            <w:tcW w:w="1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Arial" w:cs="Arial" w:eastAsia="Arial" w:hAnsi="Arial"/>
                <w:sz w:val="14"/>
                <w:szCs w:val="14"/>
                <w:color w:val="auto"/>
              </w:rPr>
              <w:t>International</w:t>
            </w:r>
          </w:p>
        </w:tc>
        <w:tc>
          <w:tcPr>
            <w:tcW w:w="1860" w:type="dxa"/>
            <w:vAlign w:val="bottom"/>
          </w:tcPr>
          <w:p>
            <w:pPr>
              <w:ind w:left="60"/>
              <w:spacing w:after="0"/>
              <w:rPr>
                <w:sz w:val="20"/>
                <w:szCs w:val="20"/>
                <w:color w:val="auto"/>
              </w:rPr>
            </w:pPr>
            <w:r>
              <w:rPr>
                <w:rFonts w:ascii="Arial" w:cs="Arial" w:eastAsia="Arial" w:hAnsi="Arial"/>
                <w:sz w:val="14"/>
                <w:szCs w:val="14"/>
                <w:color w:val="auto"/>
              </w:rPr>
              <w:t>Services: Business</w:t>
            </w:r>
          </w:p>
        </w:tc>
        <w:tc>
          <w:tcPr>
            <w:tcW w:w="1400" w:type="dxa"/>
            <w:vAlign w:val="bottom"/>
          </w:tcPr>
          <w:p>
            <w:pPr>
              <w:ind w:left="60"/>
              <w:spacing w:after="0"/>
              <w:rPr>
                <w:sz w:val="20"/>
                <w:szCs w:val="20"/>
                <w:color w:val="auto"/>
              </w:rPr>
            </w:pPr>
            <w:r>
              <w:rPr>
                <w:rFonts w:ascii="Arial" w:cs="Arial" w:eastAsia="Arial" w:hAnsi="Arial"/>
                <w:sz w:val="14"/>
                <w:szCs w:val="14"/>
                <w:color w:val="auto"/>
              </w:rPr>
              <w:t>Term Loan B</w:t>
            </w:r>
          </w:p>
        </w:tc>
        <w:tc>
          <w:tcPr>
            <w:tcW w:w="540" w:type="dxa"/>
            <w:vAlign w:val="bottom"/>
          </w:tcPr>
          <w:p>
            <w:pPr>
              <w:ind w:left="6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tcPr>
          <w:p>
            <w:pPr>
              <w:jc w:val="right"/>
              <w:spacing w:after="0"/>
              <w:rPr>
                <w:sz w:val="20"/>
                <w:szCs w:val="20"/>
                <w:color w:val="auto"/>
              </w:rPr>
            </w:pPr>
            <w:r>
              <w:rPr>
                <w:rFonts w:ascii="Arial" w:cs="Arial" w:eastAsia="Arial" w:hAnsi="Arial"/>
                <w:sz w:val="14"/>
                <w:szCs w:val="14"/>
                <w:color w:val="auto"/>
              </w:rPr>
              <w:t>12/16/2020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992,500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990,554</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970,169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Sybil Finance BV</w:t>
            </w:r>
          </w:p>
        </w:tc>
        <w:tc>
          <w:tcPr>
            <w:tcW w:w="1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High Tech Industries</w:t>
            </w:r>
          </w:p>
        </w:tc>
        <w:tc>
          <w:tcPr>
            <w:tcW w:w="14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3/20/2020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1,272,143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1,270,803</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1,253,061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color w:val="auto"/>
                <w:w w:val="98"/>
              </w:rPr>
              <w:t>Syniverse Holdings, Inc.</w:t>
            </w:r>
          </w:p>
        </w:tc>
        <w:tc>
          <w:tcPr>
            <w:tcW w:w="186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rPr>
              <w:t>Initial Term Loan</w:t>
            </w:r>
          </w:p>
        </w:tc>
        <w:tc>
          <w:tcPr>
            <w:tcW w:w="5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4/23/2019</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479,913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476,927</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311,944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TaxACT, Inc.</w:t>
            </w:r>
          </w:p>
        </w:tc>
        <w:tc>
          <w:tcPr>
            <w:tcW w:w="1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14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1/3/2023</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1,860,000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1,805,035</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1,804,200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color w:val="auto"/>
              </w:rPr>
              <w:t>TGI Friday’s, Inc.</w:t>
            </w:r>
          </w:p>
        </w:tc>
        <w:tc>
          <w:tcPr>
            <w:tcW w:w="1860" w:type="dxa"/>
            <w:vAlign w:val="bottom"/>
          </w:tcPr>
          <w:p>
            <w:pPr>
              <w:ind w:left="60"/>
              <w:spacing w:after="0" w:line="149" w:lineRule="exact"/>
              <w:rPr>
                <w:sz w:val="20"/>
                <w:szCs w:val="20"/>
                <w:color w:val="auto"/>
              </w:rPr>
            </w:pPr>
            <w:r>
              <w:rPr>
                <w:rFonts w:ascii="Arial" w:cs="Arial" w:eastAsia="Arial" w:hAnsi="Arial"/>
                <w:sz w:val="14"/>
                <w:szCs w:val="14"/>
                <w:color w:val="auto"/>
              </w:rPr>
              <w:t>Food Services</w:t>
            </w: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7/15/2020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1,651,816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1,647,936</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1,636,669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Townsquare Media, Inc.</w:t>
            </w:r>
          </w:p>
        </w:tc>
        <w:tc>
          <w:tcPr>
            <w:tcW w:w="1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Media</w:t>
            </w:r>
          </w:p>
        </w:tc>
        <w:tc>
          <w:tcPr>
            <w:tcW w:w="14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4/1/2022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932,522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928,333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915,624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line="130" w:lineRule="exact"/>
              <w:rPr>
                <w:sz w:val="20"/>
                <w:szCs w:val="20"/>
                <w:color w:val="auto"/>
              </w:rPr>
            </w:pPr>
            <w:r>
              <w:rPr>
                <w:rFonts w:ascii="Arial" w:cs="Arial" w:eastAsia="Arial" w:hAnsi="Arial"/>
                <w:sz w:val="14"/>
                <w:szCs w:val="14"/>
                <w:color w:val="auto"/>
              </w:rPr>
              <w:t>TPF II Power LLC and</w:t>
            </w:r>
          </w:p>
        </w:tc>
        <w:tc>
          <w:tcPr>
            <w:tcW w:w="1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TPF II Covert Midco</w:t>
            </w:r>
          </w:p>
        </w:tc>
        <w:tc>
          <w:tcPr>
            <w:tcW w:w="1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Arial" w:cs="Arial" w:eastAsia="Arial" w:hAnsi="Arial"/>
                <w:sz w:val="14"/>
                <w:szCs w:val="14"/>
                <w:color w:val="auto"/>
              </w:rPr>
              <w:t>LLC</w:t>
            </w:r>
          </w:p>
        </w:tc>
        <w:tc>
          <w:tcPr>
            <w:tcW w:w="1860" w:type="dxa"/>
            <w:vAlign w:val="bottom"/>
          </w:tcPr>
          <w:p>
            <w:pPr>
              <w:ind w:left="60"/>
              <w:spacing w:after="0"/>
              <w:rPr>
                <w:sz w:val="20"/>
                <w:szCs w:val="20"/>
                <w:color w:val="auto"/>
              </w:rPr>
            </w:pPr>
            <w:r>
              <w:rPr>
                <w:rFonts w:ascii="Arial" w:cs="Arial" w:eastAsia="Arial" w:hAnsi="Arial"/>
                <w:sz w:val="14"/>
                <w:szCs w:val="14"/>
                <w:color w:val="auto"/>
              </w:rPr>
              <w:t>Utilities</w:t>
            </w:r>
          </w:p>
        </w:tc>
        <w:tc>
          <w:tcPr>
            <w:tcW w:w="1400" w:type="dxa"/>
            <w:vAlign w:val="bottom"/>
          </w:tcPr>
          <w:p>
            <w:pPr>
              <w:ind w:left="60"/>
              <w:spacing w:after="0"/>
              <w:rPr>
                <w:sz w:val="20"/>
                <w:szCs w:val="20"/>
                <w:color w:val="auto"/>
              </w:rPr>
            </w:pPr>
            <w:r>
              <w:rPr>
                <w:rFonts w:ascii="Arial" w:cs="Arial" w:eastAsia="Arial" w:hAnsi="Arial"/>
                <w:sz w:val="14"/>
                <w:szCs w:val="14"/>
                <w:color w:val="auto"/>
              </w:rPr>
              <w:t>Term Loan B</w:t>
            </w:r>
          </w:p>
        </w:tc>
        <w:tc>
          <w:tcPr>
            <w:tcW w:w="540" w:type="dxa"/>
            <w:vAlign w:val="bottom"/>
          </w:tcPr>
          <w:p>
            <w:pPr>
              <w:ind w:left="6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tcPr>
          <w:p>
            <w:pPr>
              <w:jc w:val="right"/>
              <w:spacing w:after="0"/>
              <w:rPr>
                <w:sz w:val="20"/>
                <w:szCs w:val="20"/>
                <w:color w:val="auto"/>
              </w:rPr>
            </w:pPr>
            <w:r>
              <w:rPr>
                <w:rFonts w:ascii="Arial" w:cs="Arial" w:eastAsia="Arial" w:hAnsi="Arial"/>
                <w:sz w:val="14"/>
                <w:szCs w:val="14"/>
                <w:color w:val="auto"/>
              </w:rPr>
              <w:t>10/2/2021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1,491,826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1,433,943</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1,396,722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TransDigm, Inc.</w:t>
            </w:r>
          </w:p>
        </w:tc>
        <w:tc>
          <w:tcPr>
            <w:tcW w:w="1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Aerospace and Defense</w:t>
            </w:r>
          </w:p>
        </w:tc>
        <w:tc>
          <w:tcPr>
            <w:tcW w:w="14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6"/>
              </w:rPr>
              <w:t>Tranche C Term Loan</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2/28/2020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4,277,294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4,283,815</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4,148,975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line="130" w:lineRule="exact"/>
              <w:rPr>
                <w:sz w:val="20"/>
                <w:szCs w:val="20"/>
                <w:color w:val="auto"/>
              </w:rPr>
            </w:pPr>
            <w:r>
              <w:rPr>
                <w:rFonts w:ascii="Arial" w:cs="Arial" w:eastAsia="Arial" w:hAnsi="Arial"/>
                <w:sz w:val="14"/>
                <w:szCs w:val="14"/>
                <w:color w:val="auto"/>
              </w:rPr>
              <w:t>Travel Leaders Group,</w:t>
            </w:r>
          </w:p>
        </w:tc>
        <w:tc>
          <w:tcPr>
            <w:tcW w:w="1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Arial" w:cs="Arial" w:eastAsia="Arial" w:hAnsi="Arial"/>
                <w:sz w:val="14"/>
                <w:szCs w:val="14"/>
                <w:color w:val="auto"/>
              </w:rPr>
              <w:t>LLC</w:t>
            </w:r>
          </w:p>
        </w:tc>
        <w:tc>
          <w:tcPr>
            <w:tcW w:w="1860" w:type="dxa"/>
            <w:vAlign w:val="bottom"/>
          </w:tcPr>
          <w:p>
            <w:pPr>
              <w:ind w:left="60"/>
              <w:spacing w:after="0"/>
              <w:rPr>
                <w:sz w:val="20"/>
                <w:szCs w:val="20"/>
                <w:color w:val="auto"/>
              </w:rPr>
            </w:pPr>
            <w:r>
              <w:rPr>
                <w:rFonts w:ascii="Arial" w:cs="Arial" w:eastAsia="Arial" w:hAnsi="Arial"/>
                <w:sz w:val="14"/>
                <w:szCs w:val="14"/>
                <w:color w:val="auto"/>
              </w:rPr>
              <w:t>Hotel, Gaming and Leisure</w:t>
            </w:r>
          </w:p>
        </w:tc>
        <w:tc>
          <w:tcPr>
            <w:tcW w:w="1400" w:type="dxa"/>
            <w:vAlign w:val="bottom"/>
          </w:tcPr>
          <w:p>
            <w:pPr>
              <w:ind w:left="60"/>
              <w:spacing w:after="0"/>
              <w:rPr>
                <w:sz w:val="20"/>
                <w:szCs w:val="20"/>
                <w:color w:val="auto"/>
              </w:rPr>
            </w:pPr>
            <w:r>
              <w:rPr>
                <w:rFonts w:ascii="Arial" w:cs="Arial" w:eastAsia="Arial" w:hAnsi="Arial"/>
                <w:sz w:val="14"/>
                <w:szCs w:val="14"/>
                <w:color w:val="auto"/>
              </w:rPr>
              <w:t>Term Loan B</w:t>
            </w:r>
          </w:p>
        </w:tc>
        <w:tc>
          <w:tcPr>
            <w:tcW w:w="540" w:type="dxa"/>
            <w:vAlign w:val="bottom"/>
          </w:tcPr>
          <w:p>
            <w:pPr>
              <w:ind w:left="6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6.00%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7.00%</w:t>
            </w:r>
          </w:p>
        </w:tc>
        <w:tc>
          <w:tcPr>
            <w:tcW w:w="800" w:type="dxa"/>
            <w:vAlign w:val="bottom"/>
          </w:tcPr>
          <w:p>
            <w:pPr>
              <w:jc w:val="right"/>
              <w:spacing w:after="0"/>
              <w:rPr>
                <w:sz w:val="20"/>
                <w:szCs w:val="20"/>
                <w:color w:val="auto"/>
              </w:rPr>
            </w:pPr>
            <w:r>
              <w:rPr>
                <w:rFonts w:ascii="Arial" w:cs="Arial" w:eastAsia="Arial" w:hAnsi="Arial"/>
                <w:sz w:val="14"/>
                <w:szCs w:val="14"/>
                <w:color w:val="auto"/>
              </w:rPr>
              <w:t>12/7/2020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1,946,300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1,939,729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1,917,107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Tricorbraun, Inc. (fka</w:t>
            </w:r>
          </w:p>
        </w:tc>
        <w:tc>
          <w:tcPr>
            <w:tcW w:w="18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Kranson Industries,</w:t>
            </w:r>
          </w:p>
        </w:tc>
        <w:tc>
          <w:tcPr>
            <w:tcW w:w="18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w:t>
            </w:r>
          </w:p>
        </w:tc>
        <w:tc>
          <w:tcPr>
            <w:tcW w:w="186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Containers/Glass Products</w:t>
            </w:r>
          </w:p>
        </w:tc>
        <w:tc>
          <w:tcPr>
            <w:tcW w:w="140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w:t>
            </w:r>
          </w:p>
        </w:tc>
        <w:tc>
          <w:tcPr>
            <w:tcW w:w="5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1,836,625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1,831,636</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1,776,935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line="130" w:lineRule="exact"/>
              <w:rPr>
                <w:sz w:val="20"/>
                <w:szCs w:val="20"/>
                <w:color w:val="auto"/>
              </w:rPr>
            </w:pPr>
            <w:r>
              <w:rPr>
                <w:rFonts w:ascii="Arial" w:cs="Arial" w:eastAsia="Arial" w:hAnsi="Arial"/>
                <w:sz w:val="14"/>
                <w:szCs w:val="14"/>
                <w:color w:val="auto"/>
              </w:rPr>
              <w:t>Truven Health Analytics</w:t>
            </w:r>
          </w:p>
        </w:tc>
        <w:tc>
          <w:tcPr>
            <w:tcW w:w="1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Inc. (fka Thomson</w:t>
            </w:r>
          </w:p>
        </w:tc>
        <w:tc>
          <w:tcPr>
            <w:tcW w:w="1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Reuters (Healthcare)</w:t>
            </w:r>
          </w:p>
        </w:tc>
        <w:tc>
          <w:tcPr>
            <w:tcW w:w="1860" w:type="dxa"/>
            <w:vAlign w:val="bottom"/>
          </w:tcPr>
          <w:p>
            <w:pPr>
              <w:spacing w:after="0"/>
              <w:rPr>
                <w:sz w:val="12"/>
                <w:szCs w:val="12"/>
                <w:color w:val="auto"/>
              </w:rPr>
            </w:pP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w w:val="99"/>
              </w:rPr>
              <w:t>New Tranche B Term</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Arial" w:cs="Arial" w:eastAsia="Arial" w:hAnsi="Arial"/>
                <w:sz w:val="14"/>
                <w:szCs w:val="14"/>
                <w:color w:val="auto"/>
              </w:rPr>
              <w:t>Inc.)</w:t>
            </w:r>
          </w:p>
        </w:tc>
        <w:tc>
          <w:tcPr>
            <w:tcW w:w="1860" w:type="dxa"/>
            <w:vAlign w:val="bottom"/>
          </w:tcPr>
          <w:p>
            <w:pPr>
              <w:ind w:left="60"/>
              <w:spacing w:after="0"/>
              <w:rPr>
                <w:sz w:val="20"/>
                <w:szCs w:val="20"/>
                <w:color w:val="auto"/>
              </w:rPr>
            </w:pPr>
            <w:r>
              <w:rPr>
                <w:rFonts w:ascii="Arial" w:cs="Arial" w:eastAsia="Arial" w:hAnsi="Arial"/>
                <w:sz w:val="14"/>
                <w:szCs w:val="14"/>
                <w:color w:val="auto"/>
                <w:w w:val="94"/>
              </w:rPr>
              <w:t>Healthcare &amp; Pharmaceuticals</w:t>
            </w:r>
          </w:p>
        </w:tc>
        <w:tc>
          <w:tcPr>
            <w:tcW w:w="1400" w:type="dxa"/>
            <w:vAlign w:val="bottom"/>
          </w:tcPr>
          <w:p>
            <w:pPr>
              <w:ind w:left="60"/>
              <w:spacing w:after="0"/>
              <w:rPr>
                <w:sz w:val="20"/>
                <w:szCs w:val="20"/>
                <w:color w:val="auto"/>
              </w:rPr>
            </w:pPr>
            <w:r>
              <w:rPr>
                <w:rFonts w:ascii="Arial" w:cs="Arial" w:eastAsia="Arial" w:hAnsi="Arial"/>
                <w:sz w:val="14"/>
                <w:szCs w:val="14"/>
                <w:color w:val="auto"/>
              </w:rPr>
              <w:t>Loan</w:t>
            </w:r>
          </w:p>
        </w:tc>
        <w:tc>
          <w:tcPr>
            <w:tcW w:w="540" w:type="dxa"/>
            <w:vAlign w:val="bottom"/>
          </w:tcPr>
          <w:p>
            <w:pPr>
              <w:ind w:left="6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tcPr>
          <w:p>
            <w:pPr>
              <w:jc w:val="right"/>
              <w:spacing w:after="0"/>
              <w:rPr>
                <w:sz w:val="20"/>
                <w:szCs w:val="20"/>
                <w:color w:val="auto"/>
              </w:rPr>
            </w:pPr>
            <w:r>
              <w:rPr>
                <w:rFonts w:ascii="Arial" w:cs="Arial" w:eastAsia="Arial" w:hAnsi="Arial"/>
                <w:sz w:val="14"/>
                <w:szCs w:val="14"/>
                <w:color w:val="auto"/>
              </w:rPr>
              <w:t>6/6/2019</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482,603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476,598</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480,494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Twin River Management</w:t>
            </w:r>
          </w:p>
        </w:tc>
        <w:tc>
          <w:tcPr>
            <w:tcW w:w="18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Group, Inc.</w:t>
            </w:r>
          </w:p>
        </w:tc>
        <w:tc>
          <w:tcPr>
            <w:tcW w:w="18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Lodging &amp; Casinos</w:t>
            </w:r>
          </w:p>
        </w:tc>
        <w:tc>
          <w:tcPr>
            <w:tcW w:w="140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B</w:t>
            </w:r>
          </w:p>
        </w:tc>
        <w:tc>
          <w:tcPr>
            <w:tcW w:w="5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7/10/2020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886,192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887,853</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875,673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line="130" w:lineRule="exact"/>
              <w:rPr>
                <w:sz w:val="20"/>
                <w:szCs w:val="20"/>
                <w:color w:val="auto"/>
              </w:rPr>
            </w:pPr>
            <w:r>
              <w:rPr>
                <w:rFonts w:ascii="Arial" w:cs="Arial" w:eastAsia="Arial" w:hAnsi="Arial"/>
                <w:sz w:val="14"/>
                <w:szCs w:val="14"/>
                <w:color w:val="auto"/>
                <w:w w:val="96"/>
              </w:rPr>
              <w:t>U.S. Security Associates</w:t>
            </w:r>
          </w:p>
        </w:tc>
        <w:tc>
          <w:tcPr>
            <w:tcW w:w="1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Arial" w:cs="Arial" w:eastAsia="Arial" w:hAnsi="Arial"/>
                <w:sz w:val="14"/>
                <w:szCs w:val="14"/>
                <w:color w:val="auto"/>
              </w:rPr>
              <w:t>Holdings, Inc.</w:t>
            </w:r>
          </w:p>
        </w:tc>
        <w:tc>
          <w:tcPr>
            <w:tcW w:w="1860" w:type="dxa"/>
            <w:vAlign w:val="bottom"/>
          </w:tcPr>
          <w:p>
            <w:pPr>
              <w:ind w:left="60"/>
              <w:spacing w:after="0"/>
              <w:rPr>
                <w:sz w:val="20"/>
                <w:szCs w:val="20"/>
                <w:color w:val="auto"/>
              </w:rPr>
            </w:pPr>
            <w:r>
              <w:rPr>
                <w:rFonts w:ascii="Arial" w:cs="Arial" w:eastAsia="Arial" w:hAnsi="Arial"/>
                <w:sz w:val="14"/>
                <w:szCs w:val="14"/>
                <w:color w:val="auto"/>
              </w:rPr>
              <w:t>Services: Business</w:t>
            </w:r>
          </w:p>
        </w:tc>
        <w:tc>
          <w:tcPr>
            <w:tcW w:w="1400" w:type="dxa"/>
            <w:vAlign w:val="bottom"/>
          </w:tcPr>
          <w:p>
            <w:pPr>
              <w:ind w:left="60"/>
              <w:spacing w:after="0"/>
              <w:rPr>
                <w:sz w:val="20"/>
                <w:szCs w:val="20"/>
                <w:color w:val="auto"/>
              </w:rPr>
            </w:pPr>
            <w:r>
              <w:rPr>
                <w:rFonts w:ascii="Arial" w:cs="Arial" w:eastAsia="Arial" w:hAnsi="Arial"/>
                <w:sz w:val="14"/>
                <w:szCs w:val="14"/>
                <w:color w:val="auto"/>
              </w:rPr>
              <w:t>Delayed Draw Loan</w:t>
            </w:r>
          </w:p>
        </w:tc>
        <w:tc>
          <w:tcPr>
            <w:tcW w:w="540" w:type="dxa"/>
            <w:vAlign w:val="bottom"/>
          </w:tcPr>
          <w:p>
            <w:pPr>
              <w:ind w:left="6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6.25%</w:t>
            </w:r>
          </w:p>
        </w:tc>
        <w:tc>
          <w:tcPr>
            <w:tcW w:w="800" w:type="dxa"/>
            <w:vAlign w:val="bottom"/>
          </w:tcPr>
          <w:p>
            <w:pPr>
              <w:jc w:val="right"/>
              <w:spacing w:after="0"/>
              <w:rPr>
                <w:sz w:val="20"/>
                <w:szCs w:val="20"/>
                <w:color w:val="auto"/>
              </w:rPr>
            </w:pPr>
            <w:r>
              <w:rPr>
                <w:rFonts w:ascii="Arial" w:cs="Arial" w:eastAsia="Arial" w:hAnsi="Arial"/>
                <w:sz w:val="14"/>
                <w:szCs w:val="14"/>
                <w:color w:val="auto"/>
              </w:rPr>
              <w:t>7/28/2017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156,888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156,328</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155,973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U.S. Security Associates</w:t>
            </w:r>
          </w:p>
        </w:tc>
        <w:tc>
          <w:tcPr>
            <w:tcW w:w="18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Holdings, Inc.</w:t>
            </w:r>
          </w:p>
        </w:tc>
        <w:tc>
          <w:tcPr>
            <w:tcW w:w="186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Services: Business</w:t>
            </w:r>
          </w:p>
        </w:tc>
        <w:tc>
          <w:tcPr>
            <w:tcW w:w="140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B Loan</w:t>
            </w:r>
          </w:p>
        </w:tc>
        <w:tc>
          <w:tcPr>
            <w:tcW w:w="5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7/28/2017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921,426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918,393</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916,054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color w:val="auto"/>
              </w:rPr>
              <w:t>Univar Inc.</w:t>
            </w:r>
          </w:p>
        </w:tc>
        <w:tc>
          <w:tcPr>
            <w:tcW w:w="186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rPr>
              <w:t>Term B Loan</w:t>
            </w:r>
          </w:p>
        </w:tc>
        <w:tc>
          <w:tcPr>
            <w:tcW w:w="5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7/1/2022</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2,992,500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2,978,573</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2,840,810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Univision</w:t>
            </w:r>
          </w:p>
        </w:tc>
        <w:tc>
          <w:tcPr>
            <w:tcW w:w="1860" w:type="dxa"/>
            <w:vAlign w:val="bottom"/>
            <w:shd w:val="clear" w:color="auto" w:fill="CCEEFF"/>
          </w:tcPr>
          <w:p>
            <w:pPr>
              <w:spacing w:after="0"/>
              <w:rPr>
                <w:sz w:val="11"/>
                <w:szCs w:val="11"/>
                <w:color w:val="auto"/>
              </w:rPr>
            </w:pPr>
          </w:p>
        </w:tc>
        <w:tc>
          <w:tcPr>
            <w:tcW w:w="14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Replacement First-</w:t>
            </w:r>
          </w:p>
        </w:tc>
        <w:tc>
          <w:tcPr>
            <w:tcW w:w="5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Communications Inc.</w:t>
            </w:r>
          </w:p>
        </w:tc>
        <w:tc>
          <w:tcPr>
            <w:tcW w:w="186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Telecommunications</w:t>
            </w:r>
          </w:p>
        </w:tc>
        <w:tc>
          <w:tcPr>
            <w:tcW w:w="14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 Term Loan</w:t>
            </w:r>
          </w:p>
        </w:tc>
        <w:tc>
          <w:tcPr>
            <w:tcW w:w="5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3/1/2020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2,916,556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2,903,859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2,832,705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line="130" w:lineRule="exact"/>
              <w:rPr>
                <w:sz w:val="20"/>
                <w:szCs w:val="20"/>
                <w:color w:val="auto"/>
              </w:rPr>
            </w:pPr>
            <w:r>
              <w:rPr>
                <w:rFonts w:ascii="Arial" w:cs="Arial" w:eastAsia="Arial" w:hAnsi="Arial"/>
                <w:sz w:val="14"/>
                <w:szCs w:val="14"/>
                <w:color w:val="auto"/>
                <w:w w:val="95"/>
              </w:rPr>
              <w:t>Valeant Pharmaceuticals</w:t>
            </w:r>
          </w:p>
        </w:tc>
        <w:tc>
          <w:tcPr>
            <w:tcW w:w="1860" w:type="dxa"/>
            <w:vAlign w:val="bottom"/>
          </w:tcPr>
          <w:p>
            <w:pPr>
              <w:spacing w:after="0"/>
              <w:rPr>
                <w:sz w:val="11"/>
                <w:szCs w:val="11"/>
                <w:color w:val="auto"/>
              </w:rPr>
            </w:pPr>
          </w:p>
        </w:tc>
        <w:tc>
          <w:tcPr>
            <w:tcW w:w="1400" w:type="dxa"/>
            <w:vAlign w:val="bottom"/>
          </w:tcPr>
          <w:p>
            <w:pPr>
              <w:ind w:left="60"/>
              <w:spacing w:after="0" w:line="130" w:lineRule="exact"/>
              <w:rPr>
                <w:sz w:val="20"/>
                <w:szCs w:val="20"/>
                <w:color w:val="auto"/>
              </w:rPr>
            </w:pPr>
            <w:r>
              <w:rPr>
                <w:rFonts w:ascii="Arial" w:cs="Arial" w:eastAsia="Arial" w:hAnsi="Arial"/>
                <w:sz w:val="14"/>
                <w:szCs w:val="14"/>
                <w:color w:val="auto"/>
                <w:w w:val="99"/>
              </w:rPr>
              <w:t>Series D2 Term Loan</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Arial" w:cs="Arial" w:eastAsia="Arial" w:hAnsi="Arial"/>
                <w:sz w:val="14"/>
                <w:szCs w:val="14"/>
                <w:color w:val="auto"/>
              </w:rPr>
              <w:t>International, Inc.</w:t>
            </w:r>
          </w:p>
        </w:tc>
        <w:tc>
          <w:tcPr>
            <w:tcW w:w="1860" w:type="dxa"/>
            <w:vAlign w:val="bottom"/>
          </w:tcPr>
          <w:p>
            <w:pPr>
              <w:ind w:left="60"/>
              <w:spacing w:after="0"/>
              <w:rPr>
                <w:sz w:val="20"/>
                <w:szCs w:val="20"/>
                <w:color w:val="auto"/>
              </w:rPr>
            </w:pPr>
            <w:r>
              <w:rPr>
                <w:rFonts w:ascii="Arial" w:cs="Arial" w:eastAsia="Arial" w:hAnsi="Arial"/>
                <w:sz w:val="14"/>
                <w:szCs w:val="14"/>
                <w:color w:val="auto"/>
              </w:rPr>
              <w:t>Drugs</w:t>
            </w:r>
          </w:p>
        </w:tc>
        <w:tc>
          <w:tcPr>
            <w:tcW w:w="1400" w:type="dxa"/>
            <w:vAlign w:val="bottom"/>
          </w:tcPr>
          <w:p>
            <w:pPr>
              <w:ind w:left="60"/>
              <w:spacing w:after="0"/>
              <w:rPr>
                <w:sz w:val="20"/>
                <w:szCs w:val="20"/>
                <w:color w:val="auto"/>
              </w:rPr>
            </w:pPr>
            <w:r>
              <w:rPr>
                <w:rFonts w:ascii="Arial" w:cs="Arial" w:eastAsia="Arial" w:hAnsi="Arial"/>
                <w:sz w:val="14"/>
                <w:szCs w:val="14"/>
                <w:color w:val="auto"/>
              </w:rPr>
              <w:t>B</w:t>
            </w:r>
          </w:p>
        </w:tc>
        <w:tc>
          <w:tcPr>
            <w:tcW w:w="540" w:type="dxa"/>
            <w:vAlign w:val="bottom"/>
          </w:tcPr>
          <w:p>
            <w:pPr>
              <w:ind w:left="60"/>
              <w:spacing w:after="0"/>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3.50%</w:t>
            </w:r>
          </w:p>
        </w:tc>
        <w:tc>
          <w:tcPr>
            <w:tcW w:w="800" w:type="dxa"/>
            <w:vAlign w:val="bottom"/>
          </w:tcPr>
          <w:p>
            <w:pPr>
              <w:jc w:val="right"/>
              <w:spacing w:after="0"/>
              <w:rPr>
                <w:sz w:val="20"/>
                <w:szCs w:val="20"/>
                <w:color w:val="auto"/>
              </w:rPr>
            </w:pPr>
            <w:r>
              <w:rPr>
                <w:rFonts w:ascii="Arial" w:cs="Arial" w:eastAsia="Arial" w:hAnsi="Arial"/>
                <w:sz w:val="14"/>
                <w:szCs w:val="14"/>
                <w:color w:val="auto"/>
              </w:rPr>
              <w:t>2/13/2019</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2,545,588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2,539,315</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2,385,700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Verint Systems Inc.</w:t>
            </w:r>
          </w:p>
        </w:tc>
        <w:tc>
          <w:tcPr>
            <w:tcW w:w="1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14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2.75%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9/6/2019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1,014,058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1,011,203</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1,005,692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color w:val="auto"/>
              </w:rPr>
              <w:t>Vertafore, Inc.</w:t>
            </w:r>
          </w:p>
        </w:tc>
        <w:tc>
          <w:tcPr>
            <w:tcW w:w="186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rPr>
              <w:t>Term Loan (2013)</w:t>
            </w:r>
          </w:p>
        </w:tc>
        <w:tc>
          <w:tcPr>
            <w:tcW w:w="5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10/3/2019</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2,484,603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2,484,603</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2,452,775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Vizient Inc.</w:t>
            </w:r>
          </w:p>
        </w:tc>
        <w:tc>
          <w:tcPr>
            <w:tcW w:w="1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4"/>
              </w:rPr>
              <w:t>Healthcare &amp; Pharmaceuticals</w:t>
            </w:r>
          </w:p>
        </w:tc>
        <w:tc>
          <w:tcPr>
            <w:tcW w:w="14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2/13/2023</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1,000,000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970,144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993,750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color w:val="auto"/>
              </w:rPr>
              <w:t>Vouvray US Finance</w:t>
            </w:r>
          </w:p>
        </w:tc>
        <w:tc>
          <w:tcPr>
            <w:tcW w:w="186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6/27/2021</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492,500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490,508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478,134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Washington Inventory</w:t>
            </w:r>
          </w:p>
        </w:tc>
        <w:tc>
          <w:tcPr>
            <w:tcW w:w="1860" w:type="dxa"/>
            <w:vAlign w:val="bottom"/>
            <w:shd w:val="clear" w:color="auto" w:fill="CCEEFF"/>
          </w:tcPr>
          <w:p>
            <w:pPr>
              <w:spacing w:after="0"/>
              <w:rPr>
                <w:sz w:val="11"/>
                <w:szCs w:val="11"/>
                <w:color w:val="auto"/>
              </w:rPr>
            </w:pPr>
          </w:p>
        </w:tc>
        <w:tc>
          <w:tcPr>
            <w:tcW w:w="14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U.S. Term Loan (First</w:t>
            </w:r>
          </w:p>
        </w:tc>
        <w:tc>
          <w:tcPr>
            <w:tcW w:w="5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w:t>
            </w:r>
          </w:p>
        </w:tc>
        <w:tc>
          <w:tcPr>
            <w:tcW w:w="186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Services: Business</w:t>
            </w:r>
          </w:p>
        </w:tc>
        <w:tc>
          <w:tcPr>
            <w:tcW w:w="14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12/20/2018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1,736,392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1,749,291</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1,475,934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color w:val="auto"/>
              </w:rPr>
              <w:t>West Corporation</w:t>
            </w:r>
          </w:p>
        </w:tc>
        <w:tc>
          <w:tcPr>
            <w:tcW w:w="186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rPr>
              <w:t>Term B-10 Loan</w:t>
            </w:r>
          </w:p>
        </w:tc>
        <w:tc>
          <w:tcPr>
            <w:tcW w:w="54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2.50%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3.25%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6/30/2018</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2,534,892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2,558,782</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2,490,861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ZEP Inc.</w:t>
            </w:r>
          </w:p>
        </w:tc>
        <w:tc>
          <w:tcPr>
            <w:tcW w:w="18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14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4.75%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6/27/2022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2,985,000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2,971,139</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2,932,763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303,643,756</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284,844,789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50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Cash and cash</w:t>
            </w:r>
          </w:p>
        </w:tc>
        <w:tc>
          <w:tcPr>
            <w:tcW w:w="1860" w:type="dxa"/>
            <w:vAlign w:val="bottom"/>
            <w:tcBorders>
              <w:top w:val="single" w:sz="8" w:color="CCEEFF"/>
            </w:tcBorders>
            <w:shd w:val="clear" w:color="auto" w:fill="CCEEFF"/>
          </w:tcPr>
          <w:p>
            <w:pPr>
              <w:spacing w:after="0"/>
              <w:rPr>
                <w:sz w:val="9"/>
                <w:szCs w:val="9"/>
                <w:color w:val="auto"/>
              </w:rPr>
            </w:pPr>
          </w:p>
        </w:tc>
        <w:tc>
          <w:tcPr>
            <w:tcW w:w="14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equivalents</w:t>
            </w:r>
          </w:p>
        </w:tc>
        <w:tc>
          <w:tcPr>
            <w:tcW w:w="18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U.S. Bank Money Market (a)</w:t>
            </w:r>
          </w:p>
        </w:tc>
        <w:tc>
          <w:tcPr>
            <w:tcW w:w="1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2,349,633</w:t>
            </w:r>
          </w:p>
        </w:tc>
        <w:tc>
          <w:tcPr>
            <w:tcW w:w="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2,349,633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2,349,633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15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cash and cash</w:t>
            </w:r>
          </w:p>
        </w:tc>
        <w:tc>
          <w:tcPr>
            <w:tcW w:w="186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2,349,633</w:t>
            </w:r>
          </w:p>
        </w:tc>
        <w:tc>
          <w:tcPr>
            <w:tcW w:w="60" w:type="dxa"/>
            <w:vAlign w:val="bottom"/>
            <w:vMerge w:val="restart"/>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2,349,633</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2,349,633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equivalents</w:t>
            </w:r>
          </w:p>
        </w:tc>
        <w:tc>
          <w:tcPr>
            <w:tcW w:w="18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580" w:right="2180" w:hanging="5572"/>
        <w:spacing w:after="0" w:line="449" w:lineRule="auto"/>
        <w:tabs>
          <w:tab w:leader="none" w:pos="379"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Included within cash and cash equivalents in Saratoga CLO’s Statements of Assets and Liabilities as of February 29, 2016. S-6</w:t>
      </w:r>
    </w:p>
    <w:p>
      <w:pPr>
        <w:sectPr>
          <w:pgSz w:w="11900" w:h="16838" w:orient="portrait"/>
          <w:cols w:equalWidth="0" w:num="1">
            <w:col w:w="11420"/>
          </w:cols>
          <w:pgMar w:left="240" w:top="108"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For the year</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 the year</w:t>
            </w:r>
          </w:p>
        </w:tc>
        <w:tc>
          <w:tcPr>
            <w:tcW w:w="14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For the year</w:t>
            </w:r>
          </w:p>
        </w:tc>
      </w:tr>
      <w:tr>
        <w:trPr>
          <w:trHeight w:val="149"/>
        </w:trPr>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ended</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29,</w:t>
            </w:r>
          </w:p>
        </w:tc>
        <w:tc>
          <w:tcPr>
            <w:tcW w:w="140" w:type="dxa"/>
            <w:vAlign w:val="bottom"/>
          </w:tcPr>
          <w:p>
            <w:pPr>
              <w:spacing w:after="0"/>
              <w:rPr>
                <w:sz w:val="12"/>
                <w:szCs w:val="12"/>
                <w:color w:val="auto"/>
              </w:rPr>
            </w:pPr>
          </w:p>
        </w:tc>
        <w:tc>
          <w:tcPr>
            <w:tcW w:w="9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February 28,</w:t>
            </w:r>
          </w:p>
        </w:tc>
      </w:tr>
      <w:tr>
        <w:trPr>
          <w:trHeight w:val="171"/>
        </w:trPr>
        <w:tc>
          <w:tcPr>
            <w:tcW w:w="7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INCREASE (DECREASE) FROM OPERATIONS: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Net investment income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(5,232,690)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104,587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793,848</w:t>
            </w: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 from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358,169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419,096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620,817</w:t>
            </w: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Net unrealized appreciation (depreciation)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13,458,113</w:t>
            </w: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(16,277,895)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1"/>
              </w:rPr>
              <w:t>(3,874,583)</w:t>
            </w:r>
          </w:p>
        </w:tc>
      </w:tr>
      <w:tr>
        <w:trPr>
          <w:trHeight w:val="27"/>
        </w:trPr>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increase (decrease) in net assets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8,583,592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(15,754,212)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(2,459,918)</w:t>
            </w:r>
          </w:p>
        </w:tc>
      </w:tr>
      <w:tr>
        <w:trPr>
          <w:trHeight w:val="223"/>
        </w:trPr>
        <w:tc>
          <w:tcPr>
            <w:tcW w:w="7840" w:type="dxa"/>
            <w:vAlign w:val="bottom"/>
          </w:tcPr>
          <w:p>
            <w:pPr>
              <w:ind w:left="720"/>
              <w:spacing w:after="0"/>
              <w:rPr>
                <w:sz w:val="20"/>
                <w:szCs w:val="20"/>
                <w:color w:val="auto"/>
              </w:rPr>
            </w:pPr>
            <w:r>
              <w:rPr>
                <w:rFonts w:ascii="Arial" w:cs="Arial" w:eastAsia="Arial" w:hAnsi="Arial"/>
                <w:sz w:val="18"/>
                <w:szCs w:val="18"/>
                <w:color w:val="auto"/>
              </w:rPr>
              <w:t>Total increase (decrease) in net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8,583,592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(15,754,212)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(2,459,918)</w:t>
            </w:r>
          </w:p>
        </w:tc>
        <w:tc>
          <w:tcPr>
            <w:tcW w:w="100" w:type="dxa"/>
            <w:vAlign w:val="bottom"/>
          </w:tcPr>
          <w:p>
            <w:pPr>
              <w:spacing w:after="0"/>
              <w:rPr>
                <w:sz w:val="19"/>
                <w:szCs w:val="19"/>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0"/>
              </w:rPr>
              <w:t>(21,557,368)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(5,803,156)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(3,343,238)</w:t>
            </w: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(12,973,776</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(21,557,368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(5,803,156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For the year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For the year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February 29,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INCREASE (DECREASE) IN NET ASSETS FROM OPERATIONS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8,583,592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(15,754,212)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(2,459,918)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ADJUSTMENTS TO RECONCILE NET INCREASE (DECREASE) IN NET ASSETS FROM</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TO NET CASH PROVIDED BY (USED IN) OPERATING ACTIVITIES: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700"/>
              <w:spacing w:after="0"/>
              <w:rPr>
                <w:sz w:val="20"/>
                <w:szCs w:val="20"/>
                <w:color w:val="auto"/>
              </w:rPr>
            </w:pPr>
            <w:r>
              <w:rPr>
                <w:rFonts w:ascii="Arial" w:cs="Arial" w:eastAsia="Arial" w:hAnsi="Arial"/>
                <w:sz w:val="18"/>
                <w:szCs w:val="18"/>
                <w:color w:val="auto"/>
              </w:rPr>
              <w:t>Payment-in-kind interest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(288,557)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(56,830)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on investments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(543,181)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(280,310)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700"/>
              <w:spacing w:after="0"/>
              <w:rPr>
                <w:sz w:val="20"/>
                <w:szCs w:val="20"/>
                <w:color w:val="auto"/>
              </w:rPr>
            </w:pPr>
            <w:r>
              <w:rPr>
                <w:rFonts w:ascii="Arial" w:cs="Arial" w:eastAsia="Arial" w:hAnsi="Arial"/>
                <w:sz w:val="18"/>
                <w:szCs w:val="18"/>
                <w:color w:val="auto"/>
              </w:rPr>
              <w:t>Amortization of deferred debt financing costs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829,475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955,858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953,862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6,143,816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700"/>
              <w:spacing w:after="0"/>
              <w:rPr>
                <w:sz w:val="20"/>
                <w:szCs w:val="20"/>
                <w:color w:val="auto"/>
              </w:rPr>
            </w:pPr>
            <w:r>
              <w:rPr>
                <w:rFonts w:ascii="Arial" w:cs="Arial" w:eastAsia="Arial" w:hAnsi="Arial"/>
                <w:sz w:val="18"/>
                <w:szCs w:val="18"/>
                <w:color w:val="auto"/>
              </w:rPr>
              <w:t>Net realized gain from investments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(358,169)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(419,096)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(620,817)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(13,458,113)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16,277,895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700"/>
              <w:spacing w:after="0"/>
              <w:rPr>
                <w:sz w:val="20"/>
                <w:szCs w:val="20"/>
                <w:color w:val="auto"/>
              </w:rPr>
            </w:pPr>
            <w:r>
              <w:rPr>
                <w:rFonts w:ascii="Arial" w:cs="Arial" w:eastAsia="Arial" w:hAnsi="Arial"/>
                <w:sz w:val="18"/>
                <w:szCs w:val="18"/>
                <w:color w:val="auto"/>
              </w:rPr>
              <w:t>Proceeds from sale and redemption of investments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161,551,546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142,862,138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141,358,326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 of investments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(154,519,385)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(147,989,317)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(138,738,379)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700"/>
              <w:spacing w:after="0"/>
              <w:rPr>
                <w:sz w:val="20"/>
                <w:szCs w:val="20"/>
                <w:color w:val="auto"/>
              </w:rPr>
            </w:pPr>
            <w:r>
              <w:rPr>
                <w:rFonts w:ascii="Arial" w:cs="Arial" w:eastAsia="Arial" w:hAnsi="Arial"/>
                <w:sz w:val="18"/>
                <w:szCs w:val="18"/>
                <w:color w:val="auto"/>
              </w:rPr>
              <w:t>(Increase) decrease in operating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254,697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(407,925)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60"/>
              <w:spacing w:after="0"/>
              <w:rPr>
                <w:sz w:val="20"/>
                <w:szCs w:val="20"/>
                <w:color w:val="auto"/>
              </w:rPr>
            </w:pPr>
            <w:r>
              <w:rPr>
                <w:rFonts w:ascii="Arial" w:cs="Arial" w:eastAsia="Arial" w:hAnsi="Arial"/>
                <w:sz w:val="18"/>
                <w:szCs w:val="18"/>
                <w:color w:val="auto"/>
              </w:rPr>
              <w:t>Receivable from open trades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1,186,831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(572,144)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700"/>
              <w:spacing w:after="0"/>
              <w:rPr>
                <w:sz w:val="20"/>
                <w:szCs w:val="20"/>
                <w:color w:val="auto"/>
              </w:rPr>
            </w:pPr>
            <w:r>
              <w:rPr>
                <w:rFonts w:ascii="Arial" w:cs="Arial" w:eastAsia="Arial" w:hAnsi="Arial"/>
                <w:sz w:val="18"/>
                <w:szCs w:val="18"/>
                <w:color w:val="auto"/>
              </w:rPr>
              <w:t>Increase (decrease) in operating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 Payable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405,417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60"/>
              <w:spacing w:after="0"/>
              <w:rPr>
                <w:sz w:val="20"/>
                <w:szCs w:val="20"/>
                <w:color w:val="auto"/>
              </w:rPr>
            </w:pPr>
            <w:r>
              <w:rPr>
                <w:rFonts w:ascii="Arial" w:cs="Arial" w:eastAsia="Arial" w:hAnsi="Arial"/>
                <w:sz w:val="18"/>
                <w:szCs w:val="18"/>
                <w:color w:val="auto"/>
              </w:rPr>
              <w:t>Payable for open trades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2,307,698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1,909,523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(4,230,669)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base management fee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60"/>
              <w:spacing w:after="0"/>
              <w:rPr>
                <w:sz w:val="20"/>
                <w:szCs w:val="20"/>
                <w:color w:val="auto"/>
              </w:rPr>
            </w:pPr>
            <w:r>
              <w:rPr>
                <w:rFonts w:ascii="Arial" w:cs="Arial" w:eastAsia="Arial" w:hAnsi="Arial"/>
                <w:sz w:val="18"/>
                <w:szCs w:val="18"/>
                <w:color w:val="auto"/>
              </w:rPr>
              <w:t>Accrued subordinated management fee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51,877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12,090,708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(3,482,164)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(520,470)</w:t>
            </w:r>
          </w:p>
        </w:tc>
        <w:tc>
          <w:tcPr>
            <w:tcW w:w="0" w:type="dxa"/>
            <w:vAlign w:val="bottom"/>
          </w:tcPr>
          <w:p>
            <w:pPr>
              <w:spacing w:after="0"/>
              <w:rPr>
                <w:sz w:val="1"/>
                <w:szCs w:val="1"/>
                <w:color w:val="auto"/>
              </w:rPr>
            </w:pPr>
          </w:p>
        </w:tc>
      </w:tr>
      <w:tr>
        <w:trPr>
          <w:trHeight w:val="223"/>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Borrowings on debt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282,320,000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Paydowns on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(282,457,781)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(1,666,666)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(1,256,005)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(1,393,786)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(1,666,666)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10,696,922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(3,482,164)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(2,187,136)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2,349,633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5,831,797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8,018,933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13,046,555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2,349,633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5,831,797</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Supplemental Information:</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 during the period</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12,169,421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11,702,603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9,625,726</w:t>
            </w:r>
          </w:p>
        </w:tc>
        <w:tc>
          <w:tcPr>
            <w:tcW w:w="0" w:type="dxa"/>
            <w:vAlign w:val="bottom"/>
          </w:tcPr>
          <w:p>
            <w:pPr>
              <w:spacing w:after="0"/>
              <w:rPr>
                <w:sz w:val="1"/>
                <w:szCs w:val="1"/>
                <w:color w:val="auto"/>
              </w:rPr>
            </w:pPr>
          </w:p>
        </w:tc>
      </w:tr>
      <w:tr>
        <w:trPr>
          <w:trHeight w:val="324"/>
        </w:trPr>
        <w:tc>
          <w:tcPr>
            <w:tcW w:w="7100" w:type="dxa"/>
            <w:vAlign w:val="bottom"/>
            <w:gridSpan w:val="2"/>
          </w:tcPr>
          <w:p>
            <w:pPr>
              <w:spacing w:after="0"/>
              <w:rPr>
                <w:sz w:val="20"/>
                <w:szCs w:val="20"/>
                <w:color w:val="auto"/>
              </w:rPr>
            </w:pPr>
            <w:r>
              <w:rPr>
                <w:rFonts w:ascii="Arial" w:cs="Arial" w:eastAsia="Arial" w:hAnsi="Arial"/>
                <w:sz w:val="18"/>
                <w:szCs w:val="18"/>
                <w:color w:val="auto"/>
              </w:rPr>
              <w:t>Supplemental non-cash information: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Paid-in-kind interest income</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288,557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Net accretion of discount on investments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543,181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280,310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454,809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debt financing costs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829,475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955,858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953,862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Purpose</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Saratoga Investment Corp. CLO 2013-1, Ltd. (the “Issuer”, “we”, “our”, “us”, “CLO” and “Saratoga CLO”), an exempted company with limited liability incorporated under the laws of the Cayman Islands was formed on November 28, 2007 and commenced operations on January 22, 2008. The Issuer was established to acquire or participate in U.S. dollar-denominated corporate debt obligations.</w:t>
      </w:r>
    </w:p>
    <w:p>
      <w:pPr>
        <w:spacing w:after="0" w:line="18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On January 22, 2008, the Issuer issued $400.0 million of notes, consisting of Class A Floating Rate Senior Notes, Class B Floating Rate Senior Notes, Class C Deferrable Floating Rate Notes, Class D Deferrable Floating Rate Notes, Class E Deferrable Floating Rate Notes (collectively the “Secured Notes”), and Subordinated Notes. The notes were issued pursuant to an indenture, dated January 22, 2008 (the “Indenture”), with U.S. Bank National Association (the “Trustee”) servicing as the Trustee there under.</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October 17, 2013, in a refinancing transaction, the Issuer issued $284.9 million of notes (the “2013-1 CLO Notes”), consisting of Class X Floating Rate Senior Notes, Class A-1 Floating Rate Senior Notes, Class A-2 Floating Rate Senior Notes, Class B Floating Rate Senior Notes, Class C Deferrable Floating Rate Notes, Class D Deferrable Floating Rate Notes, Class E Deferrable Floating Rate Notes, and Class F Deferrable Floating Rate Notes. The 2013-1 CLO Notes were issued pursuant to the Indenture with the same Trustee. Proceeds of the issuance of the 2013-1 CLO Notes were used, along with existing assets held by the Trustee, to redeem all of the Secured Notes issued in 2008.</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15, 2016, the Issuer completed the second refinancing and the Issuer issued $282.4 million of notes (the “2013-1 Amended CLO Notes”), consisting of Class A-1 Floating Rate Senior Notes, Class A-2 Floating Rate Senior Notes, Class B Floating Rate Senior Notes, Class C Deferrable Floating Rate Notes, Class D Deferrable Floating Rate Notes, Class E Deferrable Floating Rate Notes, and Class F Deferrable Floating Rate Notes. The 2013-1 Amended CLO Notes were issued pursuant to the Indenture with the same Trustee. Proceeds of the issuance of the 2013-1 Amended CLO Notes were used, along with existing assets held by the Trustee, to redeem all of the 2013-1 CLO Notes issued in 2013. As of February 28, 2017, Saratoga Investment Corp. owned 100% of the Subordinated Notes of the CLO.</w:t>
      </w:r>
    </w:p>
    <w:p>
      <w:pPr>
        <w:spacing w:after="0" w:line="193" w:lineRule="exact"/>
        <w:rPr>
          <w:sz w:val="20"/>
          <w:szCs w:val="20"/>
          <w:color w:val="auto"/>
        </w:rPr>
      </w:pPr>
    </w:p>
    <w:p>
      <w:pPr>
        <w:ind w:right="460" w:firstLine="456"/>
        <w:spacing w:after="0" w:line="312" w:lineRule="auto"/>
        <w:rPr>
          <w:sz w:val="20"/>
          <w:szCs w:val="20"/>
          <w:color w:val="auto"/>
        </w:rPr>
      </w:pPr>
      <w:r>
        <w:rPr>
          <w:rFonts w:ascii="Arial" w:cs="Arial" w:eastAsia="Arial" w:hAnsi="Arial"/>
          <w:sz w:val="16"/>
          <w:szCs w:val="16"/>
          <w:color w:val="auto"/>
        </w:rPr>
        <w:t>Pursuant to an investment management agreement (the “Investment Management Agreement”), Saratoga Investment Corp. (the “Investment Manager”), provides investment management services to the Issuer, and makes day-to-day investment decisions concerning the assets of the Issuer. The Investment Manager also performs certain administrative services on behalf of the Issuer under the Investment Management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right="140" w:firstLine="456"/>
        <w:spacing w:after="0" w:line="342" w:lineRule="auto"/>
        <w:rPr>
          <w:sz w:val="20"/>
          <w:szCs w:val="20"/>
          <w:color w:val="auto"/>
        </w:rPr>
      </w:pPr>
      <w:r>
        <w:rPr>
          <w:rFonts w:ascii="Arial" w:cs="Arial" w:eastAsia="Arial" w:hAnsi="Arial"/>
          <w:sz w:val="16"/>
          <w:szCs w:val="16"/>
          <w:color w:val="auto"/>
        </w:rPr>
        <w:t>The accompanying financial statements have been prepared in accordance with U.S. generally accepted accounting principles (“U.S. GAAP”) and are stated in U.S. dollars. The following is a summary of the significant accounting policies followed by the Issuer in the preparation of its financial statements.</w:t>
      </w:r>
    </w:p>
    <w:p>
      <w:pPr>
        <w:spacing w:after="0" w:line="124"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 xml:space="preserve">The Issuer is considered to be an investment company for financial reporting purposes and has applied the guidance in accordance with the Financial Accounting Standards Board (“FASB”) Accounting Standards Codification (“ASC”) Topic 946, </w:t>
      </w:r>
      <w:r>
        <w:rPr>
          <w:rFonts w:ascii="Arial" w:cs="Arial" w:eastAsia="Arial" w:hAnsi="Arial"/>
          <w:sz w:val="17"/>
          <w:szCs w:val="17"/>
          <w:i w:val="1"/>
          <w:iCs w:val="1"/>
          <w:color w:val="auto"/>
        </w:rPr>
        <w:t>“Financial Services—Investment Companies.”</w:t>
      </w:r>
      <w:r>
        <w:rPr>
          <w:rFonts w:ascii="Arial" w:cs="Arial" w:eastAsia="Arial" w:hAnsi="Arial"/>
          <w:sz w:val="17"/>
          <w:szCs w:val="17"/>
          <w:color w:val="auto"/>
        </w:rPr>
        <w:t xml:space="preserve"> There has been no change to the Issuer’s status as an investment company during the year ended February 28, 2017.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preparation of the financial statements in conformity with U.S. GAAP requires the Investment Manager to make estimates and assumptions that affect the reported amounts of assets and liabilities at the date of the financial statements, including the fair value of investments, and the amounts of income and expenses during the reporting period. Actual results could differ from these estimates and such differences could be material.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Issuer defines cash and cash equivalents as highly liquid financial instruments with original maturities of three months or less. Cash and cash equivalents may include investments in money market mutual funds, which are carried at fair value. At February 28, 2017 and February 29, 2016, cash and cash equivalents amounted to $13.0 million and $2.3 million, respectively, and are swept on an overnight basis into a money market deposit account and invested in shares of JP Morgan Liquidity Institutional fund held at the Trustee.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Investments</w:t>
      </w:r>
    </w:p>
    <w:p>
      <w:pPr>
        <w:spacing w:after="0" w:line="11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 Issuer accounts for its investments at fair value in accordance with the FASB ASC Topic 820, Fair Value Measurements and Disclosures (“ASC 820”). ASC 820 defines fair value, establishes a framework for measuring fair value, establishes a fair value hierarchy based on the quality of inputs used to measure fair value and enhances disclosure requirements for fair value measurements. ASC 820 requires the Issuer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7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the Investment Manager to approve a fair value determination to reflect significant events affecting the value of these investments. The Investment Manager values investments for which market quotations are not readily available at fair value. Determinations of fair value may involve significant judgments and estimates. The types of factors that may be considered in determining the fair value of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65"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are ultimately realized upon the disposal of such investments.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Transactions and Income Recognition</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Issuer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the Investment Manager’s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Payment-in-Kind Interest</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Issuer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Debt Financing Costs,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In April 2015, the FASB has issued Accounting Standards Update (“ASU”) No. 2015-03, </w:t>
      </w:r>
      <w:r>
        <w:rPr>
          <w:rFonts w:ascii="Arial" w:cs="Arial" w:eastAsia="Arial" w:hAnsi="Arial"/>
          <w:sz w:val="17"/>
          <w:szCs w:val="17"/>
          <w:i w:val="1"/>
          <w:iCs w:val="1"/>
          <w:color w:val="auto"/>
        </w:rPr>
        <w:t>Interest—Imputation of Interest (Subtopic 835-30):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Simplifying the Presentation of Debt Issuance Costs </w:t>
      </w:r>
      <w:r>
        <w:rPr>
          <w:rFonts w:ascii="Arial" w:cs="Arial" w:eastAsia="Arial" w:hAnsi="Arial"/>
          <w:sz w:val="18"/>
          <w:szCs w:val="18"/>
          <w:color w:val="auto"/>
        </w:rPr>
        <w:t>(“ASU 2015-03”). The amendments in this ASU require that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ASU. The guidance is effective for fiscal years, and interim periods within those fiscal years, beginning after December 15, 2015, and early adoption is allowed, and is to be applied on a retrospective basis. Management has adopted the provisions of ASU 2015-03 as of February 28, 2015, by reclassifying deferred debt financing costs from within total assets to within total liabilities as a contra-liability. The adoption of the provisions of ASU 2015-03 did not materially impact the Issuer’s financial position or results of operations. Prior period amounts were reclassified to conform to the current period presentation.</w:t>
      </w:r>
    </w:p>
    <w:p>
      <w:pPr>
        <w:spacing w:after="0" w:line="16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Included in deferred debt financing costs of $1.2 million as of February 28, 2017 and $1.7 million as of February 29, 2016 are structuring fees of the investment bank, rating agency fees and legal fees associated with the issuance of the 2013-1 CLO Notes on October 17, 2013. Such costs have been capitalized and amortized using an effective yield method, over the life of the related notes.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Deferred debt financing costs of $1.5 million, incurred in connection with the issuance of the 2013-1 CLO Notes, were expensed when the 2013-1 CLO Notes were extinguished on November 15,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Issuer is externally managed by the Investment Manager pursuant to the Investment Management Agreement. As compensation for the performance of its obligations under the Investment Management Agreement, the Investment Manager is entitled to receive from the Issuer a base management fee (the “Base Management Fee”), a subordinated management fee (the “Subordinated Management Fee”) and an incentive management fee (the “Incentive Management Fee”). The Base Management Fee is payable in arrears quarterly (subject to availability of funds and to the satisfaction of payment obligations on the debt obligations of the Issuer (the “Priority of Payments”)) and prior to the second refinancing and the issuance of the 2013-1 Amended CLO Notes, was payable in an amount equal to 0.25% per annum of the fee basis amount at the beginning of the Collection period. The Subordinated Management Fee is payable in arrears quarterly (subject to availability of funds and to the Priority of Payments) and prior to the second refinancing and the issuance of the 2013-1 Amended CLO Notes, was payable in an amount equal to 0.25% per annum of the fee basis amount at the beginning of the Collection Period. Subsequent to the second refinancing and the issuance of the 2013-1 Amended CLO Notes, the Base Management Fee was changed to be payable in an amount equal to 0.10% per annum of the fee basis amount at the beginning of the Collection period, and the Subordinated Management Fees was changed to be payable in an amount equal to 0.40% per annum of the fee basis amount at the beginning of the Collection period. Throughout, the Incentive Management Fee equals 20.0% of the remaining interest proceeds and principal proceeds, if any, after the Subordinated Notes have realized the incentive management fee target return of 12.0%, in accordance with the Priority of Payments after making the prior distributions on the relevant payment date. For the years ended February 28, 2017, February 29, 2016 and February 28, 2015, no Incentive Management Fees have been paid.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Issuer bears its own organizational and offering expenses, all expenses related to its investment program and expenses incurred in connection with its operations including, but not limited to, external legal, administrative, trustee, accounting, tax and audit expenses, costs related to trading, acquiring, monitoring or disposing of investments of the Issuer, and interest and other borrowing expenses, expenses of preparing and distributing reports, financial statements, and litigation or other extraordinary expenses. The Issuer has retained the Trustee to provide trustee services. Additionally, the Trustee performs loan administration, debt covenant compliance calculations, and monitoring and reporting services. For the years ended February 28, 2017, February 29, 2016 and February 28, 2015, the Issuer paid $0.1 million, $0.1 million, $0.1 million, respectively, for trustee services provided and is included on the statements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Issuer has issued rated and unrated notes to finance its operations. Interest on debt is calculated by the Trustee for the Issuer. Interest is accrued and generally paid quarterly. For the years ended February 28, 2017, February 29, 2016 and February 28, 2015, $4.7 million, $5.6 million and $3.7 million of payments to the Subordinated Notes were included in interest expense on the statements of operations, respectively.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In the ordinary course of its business, the Issuer manages a variety of risks, including market risk and credit risk. Market risk is the risk of potential adverse changes to the value of investments because of changes in market conditions such as interest rate movements and volatility in investment prices.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risk is the risk of default or non-performance by portfolio companies, equivalent to the investment’s carrying amount.</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Issuer is also exposed to credit risk related to maintaining all of its cash and cash equivalents, including those in reserve accounts, at a major financial institution.</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Issuer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In August 2016, the FASB issued ASU 2016-15, Statement of Cash Flows (Topic 230),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xml:space="preserve"> (“ASU 2016-15”), which is intended to reduce the existing diversity in practice in how certain cash receipts and cash payments are presented and classified in the statement of cash flows. The guidance is effective for annual periods beginning after December 15, 2017, and interim periods therein. Early adoption is permitted. Management is currently evaluating the impact the adoption of this standard has on the Issuer’s financial statements and disclosures.</w:t>
      </w:r>
    </w:p>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Amendments to the Leases</w:t>
      </w:r>
      <w:r>
        <w:rPr>
          <w:rFonts w:ascii="Arial" w:cs="Arial" w:eastAsia="Arial" w:hAnsi="Arial"/>
          <w:sz w:val="18"/>
          <w:szCs w:val="18"/>
          <w:color w:val="auto"/>
        </w:rPr>
        <w:t xml:space="preserve"> (“ASU Topic 842”), which will require for all operating leases the recognition of a right-of-use asset and a lease liability, in the statement of financial position. The lease cost will be allocated over the lease term on a straight-line basis. This guidance is effective for annual and interim periods beginning after December 15, 2018. Management is currently evaluating the impact the adoption of this standard has on the Issuer’s financial statements and disclosures.</w:t>
      </w:r>
    </w:p>
    <w:p>
      <w:pPr>
        <w:spacing w:after="0" w:line="18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retains many current requirements for the classification and measurement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however, it significantly revises an entity’s accounting related to (1) the classification and measurement of investments in equity securities and</w:t>
      </w:r>
    </w:p>
    <w:p>
      <w:pPr>
        <w:ind w:firstLine="8"/>
        <w:spacing w:after="0" w:line="254"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presentation of certain fair value changes for financial liabilities measured at fair value. ASU 2016-01 also amends certain disclosure requirements associated with the fair value of financial instruments. This guidance is effective for annual and interim periods beginning after December 15, 2017, and early adoption is not permitted for public business entities. Management is currently evaluating the impact the adoption of this standard has on the Issuer’s financial statements and disclosures.</w:t>
      </w:r>
    </w:p>
    <w:p>
      <w:pPr>
        <w:spacing w:after="0" w:line="190"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 xml:space="preserve">In May 2014, the FASB issued ASU </w:t>
      </w:r>
      <w:r>
        <w:rPr>
          <w:rFonts w:ascii="Arial" w:cs="Arial" w:eastAsia="Arial" w:hAnsi="Arial"/>
          <w:sz w:val="18"/>
          <w:szCs w:val="18"/>
          <w:i w:val="1"/>
          <w:iCs w:val="1"/>
          <w:color w:val="auto"/>
        </w:rPr>
        <w:t>2014-09, Revenue from Contracts with Customers (Topic 606)</w:t>
      </w:r>
      <w:r>
        <w:rPr>
          <w:rFonts w:ascii="Arial" w:cs="Arial" w:eastAsia="Arial" w:hAnsi="Arial"/>
          <w:sz w:val="18"/>
          <w:szCs w:val="18"/>
          <w:color w:val="auto"/>
        </w:rPr>
        <w:t>, which supersedes the revenue recognition requirements in Revenue Recognition (Topic 605). Under the new guidance, an entity should recognize revenue to depict the transfer of promised goods or services to customers in an amount that reflects the consideration to which the entity expects to be entitled in exchange for those goods or services. In May 2016, ASU 2016-12 amended ASU 2014-09 and deferred the effective period to December 15, 2017. Management is currently evaluating the impact these changes will have on the Issuer’s financial statements and disclosures.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noted above, the Issuer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Issuer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87"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Issuer has the ability to access.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2—Valuations based on inputs other than quoted prices in active markets, which are either directly or indirectly observable.</w:t>
      </w:r>
    </w:p>
    <w:p>
      <w:pPr>
        <w:spacing w:after="0" w:line="130" w:lineRule="exact"/>
        <w:rPr>
          <w:rFonts w:ascii="Arial" w:cs="Arial" w:eastAsia="Arial" w:hAnsi="Arial"/>
          <w:sz w:val="18"/>
          <w:szCs w:val="18"/>
          <w:color w:val="auto"/>
        </w:rPr>
      </w:pPr>
    </w:p>
    <w:p>
      <w:pPr>
        <w:ind w:left="900" w:right="40" w:hanging="325"/>
        <w:spacing w:after="0" w:line="25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The inputs used in the determination of fair value may require significant management judgment or estimation.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a Level 3 asset, assuming no additional corroborating evidence.</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addition to using the above inputs in investment valuations, the Issuer continues to employ the valuation policy that is consistent with ASC 820 and the 1940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fair value measurements of investments, by major class, as of February 28, 2017, according to the fair value hierarchy:</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Fair Value Measurements</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2"/>
                <w:szCs w:val="12"/>
                <w:color w:val="auto"/>
              </w:rPr>
            </w:pPr>
          </w:p>
        </w:tc>
        <w:tc>
          <w:tcPr>
            <w:tcW w:w="146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2"/>
              </w:rPr>
              <w:t>Level 2</w:t>
            </w:r>
          </w:p>
        </w:tc>
        <w:tc>
          <w:tcPr>
            <w:tcW w:w="10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00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$241,228,228</w:t>
            </w:r>
          </w:p>
        </w:tc>
        <w:tc>
          <w:tcPr>
            <w:tcW w:w="4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$51,209,702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$292,437,930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Equity interests</w:t>
            </w: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22,718</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22,718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241,228,228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51,232,420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292,460,648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fair value measurements of investments, by major class, as of February 29, 2016, according to the fair value hierarchy:</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Fair Value Measurements</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2"/>
                <w:szCs w:val="12"/>
                <w:color w:val="auto"/>
              </w:rPr>
            </w:pPr>
          </w:p>
        </w:tc>
        <w:tc>
          <w:tcPr>
            <w:tcW w:w="146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Level 2</w:t>
            </w:r>
          </w:p>
        </w:tc>
        <w:tc>
          <w:tcPr>
            <w:tcW w:w="10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00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$239,255,853</w:t>
            </w:r>
          </w:p>
        </w:tc>
        <w:tc>
          <w:tcPr>
            <w:tcW w:w="4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$45,397,073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$284,652,926</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Equity interests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190,095</w:t>
            </w:r>
          </w:p>
        </w:tc>
        <w:tc>
          <w:tcPr>
            <w:tcW w:w="4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191,863</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239,445,948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45,398,841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284,844,789</w:t>
            </w:r>
          </w:p>
        </w:tc>
        <w:tc>
          <w:tcPr>
            <w:tcW w:w="2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into or out of Level 1, 2 or 3 are recognized at the reporting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a reconciliation of the beginning and ending balances for investments that use Level 3 inputs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Term Loans</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Equity Interest</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10"/>
        </w:trPr>
        <w:tc>
          <w:tcPr>
            <w:tcW w:w="920" w:type="dxa"/>
            <w:vAlign w:val="bottom"/>
          </w:tcPr>
          <w:p>
            <w:pPr>
              <w:spacing w:after="0"/>
              <w:rPr>
                <w:sz w:val="18"/>
                <w:szCs w:val="18"/>
                <w:color w:val="auto"/>
              </w:rPr>
            </w:pPr>
          </w:p>
        </w:tc>
        <w:tc>
          <w:tcPr>
            <w:tcW w:w="5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February 29, 2016</w:t>
            </w: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$ 45,397,073</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6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$ 45,398,841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Net unrealized appreciation (depreciation)</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2,181,976</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(169,145)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2,012,831</w:t>
            </w:r>
          </w:p>
        </w:tc>
      </w:tr>
      <w:tr>
        <w:trPr>
          <w:trHeight w:val="216"/>
        </w:trPr>
        <w:tc>
          <w:tcPr>
            <w:tcW w:w="9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23,317,031</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23,317,031</w:t>
            </w:r>
          </w:p>
        </w:tc>
      </w:tr>
      <w:tr>
        <w:trPr>
          <w:trHeight w:val="216"/>
        </w:trPr>
        <w:tc>
          <w:tcPr>
            <w:tcW w:w="9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Sales and repayments</w:t>
            </w:r>
          </w:p>
        </w:tc>
        <w:tc>
          <w:tcPr>
            <w:tcW w:w="1580" w:type="dxa"/>
            <w:vAlign w:val="bottom"/>
            <w:gridSpan w:val="4"/>
          </w:tcPr>
          <w:p>
            <w:pPr>
              <w:jc w:val="right"/>
              <w:ind w:right="540"/>
              <w:spacing w:after="0"/>
              <w:rPr>
                <w:sz w:val="20"/>
                <w:szCs w:val="20"/>
                <w:color w:val="auto"/>
              </w:rPr>
            </w:pPr>
            <w:r>
              <w:rPr>
                <w:rFonts w:ascii="Arial" w:cs="Arial" w:eastAsia="Arial" w:hAnsi="Arial"/>
                <w:sz w:val="18"/>
                <w:szCs w:val="18"/>
                <w:color w:val="auto"/>
                <w:w w:val="99"/>
              </w:rPr>
              <w:t>(10,891,325)</w:t>
            </w:r>
          </w:p>
        </w:tc>
        <w:tc>
          <w:tcPr>
            <w:tcW w:w="20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(10,891,325)</w:t>
            </w:r>
          </w:p>
        </w:tc>
      </w:tr>
      <w:tr>
        <w:trPr>
          <w:trHeight w:val="216"/>
        </w:trPr>
        <w:tc>
          <w:tcPr>
            <w:tcW w:w="9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95,892</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95,892</w:t>
            </w:r>
          </w:p>
        </w:tc>
      </w:tr>
      <w:tr>
        <w:trPr>
          <w:trHeight w:val="216"/>
        </w:trPr>
        <w:tc>
          <w:tcPr>
            <w:tcW w:w="9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Transfers in (1)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6,387,646</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190,095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6,577,741</w:t>
            </w:r>
          </w:p>
        </w:tc>
      </w:tr>
      <w:tr>
        <w:trPr>
          <w:trHeight w:val="216"/>
        </w:trPr>
        <w:tc>
          <w:tcPr>
            <w:tcW w:w="9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 (2)</w:t>
            </w:r>
          </w:p>
        </w:tc>
        <w:tc>
          <w:tcPr>
            <w:tcW w:w="15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9"/>
              </w:rPr>
              <w:t>(15,278,591)</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(15,278,591)</w:t>
            </w:r>
          </w:p>
        </w:tc>
      </w:tr>
      <w:tr>
        <w:trPr>
          <w:trHeight w:val="223"/>
        </w:trPr>
        <w:tc>
          <w:tcPr>
            <w:tcW w:w="9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Balance as of February 28, 2017</w:t>
            </w: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$ 51,209,702</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22,718</w:t>
            </w:r>
          </w:p>
        </w:tc>
        <w:tc>
          <w:tcPr>
            <w:tcW w:w="6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$ 51,232,420</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hanging="452"/>
        <w:spacing w:after="0" w:line="25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Issuer’s investment in Level 3 investments were classified as such during the year ended February 28, 2017, as market quotes for these investments are only provided by one trading desk.</w:t>
      </w:r>
    </w:p>
    <w:p>
      <w:pPr>
        <w:spacing w:after="0" w:line="1"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Issuer’s investment into Level 2 investments were classified as such during the year ended February 28, 2017, as the number of observable market quotes for these investments increased.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a reconciliation of the beginning and ending balances for investments that use Level 3 inputs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Term Loans</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Equity Interest</w:t>
            </w: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10"/>
        </w:trPr>
        <w:tc>
          <w:tcPr>
            <w:tcW w:w="9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February 28, 2015</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Net unrealized depreciation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(2,839,083)</w:t>
            </w:r>
          </w:p>
        </w:tc>
        <w:tc>
          <w:tcPr>
            <w:tcW w:w="2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(615,683)</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(3,454,766)</w:t>
            </w:r>
          </w:p>
        </w:tc>
      </w:tr>
      <w:tr>
        <w:trPr>
          <w:trHeight w:val="216"/>
        </w:trPr>
        <w:tc>
          <w:tcPr>
            <w:tcW w:w="9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19,713,411</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19,713,411</w:t>
            </w:r>
          </w:p>
        </w:tc>
      </w:tr>
      <w:tr>
        <w:trPr>
          <w:trHeight w:val="216"/>
        </w:trPr>
        <w:tc>
          <w:tcPr>
            <w:tcW w:w="9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Sales and repayments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(10,930,430)</w:t>
            </w:r>
          </w:p>
        </w:tc>
        <w:tc>
          <w:tcPr>
            <w:tcW w:w="20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(10,930,430)</w:t>
            </w:r>
          </w:p>
        </w:tc>
      </w:tr>
      <w:tr>
        <w:trPr>
          <w:trHeight w:val="216"/>
        </w:trPr>
        <w:tc>
          <w:tcPr>
            <w:tcW w:w="9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6,887</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6,887</w:t>
            </w:r>
          </w:p>
        </w:tc>
      </w:tr>
      <w:tr>
        <w:trPr>
          <w:trHeight w:val="223"/>
        </w:trPr>
        <w:tc>
          <w:tcPr>
            <w:tcW w:w="9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Transfers in (1)</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39,446,288</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617,451</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40,063,739</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February 29, 2016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45,397,073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45,398,841</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hanging="452"/>
        <w:spacing w:after="0" w:line="277"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Issuer’s investment in Level 3 investments were classified as such during the year ended February 29, 2016, as market quotes for these investments are only provided by one trading desk.</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Transfers into or out of Level 3 are recognized at the reporting date.</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The net unrealized appreciation on Level 3 investments held as of February 28, 2017 was $2.1 million, and is included in net unrealized appreciation (depreciation) on investments in the statements of operations. The net unrealized depreciation on Level 3 investments held as of February 29, 2016 was $3.4 million, and is included in net unrealized appreciation (depreciation) on investments in the statements of operations.</w:t>
      </w:r>
    </w:p>
    <w:p>
      <w:pPr>
        <w:spacing w:after="0" w:line="166"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Significant unobservable inputs used in the fair value measurement of the Level 3 term loans and equity include market quotations available from multiple dealers. A significant increase (decrease) in the market quote, in isolation, would result in a significantly lower (higher) fair value measurement.</w:t>
      </w:r>
    </w:p>
    <w:p>
      <w:pPr>
        <w:spacing w:after="0" w:line="12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28, 2017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Valuation Technique</w:t>
            </w: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Unobservable Input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51,209,702</w:t>
            </w:r>
          </w:p>
        </w:tc>
        <w:tc>
          <w:tcPr>
            <w:tcW w:w="3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Market Comparables</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Third-Party Bid</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93.00% - 101.63%</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Equity interests</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22,718</w:t>
            </w: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Market Comparables</w:t>
            </w: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Third-Party Bid</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 - 1.06%</w:t>
            </w:r>
          </w:p>
        </w:tc>
      </w:tr>
    </w:tbl>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29, 2016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1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Valuation Technique</w:t>
            </w: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Unobservable Input</w:t>
            </w:r>
          </w:p>
        </w:tc>
        <w:tc>
          <w:tcPr>
            <w:tcW w:w="1340" w:type="dxa"/>
            <w:vAlign w:val="bottom"/>
            <w:gridSpan w:val="2"/>
          </w:tcPr>
          <w:p>
            <w:pPr>
              <w:ind w:left="460"/>
              <w:spacing w:after="0"/>
              <w:rPr>
                <w:sz w:val="20"/>
                <w:szCs w:val="20"/>
                <w:color w:val="auto"/>
              </w:rPr>
            </w:pPr>
            <w:r>
              <w:rPr>
                <w:rFonts w:ascii="Arial" w:cs="Arial" w:eastAsia="Arial" w:hAnsi="Arial"/>
                <w:sz w:val="14"/>
                <w:szCs w:val="14"/>
                <w:b w:val="1"/>
                <w:bCs w:val="1"/>
                <w:color w:val="auto"/>
              </w:rPr>
              <w:t>Range</w:t>
            </w: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45,397,073</w:t>
            </w:r>
          </w:p>
        </w:tc>
        <w:tc>
          <w:tcPr>
            <w:tcW w:w="3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Market Comparables</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Third-Party Bid</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32.00%</w:t>
            </w:r>
          </w:p>
        </w:tc>
        <w:tc>
          <w:tcPr>
            <w:tcW w:w="7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7"/>
              </w:rPr>
              <w:t>- 100.00%</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Equity interests</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1,768</w:t>
            </w: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Market Comparables</w:t>
            </w: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Third-Party Bid</w:t>
            </w: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780" w:type="dxa"/>
            <w:vAlign w:val="bottom"/>
          </w:tcPr>
          <w:p>
            <w:pPr>
              <w:ind w:left="40"/>
              <w:spacing w:after="0"/>
              <w:rPr>
                <w:sz w:val="20"/>
                <w:szCs w:val="20"/>
                <w:color w:val="auto"/>
              </w:rPr>
            </w:pPr>
            <w:r>
              <w:rPr>
                <w:rFonts w:ascii="Arial" w:cs="Arial" w:eastAsia="Arial" w:hAnsi="Arial"/>
                <w:sz w:val="18"/>
                <w:szCs w:val="18"/>
                <w:color w:val="auto"/>
                <w:w w:val="99"/>
              </w:rPr>
              <w:t>- 12.83%</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Financing</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On January 22, 2008, the Issuer issued $400.0 million of notes, consisting of Class A Floating Rate Senior Notes, Class B Floating Rate Senior Notes, Class C Deferrable Floating Rate Notes, Class D Deferrable Floating Rate Notes, Class E Deferrable Floating Rate Notes (collectively the “Secured Notes”), and Subordinated Notes. The notes were issued pursuant to the Indenture.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Secured Notes are limited recourse obligations of the Issuer. The Subordinated Notes are unsecured, limited recourse debt obligations of the Issuer.</w:t>
      </w:r>
    </w:p>
    <w:p>
      <w:pPr>
        <w:spacing w:after="0" w:line="24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On October 17, 2013, the Issuer issued $284.9 million of notes (the “2013-1 CLO Notes”), consisting of Class X Floating Rate Senior Notes, Class A-1 Floating Rate Senior Notes, Class A-2 Floating Rate Senior Notes, Class B Floating Rate Senior Notes, Class C Deferrable Floating Rate Notes, Class D Deferrable Floating Rate Notes, Class E Deferrable Floating Rate Notes, and Class F Deferrable Floating Rate Notes. The 2013-1 CLO Notes were issued pursuant to the Indenture with the same Trustee. Proceeds of the issuance of the 2013-1 CLO Notes were used along with existing assets held by the Trustee to redeem all of the Secured Notes issued in 2008. The Subordinated Notes were not included in the refinancing transaction.</w:t>
      </w:r>
    </w:p>
    <w:p>
      <w:pPr>
        <w:spacing w:after="0" w:line="15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On November 15, 2016, the Issuer issued $282.4 million of the 2013-1 Amended CLO Notes, consisting of Class A-1 Floating Rate Senior Notes, Class A-2 Floating Rate Senior Notes, Class B Floating Rate Senior Notes, Class C Deferrable Floating Rate Notes, Class D Deferrable Floating Rate Notes, Class E Deferrable Floating Rate Notes, and Class F Deferrable Floating Rate Notes. The 2013-1 CLO Notes were issued pursuant to the Indenture with the same Trustee. Proceeds of the issuance of the 2013-1 Amended CLO Notes were used along with existing assets held by the Trustee to redeem all of the 2013-1 CLO Notes issued in 2013. The Subordinated Notes were not included in the refinancing transaction.</w:t>
      </w:r>
    </w:p>
    <w:p>
      <w:pPr>
        <w:spacing w:after="0" w:line="173"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The 2013-1 Amended CLO Notes are limited recourse obligations of the Issuer. The Subordinated Notes are unsecured, limited recourse debt obligations of the Issuer.</w:t>
      </w:r>
    </w:p>
    <w:p>
      <w:pPr>
        <w:spacing w:after="0" w:line="170" w:lineRule="exact"/>
        <w:rPr>
          <w:sz w:val="20"/>
          <w:szCs w:val="20"/>
          <w:color w:val="auto"/>
        </w:rPr>
      </w:pPr>
    </w:p>
    <w:p>
      <w:pPr>
        <w:ind w:right="300" w:firstLine="456"/>
        <w:spacing w:after="0" w:line="273" w:lineRule="auto"/>
        <w:rPr>
          <w:sz w:val="20"/>
          <w:szCs w:val="20"/>
          <w:color w:val="auto"/>
        </w:rPr>
      </w:pPr>
      <w:r>
        <w:rPr>
          <w:rFonts w:ascii="Arial" w:cs="Arial" w:eastAsia="Arial" w:hAnsi="Arial"/>
          <w:sz w:val="17"/>
          <w:szCs w:val="17"/>
          <w:color w:val="auto"/>
        </w:rPr>
        <w:t>The relative order of seniority of payment of each class of securities is, as follows: first, Class X Notes, second, Class A-1 Notes, third, Class A-2 Notes, fourth, Class B Notes, fifth, Class C Notes, sixth, Class D Notes, seventh, Class E Notes, eighth, Class F Notes, and ninth, the Subordinated Notes, with (a) each class of securities (other than the Subordinated Notes) in such list being senior to each other class of securities that follows such class of securities in such list and (b) each class of securities (other than the Class X Notes) in such list being subordinate to each other class of securities that precedes such class of securities in such list. The Subordinated Notes are subordinated to the 2013-1 Amended CLO Notes and are entitled to periodic payments from interest proceeds available in accordance with the Priority of Payments.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below sets forth certain information for each outstanding class of notes issued, pursuant to the Indenture on November 15, 2016,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 Security</w:t>
            </w:r>
          </w:p>
        </w:tc>
        <w:tc>
          <w:tcPr>
            <w:tcW w:w="16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Interest Rate</w:t>
            </w:r>
          </w:p>
        </w:tc>
        <w:tc>
          <w:tcPr>
            <w:tcW w:w="16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Maturity</w:t>
            </w: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Principal</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480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A-1</w:t>
            </w: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Floating Rate Senior Notes</w:t>
            </w:r>
          </w:p>
        </w:tc>
        <w:tc>
          <w:tcPr>
            <w:tcW w:w="1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3"/>
              </w:rPr>
              <w:t>LIBOR + 1.55%</w:t>
            </w:r>
          </w:p>
        </w:tc>
        <w:tc>
          <w:tcPr>
            <w:tcW w:w="3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October 20, 2025</w:t>
            </w:r>
          </w:p>
        </w:tc>
        <w:tc>
          <w:tcPr>
            <w:tcW w:w="3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$170,000,000</w:t>
            </w:r>
          </w:p>
        </w:tc>
        <w:tc>
          <w:tcPr>
            <w:tcW w:w="3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$170,000,000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Class A-2 Floating Rate Senior Notes</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LIBOR + 1.75%</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October 20, 2025</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20,000,000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Floating Rate Senior Notes</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LIBOR + 2.70%</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October 20, 2025</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44,800,000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44,800,000</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Class C Deferrable Floating Rate Notes</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LIBOR + 3.36%</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October 20, 2025</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16,000,000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Deferrable Floating Rate Notes</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LIBOR + 4.70%</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October 20, 2025</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14,000,000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Class E Deferrable Floating Rate Notes</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LIBOR + 6.65%</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October 20, 2025</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13,100,000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13,100,000</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F Deferrable Floating Rate Notes</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LIBOR + 8.50%</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October 20, 2025</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4,500,000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October 20, 2025</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30,000,000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312,400,000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312,400,000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certain information for each outstanding class of notes issued, pursuant to the Indenture on October 17, 2013, at February 29,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 Security</w:t>
            </w:r>
          </w:p>
        </w:tc>
        <w:tc>
          <w:tcPr>
            <w:tcW w:w="16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Interest Rate</w:t>
            </w:r>
          </w:p>
        </w:tc>
        <w:tc>
          <w:tcPr>
            <w:tcW w:w="16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Maturity</w:t>
            </w: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Principal</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480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A-1</w:t>
            </w: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Floating Rate Senior Notes</w:t>
            </w:r>
          </w:p>
        </w:tc>
        <w:tc>
          <w:tcPr>
            <w:tcW w:w="1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3"/>
              </w:rPr>
              <w:t>LIBOR + 1.30%</w:t>
            </w:r>
          </w:p>
        </w:tc>
        <w:tc>
          <w:tcPr>
            <w:tcW w:w="3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October 20, 2023</w:t>
            </w:r>
          </w:p>
        </w:tc>
        <w:tc>
          <w:tcPr>
            <w:tcW w:w="3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$170,000,000</w:t>
            </w:r>
          </w:p>
        </w:tc>
        <w:tc>
          <w:tcPr>
            <w:tcW w:w="3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$170,000,000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Class A-2 Floating Rate Senior Notes</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LIBOR + 1.50%</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October 20, 2023</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20,000,000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Floating Rate Senior Notes</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LIBOR + 2.00%</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October 20, 2023</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44,800,000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44,800,000</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Class C Deferrable Floating Rate Notes</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LIBOR + 2.90%</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October 20, 2023</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16,000,000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Deferrable Floating Rate Notes</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LIBOR + 3.50%</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October 20, 2023</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14,000,000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Class E Deferrable Floating Rate Notes</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LIBOR + 4.50%</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October 20, 2023</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13,100,000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13,100,000</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F Deferrable Floating Rate Notes</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LIBOR + 5.75%</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October 20, 2023</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4,500,000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October 20, 2023</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30,000,000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312,400,000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312,400,000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each outstanding class of notes issued, pursuant to the Indenture, at fair value at February 28, 2017:</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Debt Security</w:t>
            </w:r>
          </w:p>
        </w:tc>
        <w:tc>
          <w:tcPr>
            <w:tcW w:w="3040" w:type="dxa"/>
            <w:vAlign w:val="bottom"/>
            <w:gridSpan w:val="4"/>
          </w:tcPr>
          <w:p>
            <w:pPr>
              <w:ind w:left="1840"/>
              <w:spacing w:after="0"/>
              <w:rPr>
                <w:sz w:val="20"/>
                <w:szCs w:val="20"/>
                <w:color w:val="auto"/>
              </w:rPr>
            </w:pPr>
            <w:r>
              <w:rPr>
                <w:rFonts w:ascii="Arial" w:cs="Arial" w:eastAsia="Arial" w:hAnsi="Arial"/>
                <w:sz w:val="14"/>
                <w:szCs w:val="14"/>
                <w:b w:val="1"/>
                <w:bCs w:val="1"/>
                <w:color w:val="auto"/>
                <w:w w:val="99"/>
              </w:rPr>
              <w:t>February 28, 2017</w:t>
            </w: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A-1</w:t>
            </w: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Floating Rate Senior Notes</w:t>
            </w:r>
          </w:p>
        </w:tc>
        <w:tc>
          <w:tcPr>
            <w:tcW w:w="1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171,229,950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Class A-2 Floating Rate Senior Notes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20,221,460</w:t>
            </w:r>
          </w:p>
        </w:tc>
        <w:tc>
          <w:tcPr>
            <w:tcW w:w="6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Floating Rate Senior Notes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45,715,309</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Class C Deferrable Floating Rate Notes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16,286,880</w:t>
            </w:r>
          </w:p>
        </w:tc>
        <w:tc>
          <w:tcPr>
            <w:tcW w:w="6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Deferrable Floating Rate Notes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14,242,508</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Class E Deferrable Floating Rate Notes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13,145,915</w:t>
            </w:r>
          </w:p>
        </w:tc>
        <w:tc>
          <w:tcPr>
            <w:tcW w:w="6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F Deferrable Floating Rate Notes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4,499,379</w:t>
            </w:r>
          </w:p>
        </w:tc>
        <w:tc>
          <w:tcPr>
            <w:tcW w:w="60" w:type="dxa"/>
            <w:vAlign w:val="bottom"/>
            <w:shd w:val="clear" w:color="auto" w:fill="CCEEFF"/>
          </w:tcPr>
          <w:p>
            <w:pPr>
              <w:spacing w:after="0"/>
              <w:rPr>
                <w:sz w:val="18"/>
                <w:szCs w:val="18"/>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10,950,249</w:t>
            </w:r>
          </w:p>
        </w:tc>
        <w:tc>
          <w:tcPr>
            <w:tcW w:w="60" w:type="dxa"/>
            <w:vAlign w:val="bottom"/>
          </w:tcPr>
          <w:p>
            <w:pPr>
              <w:spacing w:after="0"/>
              <w:rPr>
                <w:sz w:val="19"/>
                <w:szCs w:val="19"/>
                <w:color w:val="auto"/>
              </w:rPr>
            </w:pPr>
          </w:p>
        </w:tc>
      </w:tr>
      <w:tr>
        <w:trPr>
          <w:trHeight w:val="216"/>
        </w:trPr>
        <w:tc>
          <w:tcPr>
            <w:tcW w:w="8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296,291,650</w:t>
            </w:r>
          </w:p>
        </w:tc>
        <w:tc>
          <w:tcPr>
            <w:tcW w:w="60" w:type="dxa"/>
            <w:vAlign w:val="bottom"/>
            <w:shd w:val="clear" w:color="auto" w:fill="CCEEFF"/>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each outstanding class of notes issued, pursuant to the Indenture, at fair value at February 29, 2016:</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Debt Security</w:t>
            </w:r>
          </w:p>
        </w:tc>
        <w:tc>
          <w:tcPr>
            <w:tcW w:w="3040" w:type="dxa"/>
            <w:vAlign w:val="bottom"/>
            <w:gridSpan w:val="4"/>
          </w:tcPr>
          <w:p>
            <w:pPr>
              <w:ind w:left="1840"/>
              <w:spacing w:after="0"/>
              <w:rPr>
                <w:sz w:val="20"/>
                <w:szCs w:val="20"/>
                <w:color w:val="auto"/>
              </w:rPr>
            </w:pPr>
            <w:r>
              <w:rPr>
                <w:rFonts w:ascii="Arial" w:cs="Arial" w:eastAsia="Arial" w:hAnsi="Arial"/>
                <w:sz w:val="14"/>
                <w:szCs w:val="14"/>
                <w:b w:val="1"/>
                <w:bCs w:val="1"/>
                <w:color w:val="auto"/>
                <w:w w:val="99"/>
              </w:rPr>
              <w:t>February 29, 2016</w:t>
            </w: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A-1</w:t>
            </w: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Floating Rate Senior Notes</w:t>
            </w:r>
          </w:p>
        </w:tc>
        <w:tc>
          <w:tcPr>
            <w:tcW w:w="1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168,738,419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Class A-2 Floating Rate Senior Notes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19,899,837</w:t>
            </w:r>
          </w:p>
        </w:tc>
        <w:tc>
          <w:tcPr>
            <w:tcW w:w="6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Floating Rate Senior Notes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43,780,120</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Class C Deferrable Floating Rate Notes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14,987,621</w:t>
            </w:r>
          </w:p>
        </w:tc>
        <w:tc>
          <w:tcPr>
            <w:tcW w:w="6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Deferrable Floating Rate Notes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12,941,289</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Class E Deferrable Floating Rate Notes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10,358,170</w:t>
            </w:r>
          </w:p>
        </w:tc>
        <w:tc>
          <w:tcPr>
            <w:tcW w:w="6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F Deferrable Floating Rate Notes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3,027,150</w:t>
            </w:r>
          </w:p>
        </w:tc>
        <w:tc>
          <w:tcPr>
            <w:tcW w:w="60" w:type="dxa"/>
            <w:vAlign w:val="bottom"/>
            <w:shd w:val="clear" w:color="auto" w:fill="CCEEFF"/>
          </w:tcPr>
          <w:p>
            <w:pPr>
              <w:spacing w:after="0"/>
              <w:rPr>
                <w:sz w:val="18"/>
                <w:szCs w:val="18"/>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12,827,980</w:t>
            </w:r>
          </w:p>
        </w:tc>
        <w:tc>
          <w:tcPr>
            <w:tcW w:w="60" w:type="dxa"/>
            <w:vAlign w:val="bottom"/>
          </w:tcPr>
          <w:p>
            <w:pPr>
              <w:spacing w:after="0"/>
              <w:rPr>
                <w:sz w:val="19"/>
                <w:szCs w:val="19"/>
                <w:color w:val="auto"/>
              </w:rPr>
            </w:pPr>
          </w:p>
        </w:tc>
      </w:tr>
      <w:tr>
        <w:trPr>
          <w:trHeight w:val="216"/>
        </w:trPr>
        <w:tc>
          <w:tcPr>
            <w:tcW w:w="8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286,560,586</w:t>
            </w:r>
          </w:p>
        </w:tc>
        <w:tc>
          <w:tcPr>
            <w:tcW w:w="60" w:type="dxa"/>
            <w:vAlign w:val="bottom"/>
            <w:shd w:val="clear" w:color="auto" w:fill="CCEEFF"/>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These notes are fair valued based on a discounted cash flow model, specifically using Intex cash flow models, to form the basis for the valuation and would be classified as level 3 liabilities within the fair value hierarchy.</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The following table provides the weighted average interest rate for the years ended February 28, 2017, February 29, 2016 and February 28, 2015:</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80"/>
          </w:cols>
          <w:pgMar w:left="240" w:top="460"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Weighted Average Interest Rate</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 Security</w:t>
            </w:r>
          </w:p>
        </w:tc>
        <w:tc>
          <w:tcPr>
            <w:tcW w:w="18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Interest Rate</w:t>
            </w:r>
          </w:p>
        </w:tc>
        <w:tc>
          <w:tcPr>
            <w:tcW w:w="15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28,</w:t>
            </w:r>
          </w:p>
        </w:tc>
        <w:tc>
          <w:tcPr>
            <w:tcW w:w="150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February 29,</w:t>
            </w:r>
          </w:p>
        </w:tc>
        <w:tc>
          <w:tcPr>
            <w:tcW w:w="82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February 28,</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8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700" w:type="dxa"/>
            <w:vAlign w:val="bottom"/>
          </w:tcPr>
          <w:p>
            <w:pPr>
              <w:spacing w:after="0"/>
              <w:rPr>
                <w:sz w:val="14"/>
                <w:szCs w:val="14"/>
                <w:color w:val="auto"/>
              </w:rPr>
            </w:pPr>
          </w:p>
        </w:tc>
        <w:tc>
          <w:tcPr>
            <w:tcW w:w="820" w:type="dxa"/>
            <w:vAlign w:val="bottom"/>
          </w:tcPr>
          <w:p>
            <w:pPr>
              <w:ind w:left="260"/>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2013-1 CLO Notes</w:t>
            </w:r>
          </w:p>
        </w:tc>
        <w:tc>
          <w:tcPr>
            <w:tcW w:w="1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Class X Floating Rate Senior Notes</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LIBOR + 1.05%</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1.28%</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A-1 Floating Rate Senior Notes</w:t>
            </w:r>
          </w:p>
        </w:tc>
        <w:tc>
          <w:tcPr>
            <w:tcW w:w="1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LIBOR + 1.55%</w:t>
            </w: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2.10%</w:t>
            </w: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1.62%</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1.53%</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Class A-2 Floating Rate Senior Notes</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LIBOR + 1.75%</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2.30%</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1.82%</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1.73%</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Floating Rate Senior Notes</w:t>
            </w:r>
          </w:p>
        </w:tc>
        <w:tc>
          <w:tcPr>
            <w:tcW w:w="1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LIBOR + 2.70%</w:t>
            </w: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2.96%</w:t>
            </w: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2.32%</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2.23%</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Class C Deferrable Floating Rate Notes</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LIBOR + 3.36%</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3.78%</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3.22%</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3.13%</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Deferrable Floating Rate Notes</w:t>
            </w:r>
          </w:p>
        </w:tc>
        <w:tc>
          <w:tcPr>
            <w:tcW w:w="1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LIBOR + 4.70%</w:t>
            </w: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4.64%</w:t>
            </w: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3.82%</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3.73%</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Class E Deferrable Floating Rate Notes</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LIBOR + 6.65%</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5.98%</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4.82%</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4.73%</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F Deferrable Floating Rate Notes</w:t>
            </w:r>
          </w:p>
        </w:tc>
        <w:tc>
          <w:tcPr>
            <w:tcW w:w="1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LIBOR + 8.50%</w:t>
            </w: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7.45%</w:t>
            </w: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6.07%</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5.98%</w:t>
            </w: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Indenture provides that payments on the Subordinated Notes shall rank subordinate in priority of payment to payments due on all classes of 2013-1 CLO Notes and subordinate in priority of payment to the payment of fees and expenses. Distributions on the Subordinated Notes are limited to the assets of the Issuer remaining after payment of all of the liabilities of the Issuer that rank senior in priority of payment to the Subordinated Notes. To the extent that the proceeds from the collateral are not sufficient to make distributions on the Subordinated Notes the Issuer will have no further obligation in respect of the Subordinated Notes.</w:t>
      </w:r>
    </w:p>
    <w:p>
      <w:pPr>
        <w:spacing w:after="0" w:line="18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Interest proceeds and, after the 2013-1 CLO Notes have been paid in full, principal proceeds, in each case will be distributed to the holders of the Subordinated Notes in accordance with the Indenture.</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Distributions, if any, on the Subordinated Notes will be payable quarterly on the 20th day of each January, April, July and October of each calendar year or, if any such day is not a business day, on the next succeeding business day (each, a “Payment Date”), commencing on the first Payment Date, and on January 21, 2020 (or if any such day is not a business day, the next succeeding business day) (the “Stated Redemption Date”) (if not redeemed prior to such date) sequentially in order of seniority. At the Stated Redemption Date, the Subordinated Notes will be redeemed after payment in full of all of the 2013-1 CLO Notes and the payment of all administrative and other fees and expenses. The failure to pay interest proceeds or principal proceeds to the holders of the Subordinated Notes will not be an event of default under the Indenture.</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May of 2009, the Issuer defaulted on its Class E overcollateralization ratio of 105.10%, at which point, $4.0 million of interest proceeds were used to repay the Class E Notes through November 2009. Interest on the Class C, Class D, and Class E Notes was deferred and repaid in January of 2010 upon the Issuer’s return to compliance. Distributions to the Subordinated Notes resumed in April of 2010.</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As of February 28, 2017, the remaining unamortized discount on the Class A-1 Notes, Class A-2 Notes, Class B Notes, Class C Notes, Class D Notes, Class E Notes, and Class F Notes were $0.0 million, $0.0 million, $0.0 million, $0.1 million, $0.4 million, $0.0 million, and $0.0 million, respectively.</w:t>
      </w:r>
    </w:p>
    <w:p>
      <w:pPr>
        <w:spacing w:after="0" w:line="124"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As of February 29, 2016, the remaining unamortized discount on the Class A-1 Notes, Class A-2 Notes, Class B Notes, Class C Notes, Class D Notes, Class E Notes, and Class F Notes were $1.3 million, $0.1 million, $0.9 million, $0.6 million, $0.7 million, $1.4 million, and $0.5 million, respectively.</w:t>
      </w:r>
    </w:p>
    <w:p>
      <w:pPr>
        <w:spacing w:after="0" w:line="124"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remaining unamortized deferred debt financing costs, on the 2013-1 CLO Notes, of $1.5 million, and unamortized discount on the 2013-1 CLO Notes of $4.6 million, were recognized as additional amortization expense when the related notes were extinguished and recorded within loss on extinguishment of debt in the statements of operations. As of February 28, 2017, $1.3 million of financing costs related to the 2013-1 Amended CLO Notes have been capitalized and are being amortized over the term of the 2013-1 Amended CLO Notes.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Under the current laws, the Issuer is not subject to net income taxation in the United States or the Cayman Islands. Accordingly, no provision for income taxes has been made in the accompanying financial statements.</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Pursuant to ASC Topic 740,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the Issuer adopted the provisions of the FASB relating to accounting for uncertainty in income taxes which clarifies the accounting for income taxes by prescribing the minimum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recognition threshold a tax position must meet before being recognized in the financial statements and applies to all open tax years as of the effective date. The Investment Manager has analyzed such tax positions for uncertain tax positions for tax years that may be open (2013—2016). The Issuer identifies its major tax jurisdictions as U.S. Federal, state and foreign jurisdictions where the Issuer makes investments. As of February 28, 2017 and February 29, 2016, there was no impact to the financial statements as a result of the Issuer’s accounting for uncertainty in income taxes. The Issuer does not have any unrecognized tax benefits or liabilities for the years ended February 28, 2017, February 29, 2016 and February 28, 2015. Also, the Issuer recognizes interest and, if applicable, penalties for any uncertain tax positions, as a component of income tax expense. No interest or penalty expense was recorded by the Issuer for the years ended February 28, 2017, February 29, 2016 and February 28, 2015.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 the ordinary course of its business, the Issuer may enter into contracts or agreements that contain indemnifications or warranties. Future events could occur that lead to the execution of these provisions against the Issuer. Based on its history and experience, the Investment Manager feels that the likelihood of such an event is remote.</w:t>
      </w:r>
    </w:p>
    <w:p>
      <w:pPr>
        <w:spacing w:after="0" w:line="181"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In the ordinary course of business, the Issuer may directly or indirectly be a defendant or plaintiff in legal actions with respect to bankruptcy, insolvency or other types of proceedings. Such lawsuits may involve claims that could adversely affect the value of certain financial instruments owned by the Issuer. As of February 28, 2017 and February 29, 2016, the Issuer is not subject to any material legal proceedings.</w:t>
      </w:r>
    </w:p>
    <w:p>
      <w:pPr>
        <w:spacing w:after="0" w:line="16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terms of Collateralized Debt Investments may require the Issuer to provide funding for any unfunded portion of a Collateralized Debt Investment at the request of the borrower. At February 28, 2017, the Issuer had $0.5 million of unfunded commitments. At February 29, 2016, the Issuer had no unfunded commitments.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Related-Party Transactions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the ordinary course of business and as permitted per the terms of the Indenture, the Issuer may acquire or sell investments to or from related parties at the fair value at such time. For the years ended February 28, 2017, February 29, 2016 and February 28, 2015, the Issuer neither bought nor sold investments from related parties.</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Subordinated Notes are wholly owned by the Investment Manager. The Subordinated Notes do not have a stated coupon rate, but are entitled to residual cash flows from the CLO’s investments after all of the other tranches of debt and certain other fees and expenses are paid. For the years ended February 28, 2017, February 29, 2016 and February 28, 2015, $4.7 million, $5.6 million, and $3.7 million of payments to the Subordinated Notes were included in interest expense in the statements of operations, respectively. In addition to refinancing its liabilities, the Investment Manager also purchased $4.5 million in aggregate principal amount of the Class F notes tranche of the Saratoga CLO at par, with a coupon of LIBOR plus 8.5%.</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Shareholders’ Capital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contributions and distributions shall be made at such time and in such amounts as determined by the Investment Manager and the Indenture.</w:t>
      </w:r>
    </w:p>
    <w:p>
      <w:pPr>
        <w:spacing w:after="0" w:line="248"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The majority holder of the Subordinated Notes has various control rights over the CLO, including the ability to call the CLO prior to its legal maturity, replace the Investment Manager under certain circumstances, and refinance any of the outstanding debt tranches. The voting structure of the Subordinated Notes may require either majority or unanimous approval depending upon the issue.</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authorized share capital of the Issuer consists of 50,000 ordinary shares, 250 of which are owned by Maples Finance Limited and are held under the terms of a declaration of trust.</w:t>
      </w:r>
    </w:p>
    <w:p>
      <w:pPr>
        <w:spacing w:after="0" w:line="170"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As of February 28, 2017 and February 29, 2016, net assets were $(13.0) million and $(21.6) million, respectively. These amounts include accumulated losses of $(21.6) million and $(5.8) million, respectively, which includes cumulative net investment income or loss, cumulative amounts of gains and losses realized from investment transactions, net unrealized appreciation or depreciation of investments, as well as the cumulative effect of accounting mismatches between investments accounted for at fair value and amortized cost or accrual-basis assets and liabilities as discussed in Significant Accounting Policies, above. The Issuer’s investments continue to generate sufficient liquidity to satisfy its obligations on periodic payment dates as well as comply with all performance criteria as of the statements of assets and liabilities date.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is a schedule of financial highlights for the years ended February 28, 2017, February 29, 2016, February 28, 2015, February 28, 2014 and February 28,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February 28,</w:t>
            </w:r>
          </w:p>
        </w:tc>
        <w:tc>
          <w:tcPr>
            <w:tcW w:w="16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February 29,</w:t>
            </w:r>
          </w:p>
        </w:tc>
        <w:tc>
          <w:tcPr>
            <w:tcW w:w="16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February 28,</w:t>
            </w:r>
          </w:p>
        </w:tc>
        <w:tc>
          <w:tcPr>
            <w:tcW w:w="16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February 28,</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February 28,</w:t>
            </w:r>
          </w:p>
        </w:tc>
      </w:tr>
      <w:tr>
        <w:trPr>
          <w:trHeight w:val="171"/>
        </w:trPr>
        <w:tc>
          <w:tcPr>
            <w:tcW w:w="4700" w:type="dxa"/>
            <w:vAlign w:val="bottom"/>
          </w:tcPr>
          <w:p>
            <w:pPr>
              <w:spacing w:after="0"/>
              <w:rPr>
                <w:sz w:val="14"/>
                <w:szCs w:val="14"/>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4"/>
                <w:szCs w:val="14"/>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4"/>
                <w:szCs w:val="14"/>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r>
      <w:tr>
        <w:trPr>
          <w:trHeight w:val="182"/>
        </w:trPr>
        <w:tc>
          <w:tcPr>
            <w:tcW w:w="4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Average subordinated notes’ capital</w:t>
            </w:r>
          </w:p>
        </w:tc>
        <w:tc>
          <w:tcPr>
            <w:tcW w:w="9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balance(1)</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$15,113,353</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$18,382,072</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$25,077,372</w:t>
            </w:r>
          </w:p>
        </w:tc>
        <w:tc>
          <w:tcPr>
            <w:tcW w:w="15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$28,471,910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$27,165,497</w:t>
            </w: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Ratio and supplemental data:</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Return(2)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162.55%</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(49.59)%</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5.34%</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4.65%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investment income(3)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(34.62)%</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0.57%</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3.17%</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(7.53)%</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3.80%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141.14%</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79.34%</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49.79%</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65.27%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Base management fee(3)</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4.07%</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3.03%</w:t>
            </w:r>
          </w:p>
        </w:tc>
        <w:tc>
          <w:tcPr>
            <w:tcW w:w="1580" w:type="dxa"/>
            <w:vAlign w:val="bottom"/>
            <w:gridSpan w:val="3"/>
          </w:tcPr>
          <w:p>
            <w:pPr>
              <w:jc w:val="right"/>
              <w:ind w:right="380"/>
              <w:spacing w:after="0"/>
              <w:rPr>
                <w:sz w:val="20"/>
                <w:szCs w:val="20"/>
                <w:color w:val="auto"/>
              </w:rPr>
            </w:pPr>
            <w:r>
              <w:rPr>
                <w:rFonts w:ascii="Arial" w:cs="Arial" w:eastAsia="Arial" w:hAnsi="Arial"/>
                <w:sz w:val="18"/>
                <w:szCs w:val="18"/>
                <w:color w:val="auto"/>
              </w:rPr>
              <w:t>1.82%</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Subordinated management fee(3)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4.42%</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80" w:hanging="452"/>
        <w:spacing w:after="0" w:line="25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Subordinated notes’ capital balance is calculated based on the sum of the subordinated notes outstanding amount and total net assets, net of ordinary equity.</w:t>
      </w:r>
    </w:p>
    <w:p>
      <w:pPr>
        <w:spacing w:after="0" w:line="1" w:lineRule="exact"/>
        <w:rPr>
          <w:rFonts w:ascii="Arial" w:cs="Arial" w:eastAsia="Arial" w:hAnsi="Arial"/>
          <w:sz w:val="18"/>
          <w:szCs w:val="18"/>
          <w:color w:val="auto"/>
        </w:rPr>
      </w:pPr>
    </w:p>
    <w:p>
      <w:pPr>
        <w:jc w:val="both"/>
        <w:ind w:left="460" w:right="42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Total return is calculated based on a time-weighted rate of return methodology. Quarterly rates of return are compounded to derive the total return reflected above. Total return is calculated for the subordinated notes’ capital taken as a whole and assumes the purchase of the subordinated notes’ capital on the first day of the period and the sale of the last day of the period.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Calculated based on the average subordinated notes’ capital balance.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Investment Manager has evaluated events or transactions that have occurred since February 28, 2017 through May 16, 2017, the date the financial statements were available for issuance. The Investment Manager has determined that there are no material events that would require the disclosure in the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Christian L. Oberbeck, certify that:</w:t>
      </w:r>
    </w:p>
    <w:p>
      <w:pPr>
        <w:spacing w:after="0" w:line="225" w:lineRule="exact"/>
        <w:rPr>
          <w:sz w:val="20"/>
          <w:szCs w:val="20"/>
          <w:color w:val="auto"/>
        </w:rPr>
      </w:pPr>
    </w:p>
    <w:p>
      <w:pPr>
        <w:ind w:left="640" w:hanging="17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Saratoga Investment Corp.;</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3"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80" w:firstLine="443"/>
        <w:spacing w:after="0" w:line="342" w:lineRule="auto"/>
        <w:tabs>
          <w:tab w:leader="none" w:pos="1143"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80" w:firstLine="443"/>
        <w:spacing w:after="0" w:line="264" w:lineRule="auto"/>
        <w:tabs>
          <w:tab w:leader="none" w:pos="1153"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464"/>
        <w:spacing w:after="0" w:line="308" w:lineRule="auto"/>
        <w:tabs>
          <w:tab w:leader="none" w:pos="636"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16,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Christian L. Oberbeck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Henri J. Steenkamp, certify that:</w:t>
      </w:r>
    </w:p>
    <w:p>
      <w:pPr>
        <w:spacing w:after="0" w:line="225" w:lineRule="exact"/>
        <w:rPr>
          <w:sz w:val="20"/>
          <w:szCs w:val="20"/>
          <w:color w:val="auto"/>
        </w:rPr>
      </w:pPr>
    </w:p>
    <w:p>
      <w:pPr>
        <w:ind w:left="640" w:hanging="17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Saratoga Investment Corp.;</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320" w:firstLine="464"/>
        <w:spacing w:after="0" w:line="342" w:lineRule="auto"/>
        <w:tabs>
          <w:tab w:leader="none" w:pos="636"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procedures (as defined in Exchange Act Rules 13a-15(e) and 15d-15(e)) for the company and have:</w:t>
      </w:r>
    </w:p>
    <w:p>
      <w:pPr>
        <w:spacing w:after="0" w:line="15" w:lineRule="exact"/>
        <w:rPr>
          <w:rFonts w:ascii="Arial" w:cs="Arial" w:eastAsia="Arial" w:hAnsi="Arial"/>
          <w:sz w:val="16"/>
          <w:szCs w:val="16"/>
          <w:color w:val="auto"/>
        </w:rPr>
      </w:pPr>
    </w:p>
    <w:p>
      <w:pPr>
        <w:ind w:left="460" w:right="60" w:firstLine="443"/>
        <w:spacing w:after="0" w:line="264" w:lineRule="auto"/>
        <w:tabs>
          <w:tab w:leader="none" w:pos="1143"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80" w:firstLine="443"/>
        <w:spacing w:after="0" w:line="342" w:lineRule="auto"/>
        <w:tabs>
          <w:tab w:leader="none" w:pos="1143"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80" w:firstLine="443"/>
        <w:spacing w:after="0" w:line="264" w:lineRule="auto"/>
        <w:tabs>
          <w:tab w:leader="none" w:pos="1153"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464"/>
        <w:spacing w:after="0" w:line="308" w:lineRule="auto"/>
        <w:tabs>
          <w:tab w:leader="none" w:pos="636"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16,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Chief Compliance Officer</w:t>
      </w:r>
    </w:p>
    <w:p>
      <w:pPr>
        <w:sectPr>
          <w:pgSz w:w="11900" w:h="16838" w:orient="portrait"/>
          <w:cols w:equalWidth="0" w:num="1">
            <w:col w:w="11420"/>
          </w:cols>
          <w:pgMar w:left="240" w:top="121"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connection with the Annual Report on Form 10-K of Saratoga Investment Corp. (the “Company”) for the annual period ended February 28, 2017, as filed with the Securities Exchange Commission on the date hereof (the “Report”), I, Christian L. Oberbeck, Chief Executive Officer of the Company, and I, Henri J. Steenkamp, Chief Financial Officer of the Company, each certify, pursuant to Section 906 of the Sarbanes-Oxley Act of 2002, that to our knowledge:</w:t>
      </w:r>
    </w:p>
    <w:p>
      <w:pPr>
        <w:spacing w:after="0" w:line="39" w:lineRule="exact"/>
        <w:rPr>
          <w:sz w:val="20"/>
          <w:szCs w:val="20"/>
          <w:color w:val="auto"/>
        </w:rPr>
      </w:pPr>
    </w:p>
    <w:p>
      <w:pPr>
        <w:ind w:left="640" w:hanging="17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16,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Christian L. Oberbeck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Chief Compliance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lvl w:ilvl="1">
      <w:lvlJc w:val="left"/>
      <w:lvlText w:val="•"/>
      <w:numFmt w:val="bullet"/>
      <w:start w:val="1"/>
    </w:lvl>
  </w:abstractNum>
  <w:abstractNum w:abstractNumId="7">
    <w:nsid w:val="684A481A"/>
    <w:multiLevelType w:val="hybridMultilevel"/>
    <w:lvl w:ilvl="0">
      <w:lvlJc w:val="left"/>
      <w:lvlText w:val="•"/>
      <w:numFmt w:val="bullet"/>
      <w:start w:val="1"/>
    </w:lvl>
    <w:lvl w:ilvl="1">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1)"/>
      <w:numFmt w:val="decimal"/>
      <w:start w:val="2"/>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1)"/>
      <w:numFmt w:val="decimal"/>
    </w:lvl>
    <w:lvl w:ilvl="1">
      <w:lvlJc w:val="left"/>
      <w:lvlText w:val="•"/>
      <w:numFmt w:val="bullet"/>
      <w:start w:val="1"/>
    </w:lvl>
    <w:lvl w:ilvl="2">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1)"/>
      <w:numFmt w:val="decimal"/>
      <w:start w:val="1"/>
    </w:lvl>
    <w:lvl w:ilvl="1">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
    <w:nsid w:val="235BA861"/>
    <w:multiLevelType w:val="hybridMultilevel"/>
    <w:lvl w:ilvl="0">
      <w:lvlJc w:val="left"/>
      <w:lvlText w:val="(%1)"/>
      <w:numFmt w:val="decimal"/>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1)"/>
      <w:numFmt w:val="decimal"/>
      <w:start w:val="1"/>
    </w:lvl>
  </w:abstractNum>
  <w:abstractNum w:abstractNumId="37">
    <w:nsid w:val="310C50B3"/>
    <w:multiLevelType w:val="hybridMultilevel"/>
    <w:lvl w:ilvl="0">
      <w:lvlJc w:val="left"/>
      <w:lvlText w:val="(%1)"/>
      <w:numFmt w:val="decimal"/>
      <w:start w:val="1"/>
    </w:lvl>
  </w:abstractNum>
  <w:abstractNum w:abstractNumId="38">
    <w:nsid w:val="5FF87E05"/>
    <w:multiLevelType w:val="hybridMultilevel"/>
    <w:lvl w:ilvl="0">
      <w:lvlJc w:val="left"/>
      <w:lvlText w:val="(%1)"/>
      <w:numFmt w:val="decimal"/>
      <w:start w:val="2"/>
    </w:lvl>
  </w:abstractNum>
  <w:abstractNum w:abstractNumId="39">
    <w:nsid w:val="2F305DEF"/>
    <w:multiLevelType w:val="hybridMultilevel"/>
    <w:lvl w:ilvl="0">
      <w:lvlJc w:val="left"/>
      <w:lvlText w:val="(%1)"/>
      <w:numFmt w:val="decimal"/>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decimal"/>
      <w:start w:val="2"/>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1)"/>
      <w:numFmt w:val="decimal"/>
      <w:start w:val="1"/>
    </w:lvl>
  </w:abstractNum>
  <w:abstractNum w:abstractNumId="52">
    <w:nsid w:val="6B94764"/>
    <w:multiLevelType w:val="hybridMultilevel"/>
    <w:lvl w:ilvl="0">
      <w:lvlJc w:val="left"/>
      <w:lvlText w:val="(%1)"/>
      <w:numFmt w:val="decimal"/>
      <w:start w:val="1"/>
    </w:lvl>
  </w:abstractNum>
  <w:abstractNum w:abstractNumId="53">
    <w:nsid w:val="42C296BD"/>
    <w:multiLevelType w:val="hybridMultilevel"/>
    <w:lvl w:ilvl="0">
      <w:lvlJc w:val="left"/>
      <w:lvlText w:val="(%1)"/>
      <w:numFmt w:val="decimal"/>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lvl w:ilvl="1">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
      <w:numFmt w:val="bullet"/>
      <w:start w:val="1"/>
    </w:lvl>
  </w:abstractNum>
  <w:abstractNum w:abstractNumId="62">
    <w:nsid w:val="BF72B14"/>
    <w:multiLevelType w:val="hybridMultilevel"/>
    <w:lvl w:ilvl="0">
      <w:lvlJc w:val="left"/>
      <w:lvlText w:val="(%1)"/>
      <w:numFmt w:val="decimal"/>
      <w:start w:val="1"/>
    </w:lvl>
  </w:abstractNum>
  <w:abstractNum w:abstractNumId="63">
    <w:nsid w:val="11447B73"/>
    <w:multiLevelType w:val="hybridMultilevel"/>
    <w:lvl w:ilvl="0">
      <w:lvlJc w:val="left"/>
      <w:lvlText w:val="(%1)"/>
      <w:numFmt w:val="decimal"/>
      <w:start w:val="1"/>
    </w:lvl>
  </w:abstractNum>
  <w:abstractNum w:abstractNumId="64">
    <w:nsid w:val="42963E5A"/>
    <w:multiLevelType w:val="hybridMultilevel"/>
    <w:lvl w:ilvl="0">
      <w:lvlJc w:val="left"/>
      <w:lvlText w:val="%1"/>
      <w:numFmt w:val="decimal"/>
      <w:start w:val="14"/>
    </w:lvl>
  </w:abstractNum>
  <w:abstractNum w:abstractNumId="65">
    <w:nsid w:val="A0382C5"/>
    <w:multiLevelType w:val="hybridMultilevel"/>
    <w:lvl w:ilvl="0">
      <w:lvlJc w:val="left"/>
      <w:lvlText w:val="(%1)"/>
      <w:numFmt w:val="lowerLetter"/>
      <w:start w:val="1"/>
    </w:lvl>
  </w:abstractNum>
  <w:abstractNum w:abstractNumId="66">
    <w:nsid w:val="8F2B15E"/>
    <w:multiLevelType w:val="hybridMultilevel"/>
    <w:lvl w:ilvl="0">
      <w:lvlJc w:val="left"/>
      <w:lvlText w:val="(%1)"/>
      <w:numFmt w:val="lowerLetter"/>
      <w:start w:val="7"/>
    </w:lvl>
  </w:abstractNum>
  <w:abstractNum w:abstractNumId="67">
    <w:nsid w:val="1A32234B"/>
    <w:multiLevelType w:val="hybridMultilevel"/>
    <w:lvl w:ilvl="0">
      <w:lvlJc w:val="left"/>
      <w:lvlText w:val="(%1)"/>
      <w:numFmt w:val="lowerLetter"/>
      <w:start w:val="1"/>
    </w:lvl>
  </w:abstractNum>
  <w:abstractNum w:abstractNumId="68">
    <w:nsid w:val="3B0FD379"/>
    <w:multiLevelType w:val="hybridMultilevel"/>
    <w:lvl w:ilvl="0">
      <w:lvlJc w:val="left"/>
      <w:lvlText w:val="(%1)"/>
      <w:numFmt w:val="lowerLetter"/>
      <w:start w:val="7"/>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1)"/>
      <w:numFmt w:val="decimal"/>
      <w:start w:val="2"/>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1)"/>
      <w:numFmt w:val="decimal"/>
      <w:start w:val="1"/>
    </w:lvl>
  </w:abstractNum>
  <w:abstractNum w:abstractNumId="79">
    <w:nsid w:val="6EB5BD4"/>
    <w:multiLevelType w:val="hybridMultilevel"/>
    <w:lvl w:ilvl="0">
      <w:lvlJc w:val="left"/>
      <w:lvlText w:val="(%1)"/>
      <w:numFmt w:val="decimal"/>
      <w:start w:val="4"/>
    </w:lvl>
  </w:abstractNum>
  <w:abstractNum w:abstractNumId="80">
    <w:nsid w:val="6F6DD9AC"/>
    <w:multiLevelType w:val="hybridMultilevel"/>
    <w:lvl w:ilvl="0">
      <w:lvlJc w:val="left"/>
      <w:lvlText w:val="(%1)"/>
      <w:numFmt w:val="lowerLetter"/>
      <w:start w:val="1"/>
    </w:lvl>
  </w:abstractNum>
  <w:abstractNum w:abstractNumId="81">
    <w:nsid w:val="94211F2"/>
    <w:multiLevelType w:val="hybridMultilevel"/>
    <w:lvl w:ilvl="0">
      <w:lvlJc w:val="left"/>
      <w:lvlText w:val="(%1)"/>
      <w:numFmt w:val="lowerLetter"/>
      <w:start w:val="1"/>
    </w:lvl>
  </w:abstractNum>
  <w:abstractNum w:abstractNumId="82">
    <w:nsid w:val="885E1B"/>
    <w:multiLevelType w:val="hybridMultilevel"/>
    <w:lvl w:ilvl="0">
      <w:lvlJc w:val="left"/>
      <w:lvlText w:val="(%1)"/>
      <w:numFmt w:val="decimal"/>
      <w:start w:val="2"/>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lvl w:ilvl="1">
      <w:lvlJc w:val="left"/>
      <w:lvlText w:val="(%2)"/>
      <w:numFmt w:val="lowerLetter"/>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2019-12-29T07:00:29Z</dcterms:created>
  <dcterms:modified xsi:type="dcterms:W3CDTF">2019-12-29T07:00:29Z</dcterms:modified>
</cp:coreProperties>
</file>