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275-8k_saratoga.htm"/>
      <w:bookmarkStart w:id="1" w:name="ksea02972758k_saratog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7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July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 xml:space="preserve">SARATOGA INVESTMENT CORP.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Maryland</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707"/>
            <w:bookmarkEnd w:id="6"/>
            <w:r>
              <w:rPr>
                <w:rFonts w:ascii="Times New Roman;Times;Serif" w:hAnsi="Times New Roman;Times;Serif"/>
                <w:b/>
                <w:sz w:val="20"/>
              </w:rPr>
              <w:t>814-00732</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20-8700615</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28" w:type="dxa"/>
          <w:right w:w="0" w:type="dxa"/>
        </w:tblCellMar>
      </w:tblPr>
      <w:tblGrid>
        <w:gridCol w:w="3395"/>
        <w:gridCol w:w="60"/>
        <w:gridCol w:w="935"/>
      </w:tblGrid>
      <w:tr>
        <w:trPr/>
        <w:tc>
          <w:tcPr>
            <w:tcW w:w="33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3_edei--EntityAddressAddressLine1_"/>
            <w:bookmarkEnd w:id="8"/>
            <w:r>
              <w:rPr>
                <w:rFonts w:ascii="Times New Roman;Times;Serif" w:hAnsi="Times New Roman;Times;Serif"/>
                <w:b/>
                <w:sz w:val="20"/>
              </w:rPr>
              <w:t>535 Madison Avenue</w:t>
              <w:br/>
            </w:r>
            <w:bookmarkStart w:id="9" w:name="xdx_904_edei--EntityAddressCityOrTown_c2"/>
            <w:bookmarkEnd w:id="9"/>
            <w:r>
              <w:rPr>
                <w:rFonts w:ascii="Times New Roman;Times;Serif" w:hAnsi="Times New Roman;Times;Serif"/>
                <w:b/>
                <w:sz w:val="20"/>
              </w:rPr>
              <w:t xml:space="preserve">New York, </w:t>
            </w:r>
            <w:bookmarkStart w:id="10" w:name="xdx_90B_edei--EntityAddressStateOrProvin"/>
            <w:bookmarkEnd w:id="10"/>
            <w:r>
              <w:rPr>
                <w:rFonts w:ascii="Times New Roman;Times;Serif" w:hAnsi="Times New Roman;Times;Serif"/>
                <w:b/>
                <w:sz w:val="20"/>
              </w:rPr>
              <w:t>New York</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2_edei--EntityAddressPostalZipCode"/>
            <w:bookmarkEnd w:id="11"/>
            <w:r>
              <w:rPr>
                <w:rFonts w:ascii="Times New Roman;Times;Serif" w:hAnsi="Times New Roman;Times;Serif"/>
                <w:b/>
                <w:sz w:val="20"/>
              </w:rPr>
              <w:t>10022</w:t>
            </w:r>
          </w:p>
        </w:tc>
      </w:tr>
      <w:tr>
        <w:trPr/>
        <w:tc>
          <w:tcPr>
            <w:tcW w:w="339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0_edei--CityAreaCode_c20260707__20"/>
      <w:bookmarkEnd w:id="12"/>
      <w:r>
        <w:rPr>
          <w:rFonts w:ascii="Times New Roman;Times;Serif" w:hAnsi="Times New Roman;Times;Serif"/>
          <w:b/>
          <w:i w:val="false"/>
          <w:caps w:val="false"/>
          <w:smallCaps w:val="false"/>
          <w:sz w:val="20"/>
        </w:rPr>
        <w:t xml:space="preserve">212) </w:t>
      </w:r>
      <w:bookmarkStart w:id="13" w:name="xdx_905_edei--LocalPhoneNumber_c20260707"/>
      <w:bookmarkEnd w:id="13"/>
      <w:r>
        <w:rPr>
          <w:rFonts w:ascii="Times New Roman;Times;Serif" w:hAnsi="Times New Roman;Times;Serif"/>
          <w:b/>
          <w:i w:val="false"/>
          <w:caps w:val="false"/>
          <w:smallCaps w:val="false"/>
          <w:sz w:val="20"/>
        </w:rPr>
        <w:t>906-7800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C_edei--SolicitingMaterial_c202607"/>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B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2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25" w:type="dxa"/>
        <w:jc w:val="left"/>
        <w:tblInd w:w="0" w:type="dxa"/>
        <w:tblLayout w:type="fixed"/>
        <w:tblCellMar>
          <w:top w:w="0" w:type="dxa"/>
          <w:left w:w="0" w:type="dxa"/>
          <w:bottom w:w="28" w:type="dxa"/>
          <w:right w:w="0" w:type="dxa"/>
        </w:tblCellMar>
      </w:tblPr>
      <w:tblGrid>
        <w:gridCol w:w="3515"/>
        <w:gridCol w:w="60"/>
        <w:gridCol w:w="1580"/>
        <w:gridCol w:w="60"/>
        <w:gridCol w:w="2810"/>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8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8_edei--Security12bTitle_c20260707"/>
            <w:bookmarkEnd w:id="18"/>
            <w:r>
              <w:rPr>
                <w:rFonts w:ascii="Times New Roman;Times;Serif" w:hAnsi="Times New Roman;Times;Serif"/>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E_edei--TradingSymbol_c20260707__2"/>
            <w:bookmarkEnd w:id="19"/>
            <w:r>
              <w:rPr>
                <w:rFonts w:ascii="Times New Roman;Times;Serif" w:hAnsi="Times New Roman;Times;Serif"/>
                <w:sz w:val="20"/>
              </w:rPr>
              <w:t>SAR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8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9_edei--SecurityExchangeName_c2026"/>
            <w:bookmarkEnd w:id="20"/>
            <w:r>
              <w:rPr>
                <w:rFonts w:ascii="Times New Roman;Times;Serif" w:hAnsi="Times New Roman;Times;Serif"/>
                <w:sz w:val="20"/>
              </w:rPr>
              <w:t>New York Stock Exchange</w:t>
            </w:r>
          </w:p>
        </w:tc>
      </w:tr>
      <w:tr>
        <w:trPr/>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A_edei--Security12bTitle_c20260707"/>
            <w:bookmarkEnd w:id="21"/>
            <w:r>
              <w:rPr>
                <w:rFonts w:ascii="Times New Roman;Times;Serif" w:hAnsi="Times New Roman;Times;Serif"/>
                <w:sz w:val="20"/>
              </w:rPr>
              <w:t>6.00% Notes due 2027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8_edei--TradingSymbol_c20260707__2"/>
            <w:bookmarkEnd w:id="22"/>
            <w:r>
              <w:rPr>
                <w:rFonts w:ascii="Times New Roman;Times;Serif" w:hAnsi="Times New Roman;Times;Serif"/>
                <w:sz w:val="20"/>
              </w:rPr>
              <w:t>SAT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7_edei--SecurityExchangeName_c2026"/>
            <w:bookmarkEnd w:id="23"/>
            <w:r>
              <w:rPr>
                <w:rFonts w:ascii="Times New Roman;Times;Serif" w:hAnsi="Times New Roman;Times;Serif"/>
                <w:sz w:val="20"/>
              </w:rPr>
              <w:t>New York Stock Exchange</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8_edei--Security12bTitle_c20260707"/>
            <w:bookmarkEnd w:id="24"/>
            <w:r>
              <w:rPr>
                <w:rFonts w:ascii="Times New Roman;Times;Serif" w:hAnsi="Times New Roman;Times;Serif"/>
                <w:sz w:val="20"/>
              </w:rPr>
              <w:t>8.00% Notes due 2027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5" w:name="xdx_906_edei--TradingSymbol_c20260707__2"/>
            <w:bookmarkEnd w:id="25"/>
            <w:r>
              <w:rPr>
                <w:rFonts w:ascii="Times New Roman;Times;Serif" w:hAnsi="Times New Roman;Times;Serif"/>
                <w:sz w:val="20"/>
              </w:rPr>
              <w:t>SAJ</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8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6" w:name="xdx_902_edei--SecurityExchangeName_c2026"/>
            <w:bookmarkEnd w:id="26"/>
            <w:r>
              <w:rPr>
                <w:rFonts w:ascii="Times New Roman;Times;Serif" w:hAnsi="Times New Roman;Times;Serif"/>
                <w:sz w:val="20"/>
              </w:rPr>
              <w:t>New York Stock Exchange</w:t>
            </w:r>
          </w:p>
        </w:tc>
      </w:tr>
      <w:tr>
        <w:trPr/>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7" w:name="xdx_909_edei--Security12bTitle_c20260707"/>
            <w:bookmarkEnd w:id="27"/>
            <w:r>
              <w:rPr>
                <w:rFonts w:ascii="Times New Roman;Times;Serif" w:hAnsi="Times New Roman;Times;Serif"/>
                <w:sz w:val="20"/>
              </w:rPr>
              <w:t>8.125% Notes due 2027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8" w:name="xdx_902_edei--TradingSymbol_c20260707__2"/>
            <w:bookmarkEnd w:id="28"/>
            <w:r>
              <w:rPr>
                <w:rFonts w:ascii="Times New Roman;Times;Serif" w:hAnsi="Times New Roman;Times;Serif"/>
                <w:sz w:val="20"/>
              </w:rPr>
              <w:t>SAY</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9" w:name="xdx_905_edei--SecurityExchangeName_c2026"/>
            <w:bookmarkEnd w:id="29"/>
            <w:r>
              <w:rPr>
                <w:rFonts w:ascii="Times New Roman;Times;Serif" w:hAnsi="Times New Roman;Times;Serif"/>
                <w:sz w:val="20"/>
              </w:rPr>
              <w:t>New York Stock Exchange</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30" w:name="xdx_907_edei--Security12bTitle_c20260707"/>
            <w:bookmarkEnd w:id="30"/>
            <w:r>
              <w:rPr>
                <w:rFonts w:ascii="Times New Roman;Times;Serif" w:hAnsi="Times New Roman;Times;Serif"/>
                <w:sz w:val="20"/>
              </w:rPr>
              <w:t>8.50% Notes due 2028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31" w:name="xdx_902_edei--TradingSymbol_c20260707__2"/>
            <w:bookmarkEnd w:id="31"/>
            <w:r>
              <w:rPr>
                <w:rFonts w:ascii="Times New Roman;Times;Serif" w:hAnsi="Times New Roman;Times;Serif"/>
                <w:sz w:val="20"/>
              </w:rPr>
              <w:t>SAZ</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8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32" w:name="xdx_906_edei--SecurityExchangeName_c2026"/>
            <w:bookmarkEnd w:id="32"/>
            <w:r>
              <w:rPr>
                <w:rFonts w:ascii="Times New Roman;Times;Serif" w:hAnsi="Times New Roman;Times;Serif"/>
                <w:sz w:val="20"/>
              </w:rPr>
              <w:t>New York Stock Exchange</w:t>
            </w:r>
          </w:p>
        </w:tc>
      </w:tr>
      <w:tr>
        <w:trPr/>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33" w:name="xdx_90A_edei--Security12bTitle_c20260707"/>
            <w:bookmarkEnd w:id="33"/>
            <w:r>
              <w:rPr>
                <w:rFonts w:ascii="Times New Roman;Times;Serif" w:hAnsi="Times New Roman;Times;Serif"/>
                <w:sz w:val="20"/>
              </w:rPr>
              <w:t>7.50% Notes due 2031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34" w:name="xdx_90D_edei--TradingSymbol_c20260707__2"/>
            <w:bookmarkEnd w:id="34"/>
            <w:r>
              <w:rPr>
                <w:rFonts w:ascii="Times New Roman;Times;Serif" w:hAnsi="Times New Roman;Times;Serif"/>
                <w:sz w:val="20"/>
              </w:rPr>
              <w:t>SAV</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35" w:name="xdx_903_edei--SecurityExchangeName_c2026"/>
            <w:bookmarkEnd w:id="35"/>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6" w:name="xdx_90F_edei--EntityEmergingGrowthCompan"/>
      <w:bookmarkEnd w:id="3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Saratoga Investment Corp. issued a press release announcing its financial results for the quarter ended May 31, 2026. A copy of the press release is furnished as Exhibit 99.1 to this Current Report on Form 8-K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this Item 2.02, including Exhibit 99.1 attached hereto, is being furnished and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 99.1 is being furnished herewith 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29727501ex99-1.htm">
              <w:r>
                <w:rPr>
                  <w:rStyle w:val="InternetLink"/>
                  <w:rFonts w:ascii="Times New Roman;Times;Serif" w:hAnsi="Times New Roman;Times;Serif"/>
                  <w:sz w:val="20"/>
                </w:rPr>
                <w:t>Press Release dated July 7, 2026 of Saratoga Investment Corp.*</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press release attached hereto as Exhibit 99.1 is “furnished” and not “filed,” as described in Item 2.02 of this Current Report on Form 8-K.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65" w:type="dxa"/>
        <w:jc w:val="left"/>
        <w:tblInd w:w="0" w:type="dxa"/>
        <w:tblLayout w:type="fixed"/>
        <w:tblCellMar>
          <w:top w:w="0" w:type="dxa"/>
          <w:left w:w="0" w:type="dxa"/>
          <w:bottom w:w="0" w:type="dxa"/>
          <w:right w:w="0" w:type="dxa"/>
        </w:tblCellMar>
      </w:tblPr>
      <w:tblGrid>
        <w:gridCol w:w="1520"/>
        <w:gridCol w:w="590"/>
        <w:gridCol w:w="5555"/>
      </w:tblGrid>
      <w:tr>
        <w:trPr/>
        <w:tc>
          <w:tcPr>
            <w:tcW w:w="1520" w:type="dxa"/>
            <w:tcBorders/>
            <w:vAlign w:val="center"/>
          </w:tcPr>
          <w:p>
            <w:pPr>
              <w:pStyle w:val="TableContents"/>
              <w:bidi w:val="0"/>
              <w:spacing w:before="0" w:after="283"/>
              <w:jc w:val="left"/>
              <w:rPr/>
            </w:pPr>
            <w:r>
              <w:rPr/>
              <w:t> </w:t>
            </w:r>
          </w:p>
        </w:tc>
        <w:tc>
          <w:tcPr>
            <w:tcW w:w="61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SARATOGA INVESTMENT CORP.</w:t>
            </w:r>
          </w:p>
        </w:tc>
      </w:tr>
      <w:tr>
        <w:trPr/>
        <w:tc>
          <w:tcPr>
            <w:tcW w:w="15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7,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5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Henri J. Steenkamp</w:t>
            </w:r>
          </w:p>
        </w:tc>
      </w:tr>
      <w:tr>
        <w:trPr/>
        <w:tc>
          <w:tcPr>
            <w:tcW w:w="15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Henri J. Steenkamp</w:t>
            </w:r>
          </w:p>
        </w:tc>
      </w:tr>
      <w:tr>
        <w:trPr/>
        <w:tc>
          <w:tcPr>
            <w:tcW w:w="15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Officer, Chief Compliance Officer, Treasurer and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920"/>
        <w:jc w:val="right"/>
        <w:rPr>
          <w:rFonts w:ascii="Times New Roman;Times;Serif" w:hAnsi="Times New Roman;Times;Serif"/>
          <w:b/>
          <w:i w:val="false"/>
          <w:caps w:val="false"/>
          <w:smallCaps w:val="false"/>
          <w:sz w:val="20"/>
        </w:rPr>
      </w:pPr>
      <w:bookmarkStart w:id="37" w:name="ea029727501ex99-1.htm"/>
      <w:bookmarkStart w:id="38" w:name="ksea029727501ex991"/>
      <w:bookmarkEnd w:id="37"/>
      <w:bookmarkEnd w:id="38"/>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33525"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285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Saratoga Investment Corp. Announces Fiscal First Quarter 2027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Quarterly Asset Growth of 1.6% and Net Originations of $31 Million, Including Two New Portfolio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Non-Accruals Decreased to 0.0% of Fair Value and 1.2% of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July 7, 2026</w:t>
      </w:r>
      <w:r>
        <w:rPr>
          <w:rFonts w:ascii="Times New Roman;Times;Serif" w:hAnsi="Times New Roman;Times;Serif"/>
          <w:b w:val="false"/>
          <w:i w:val="false"/>
          <w:caps w:val="false"/>
          <w:smallCaps w:val="false"/>
          <w:sz w:val="20"/>
        </w:rPr>
        <w:t xml:space="preserve"> – Saratoga Investment Corp. (NYSE: SAR) (“Saratoga Investment” or “the Company”), a business development company (“BDC”), today announced financial results for its fiscal first quarter 2027 ended May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Summary Financial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summarized financial information is as follows:</w:t>
      </w:r>
    </w:p>
    <w:p>
      <w:pPr>
        <w:pStyle w:val="TextBody"/>
        <w:bidi w:val="0"/>
        <w:spacing w:before="0" w:after="0"/>
        <w:ind w:left="0" w:right="0" w:hanging="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695"/>
        <w:gridCol w:w="60"/>
        <w:gridCol w:w="62"/>
        <w:gridCol w:w="1027"/>
        <w:gridCol w:w="303"/>
        <w:gridCol w:w="62"/>
        <w:gridCol w:w="77"/>
        <w:gridCol w:w="1277"/>
        <w:gridCol w:w="303"/>
        <w:gridCol w:w="62"/>
        <w:gridCol w:w="62"/>
        <w:gridCol w:w="838"/>
        <w:gridCol w:w="23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and as of</w:t>
            </w:r>
          </w:p>
        </w:tc>
        <w:tc>
          <w:tcPr>
            <w:tcW w:w="23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b/>
              </w:rPr>
            </w:pPr>
            <w:r>
              <w:rPr>
                <w:b/>
              </w:rPr>
              <w:t>($ in thousands, except per share)</w:t>
            </w:r>
          </w:p>
        </w:tc>
        <w:tc>
          <w:tcPr>
            <w:tcW w:w="60" w:type="dxa"/>
            <w:tcBorders/>
            <w:vAlign w:val="center"/>
          </w:tcPr>
          <w:p>
            <w:pPr>
              <w:pStyle w:val="TableContents"/>
              <w:bidi w:val="0"/>
              <w:spacing w:before="0" w:after="283"/>
              <w:jc w:val="center"/>
              <w:rPr/>
            </w:pPr>
            <w:r>
              <w:rPr/>
              <w:t> </w:t>
            </w:r>
          </w:p>
        </w:tc>
        <w:tc>
          <w:tcPr>
            <w:tcW w:w="10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May 31,</w:t>
              <w:br/>
              <w:t>2026</w:t>
            </w:r>
          </w:p>
        </w:tc>
        <w:tc>
          <w:tcPr>
            <w:tcW w:w="303"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February 28,</w:t>
              <w:br/>
              <w:t>2026</w:t>
            </w:r>
          </w:p>
        </w:tc>
        <w:tc>
          <w:tcPr>
            <w:tcW w:w="303"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9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May 31,</w:t>
              <w:br/>
              <w:t>2025</w:t>
            </w:r>
          </w:p>
        </w:tc>
        <w:tc>
          <w:tcPr>
            <w:tcW w:w="230" w:type="dxa"/>
            <w:tcBorders/>
            <w:vAlign w:val="center"/>
          </w:tcPr>
          <w:p>
            <w:pPr>
              <w:pStyle w:val="TableContents"/>
              <w:bidi w:val="0"/>
              <w:spacing w:before="0" w:after="283"/>
              <w:jc w:val="center"/>
              <w:rPr/>
            </w:pPr>
            <w:r>
              <w:rPr/>
              <w:t> </w:t>
            </w:r>
          </w:p>
        </w:tc>
      </w:tr>
      <w:tr>
        <w:trPr/>
        <w:tc>
          <w:tcPr>
            <w:tcW w:w="3695" w:type="dxa"/>
            <w:tcBorders/>
            <w:shd w:fill="CCEEFF" w:val="clear"/>
            <w:vAlign w:val="center"/>
          </w:tcPr>
          <w:p>
            <w:pPr>
              <w:pStyle w:val="TableContents"/>
              <w:bidi w:val="0"/>
              <w:spacing w:before="0" w:after="283"/>
              <w:jc w:val="both"/>
              <w:rPr/>
            </w:pPr>
            <w:r>
              <w:rPr/>
              <w:t>Assets Under Management (AUM)</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1,126,334</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1,109,134</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968,318</w:t>
            </w:r>
          </w:p>
        </w:tc>
        <w:tc>
          <w:tcPr>
            <w:tcW w:w="23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both"/>
              <w:rPr/>
            </w:pPr>
            <w:r>
              <w:rPr/>
              <w:t>Net Asset Value (NAV)</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378,455</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396,156</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396,369</w:t>
            </w:r>
          </w:p>
        </w:tc>
        <w:tc>
          <w:tcPr>
            <w:tcW w:w="23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both"/>
              <w:rPr/>
            </w:pPr>
            <w:r>
              <w:rPr/>
              <w:t>NAV per share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23.23</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24.42</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25.52</w:t>
            </w:r>
          </w:p>
        </w:tc>
        <w:tc>
          <w:tcPr>
            <w:tcW w:w="23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both"/>
              <w:rPr/>
            </w:pPr>
            <w:r>
              <w:rPr/>
              <w:t>Total Investment Income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30,777</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31,123</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32,319</w:t>
            </w:r>
          </w:p>
        </w:tc>
        <w:tc>
          <w:tcPr>
            <w:tcW w:w="23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both"/>
              <w:rPr/>
            </w:pPr>
            <w:r>
              <w:rPr/>
              <w:t>Net Investment Income (NII) per share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0.47</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0.48</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0.66</w:t>
            </w:r>
          </w:p>
        </w:tc>
        <w:tc>
          <w:tcPr>
            <w:tcW w:w="23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both"/>
              <w:rPr/>
            </w:pPr>
            <w:r>
              <w:rPr/>
              <w:t>Adjusted NII per share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0.47</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0.53</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0.66</w:t>
            </w:r>
          </w:p>
        </w:tc>
        <w:tc>
          <w:tcPr>
            <w:tcW w:w="23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both"/>
              <w:rPr/>
            </w:pPr>
            <w:r>
              <w:rPr/>
              <w:t>Earnings per share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(0.42</w:t>
            </w:r>
          </w:p>
        </w:tc>
        <w:tc>
          <w:tcPr>
            <w:tcW w:w="30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(0.16</w:t>
            </w:r>
          </w:p>
        </w:tc>
        <w:tc>
          <w:tcPr>
            <w:tcW w:w="30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0.91</w:t>
            </w:r>
          </w:p>
        </w:tc>
        <w:tc>
          <w:tcPr>
            <w:tcW w:w="23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both"/>
              <w:rPr/>
            </w:pPr>
            <w:r>
              <w:rPr/>
              <w:t>Dividends per share (record date)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0.75</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1.00</w:t>
            </w:r>
          </w:p>
        </w:tc>
        <w:tc>
          <w:tcPr>
            <w:tcW w:w="303"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0.75</w:t>
            </w:r>
          </w:p>
        </w:tc>
        <w:tc>
          <w:tcPr>
            <w:tcW w:w="23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both"/>
              <w:rPr/>
            </w:pPr>
            <w:r>
              <w:rPr/>
              <w:t>Return on Equity – last twelve months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4.0</w:t>
            </w:r>
          </w:p>
        </w:tc>
        <w:tc>
          <w:tcPr>
            <w:tcW w:w="30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9.1</w:t>
            </w:r>
          </w:p>
        </w:tc>
        <w:tc>
          <w:tcPr>
            <w:tcW w:w="30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9.3</w:t>
            </w:r>
          </w:p>
        </w:tc>
        <w:tc>
          <w:tcPr>
            <w:tcW w:w="230"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both"/>
              <w:rPr/>
            </w:pPr>
            <w:r>
              <w:rPr/>
              <w:t xml:space="preserve">– </w:t>
            </w:r>
            <w:r>
              <w:rPr/>
              <w:t>annualized quarter</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(7.1</w:t>
            </w:r>
          </w:p>
        </w:tc>
        <w:tc>
          <w:tcPr>
            <w:tcW w:w="303"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(2.6</w:t>
            </w:r>
          </w:p>
        </w:tc>
        <w:tc>
          <w:tcPr>
            <w:tcW w:w="303"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14.1</w:t>
            </w:r>
          </w:p>
        </w:tc>
        <w:tc>
          <w:tcPr>
            <w:tcW w:w="230"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both"/>
              <w:rPr/>
            </w:pPr>
            <w:r>
              <w:rPr/>
              <w:t>Originations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79,151</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135,139</w:t>
            </w:r>
          </w:p>
        </w:tc>
        <w:tc>
          <w:tcPr>
            <w:tcW w:w="30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50,086</w:t>
            </w:r>
          </w:p>
        </w:tc>
        <w:tc>
          <w:tcPr>
            <w:tcW w:w="23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both"/>
              <w:rPr/>
            </w:pPr>
            <w:r>
              <w:rPr/>
              <w:t>Repayments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48,415</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34,020</w:t>
            </w:r>
          </w:p>
        </w:tc>
        <w:tc>
          <w:tcPr>
            <w:tcW w:w="30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64,330</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283"/>
              <w:jc w:val="both"/>
              <w:rPr>
                <w:i/>
              </w:rPr>
            </w:pPr>
            <w:r>
              <w:rPr>
                <w:i/>
              </w:rPr>
              <w:t>Actual dividend of $1.00 per share, includes the additional special dividend of $0.25 per share declared during fiscal 2026 third quarter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L. Oberbeck, Chairman and Chief Executive Officer of Saratoga Investment, commented, “In a quarter defined by sector-wide pressure across private credit, Saratoga’s last twelve months return on equity of 4.0% continued to beat the BDC industry average of 2.4%, even as we grew assets under management 1.6% to $1.126 billion on $31 million of net originations. Our core BDC portfolio valuations this quarter reflected portfolio company and market adjustments, and core BDC portfolio fair value remains within 0.2% of cost, continuing to demonstrate solid overall credit quality in a challenging and volatile macroeconomic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Continuing our track record of strong dividend distributions, we recently announced a base monthly dividend of $0.25 per share, or $0.75 per share in aggregate for the second quarter of fiscal 2027. Our annualized second quarter dividend of $0.75 per share represents a 14.0% yield based on the stock price of $21.42 as of July 6, 2026, offering strong current income. Originations and AUM growth during the quarter contributed to adjusted NII of $0.47 per share, compared to $0.53 per share last quarter. Overall, our adjusted NII continues to reflect the impact of declining short-term interest rates and tight spreads on our largely floating rate asset base, as well as the full period impact of the recent changes to our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quarter, deal activity remained robust reflecting the impact of our recent business development efforts, despite persistent sector headwinds and the cautious sentiment that has taken hold across the broader private credit sector. Market dynamics continued to be very competitive. While our portfolio saw multiple debt repayments in Q1, our origination activity more than offset those exits, resulting in net originations of $30.8 million for the quarter from $79.2 million in new originations in two new portfolio companies and ten follow-ons, and including $11.0 million in six BB and BBB CLO debt investments. Our strong reputation, differentiated market positioning, and the ongoing development of sponsor relationships continue to create attractive investment opportunities from high quality sponsors. We remain prudent and discerning in our underwriting approach, particularly in light of the current volatile and uncertain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Saratoga’s overall performance is reflected in our key performance indicators this past quarter and year, including: (i) LTM ROE of 4.0% beating the BDC industry average of 2.4%, (ii) NAV decrease of $17.9 million, or 4.5%, to $378.5 million from the previous year, (iii) an increase in AUM of $17.2 million, or 1.6%, to $1.126 billion from the previous quarter, and $158.0 million, or 16.3%, from the previous year, (iv) adjusted NII of $0.47 versus $0.53 per share last quarter, (v) EPS of $(0.42) per share, down from $(0.16) in the previous quarter, and (vi) total dividends of $0.75 per share, unchanged from last quarter and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Sequential quarter NAV per share is down by 4.9% from $24.42 per share to $23.23 per share. Of the $1.19 per share reduction this quarter, $0.93 was due to the unrealized depreciation on investments discussed below, including both credit and equity investments, and $0.28 was due to the under-earning of the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total $1.126 billion portfolio was marked down $15.2 million during the quarter, including net depreciation of $18.3 million in the non-CLO core portfolio, partially offset by a write-up of $2.9 million in the JV and $0.3 million in the BB and BBB CLO debt portfolio. Of the non-CLO core portfolio depreciation, Pepper Palace, which has been written down to zero ($3.9 million), together with a handful of credits, primarily Exigo ($3.4 million) and Chronus ($1.5 million), represented $9.9 million, or 54% of the total reduction, reflecting company performance adjustments, with a further $6.0 million, or 33%, reflecting a broad market adjustment to comparable market multiples across many industries on equity positions held at or above cost, and the remaining 13% reflecting the impact of changes in market spreads across valuations. As of quarter-end, our core non-CLO portfolio was 0.2% below cost, for a total portfolio valuation at 3.6% below cost. This quarter’s results reflect a combination of portfolio company performance and market impacts on our overall portfolio, with both Pepper Palace, now carried at zero, and Exigo, carried at $17.3 million or 70% of its own total cost, on red watchlist status, indicating potential risk of loss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quarter, our core BDC net interest margin increased from $13.0 million last quarter to $13.4 million. The average core assets increase of 4.8% was offset by (i) the average SOFR rate used in the portfolio decreasing by 5 basis points from last quarter, (ii) spreads on originations this quarter being almost 50 basis points lower than on the repayments they replaced, and (iii) the relative timing of this quarter’s originations and repayments.”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quarter-end cash position increased from $21.8 million last quarter to $60.8 million, available to be deployed accretively in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overall credit quality remained solid this quarter, with 98.3% of credits rated in our highest internal category, a result we are proud of given the current headwinds in the industry, as seen in this quarter’s markdowns. Two investments are now on non-accrual status, being one, Pepper Palace, which has been on non-accrual status and fully written-off this quarter, and two, our CLO’s F-note, which was written off and placed on non-accrual last quarter, together representing 0.0% of fair value and 1.2% of cost. With 81.7% of our investments at quarter-end in first lien debt and generally supported by strong enterprise values and resilient balance sheets in industries that have historically performed well in stressed situations, we believe our portfolio composition and leverage profile are well structured to handle a wide range of economic conditions and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Oberbeck concluded, “As we progress through fiscal year 2027, the macroeconomic environment remains complex, shaped by geopolitical tensions, elevated inflation, and continued concerns about AI and software. These dynamics, combined with an uncertain interest rate environment, have driven a measurable rise in default rates and broad valuation pressure across the sector, with industry NAVs declining and a number of BDCs reducing their dividends this past quarter. This quarter’s credit related NAV decline, discussed above, reflects credit specific situations and does not appear indicative of a broader trend in our portfolio. The recent wave of BDC bond issuance, the rebound in higher-quality loan values, and improving M&amp;A activity point to a market that appears to be improving and differentiating among managers, and we are confident that our disciplined, senior secured, first-lien focused underwriting and conservative balance sheet position Saratoga to navigate this environment and continue delivering durable, risk-adjusted returns to our shareholders over the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Discussion of Financial Results for the Quarter ended May 31,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AUM </w:t>
            </w:r>
            <w:r>
              <w:rPr>
                <w:rFonts w:ascii="Times New Roman;Times;Serif" w:hAnsi="Times New Roman;Times;Serif"/>
              </w:rPr>
              <w:t>at fair value as of May 31, 2026 was $1.126 billion, an increase of 1.6% from $1.109 billion as of February 28, 2026, and an increase of 16.3% from $968.3 million as of May 31,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investment income</w:t>
            </w:r>
            <w:r>
              <w:rPr>
                <w:rFonts w:ascii="Times New Roman;Times;Serif" w:hAnsi="Times New Roman;Times;Serif"/>
              </w:rPr>
              <w:t xml:space="preserve"> for the three months ended May 31, 2026, was $30.8 million, a decrease of $1.5 million, or 4.8%, from $32.3 million for the quarter ended May 31, 2025, and a decrease of $0.3 million, or 1.1%, as compared to $31.1 million for the quarter ended February 28, 2026. This quarter’s investment income decrease, as compared to prior quarters, was primarily due to lower interest earned on the period’s cash balances in addition to lower interest earned on deployed capital than in prior quarters, partially offset by interest income derived from increased AUM. Investment income reflects a weighted average interest rate on the core BDC portfolio of 10.5%, down from 10.4% as of February 28, 2026 and 11.5% as of May 31, 2025, with the yield reduction primarily reflecting SOFR base rate decreases over the past year, but also indicative of recent tight spreads experienced on new originations versus historically higher spreads on repaid assets.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expenses</w:t>
            </w:r>
            <w:r>
              <w:rPr>
                <w:rFonts w:ascii="Times New Roman;Times;Serif" w:hAnsi="Times New Roman;Times;Serif"/>
              </w:rPr>
              <w:t xml:space="preserve"> for the quarter ended May 31, 2026, excluding interest and debt financing expenses, base management fees and incentive fees, and income and excise taxes, were $2.7 million, a decrease of $0.1 million compared to $2.8 million for the quarter ended May 31, 2025, and an increase of $0.3 million as compared to $2.4 million for the quarter ended February 28, 2026. This represented 0.9% of average total assets on an annualized basis, up from 0.8% both last quarter and last year.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Adjusted NII</w:t>
            </w:r>
            <w:r>
              <w:rPr>
                <w:rFonts w:ascii="Times New Roman;Times;Serif" w:hAnsi="Times New Roman;Times;Serif"/>
              </w:rPr>
              <w:t xml:space="preserve"> for the quarter ended May 31, 2026, was $7.6 million, a decrease of $2.5 million, or 25.1%, from $10.1 million in the quarter ended May 31, 2025, and a decrease of $0.9 million, or 11.0% from $8.5 million in the quarter ended February 28, 2026. The decrease from comparable quarters, in addition to the abovementioned interest income and operating expense changes, primarily reflects the full-period impact of the additional interest expense on the $50 million 7.25% private bond and the $100 million 7.5% public baby bond that was issued last quarter used to repay the $175 million 4.375% institutional bond at the end of February 2026.</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NII Yield</w:t>
            </w:r>
            <w:r>
              <w:rPr>
                <w:rFonts w:ascii="Times New Roman;Times;Serif" w:hAnsi="Times New Roman;Times;Serif"/>
              </w:rPr>
              <w:t xml:space="preserve"> as a percentage of average net asset value for the quarter ended May 31, 2026, was 7.8%. Adjusted NII Yield was also 7.8%, as compared to adjusted NII Yield of 10.3% last year, and 8.4% last quarter.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NAV </w:t>
            </w:r>
            <w:r>
              <w:rPr>
                <w:rFonts w:ascii="Times New Roman;Times;Serif" w:hAnsi="Times New Roman;Times;Serif"/>
              </w:rPr>
              <w:t xml:space="preserve">was $378.5 million as of May 31, 2026, a decrease of $17.9 million from $396.4 million as of May 31, 2025, and a decrease of $17.7 million from $396.2 million as of February 28, 2026.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NAV per share</w:t>
            </w:r>
            <w:r>
              <w:rPr>
                <w:rFonts w:ascii="Times New Roman;Times;Serif" w:hAnsi="Times New Roman;Times;Serif"/>
              </w:rPr>
              <w:t xml:space="preserve"> was $23.23 as of May 31, 2026, compared to $24.42 as of February 28, 2026, and $25.52 as of May 31, 2025.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Return on equity (“ROE”)</w:t>
            </w:r>
            <w:r>
              <w:rPr>
                <w:rFonts w:ascii="Times New Roman;Times;Serif" w:hAnsi="Times New Roman;Times;Serif"/>
              </w:rPr>
              <w:t xml:space="preserve"> for the last twelve months ended May 31, 2026, was 4.0%, down from 9.3% for the comparable period last year, and down from 9.1% for the twelve months ended February 28, 2026. ROE on an annualized basis for the quarter ended May 31, 2026 was (7.1)%.</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The weighted average common shares outstanding</w:t>
            </w:r>
            <w:r>
              <w:rPr>
                <w:rFonts w:ascii="Times New Roman;Times;Serif" w:hAnsi="Times New Roman;Times;Serif"/>
              </w:rPr>
              <w:t xml:space="preserve"> for the quarter ended May 31, 2026 was 16.3 million, up from 16.2 million shares last quarter and increasing from 15.3 million for the quarter ended May 31, 2025.</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Portfolio and Investment Activity for the Quarter Ended May 31, 2026</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Fair value of Saratoga Investment’s portfolio</w:t>
            </w:r>
            <w:r>
              <w:rPr>
                <w:rFonts w:ascii="Times New Roman;Times;Serif" w:hAnsi="Times New Roman;Times;Serif"/>
              </w:rPr>
              <w:t xml:space="preserve"> was $1.126 billion, excluding $60.8 million in cash and cash equivalents, principally invested in 50 portfolio companies, one collateralized loan obligation fund (the “CLO”), one joint venture fund (the “JV”), and 30 distinct BB and BBB CLO debt investments.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Cost of investments </w:t>
            </w:r>
            <w:r>
              <w:rPr>
                <w:rFonts w:ascii="Times New Roman;Times;Serif" w:hAnsi="Times New Roman;Times;Serif"/>
              </w:rPr>
              <w:t>made during the quarter ended May 31, 2026 were $79.2 million, including two investments in new portfolio companies and ten follow-on investments.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Principal repayments </w:t>
            </w:r>
            <w:r>
              <w:rPr>
                <w:rFonts w:ascii="Times New Roman;Times;Serif" w:hAnsi="Times New Roman;Times;Serif"/>
              </w:rPr>
              <w:t xml:space="preserve">during the quarter ended May 31, 2026, were $48.4 million, including one full debt repayment, four partial repayments, plus amortization. </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For the quarter ended May 31, 2026, the fair value of the portfolio decreased by $15.0 million of net realized gains and unrealized depreciation, consisting of (i) net unrealized depreciation of $18.3 million in the Non-CLO core portfolio (ii) net unrealized appreciation of $3.2 million in the JV and BB/BBB CLO debt portfolio, and (iii) net realized gains of $0.2 million, consisting of the receipt of an escrow payment on Netreo generating $0.6m realized gains, partially offset by the write-off of TG Pressure Washing’s equity of $0.5 million.</w:t>
            </w:r>
          </w:p>
        </w:tc>
      </w:tr>
    </w:tbl>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The $18.3 million unrealized depreciation in the non-CLO core portfolio consists of three different components:</w:t>
            </w:r>
          </w:p>
        </w:tc>
      </w:tr>
    </w:tbl>
    <w:p>
      <w:pPr>
        <w:pStyle w:val="TextBody"/>
        <w:bidi w:val="0"/>
        <w:spacing w:before="0" w:after="0"/>
        <w:ind w:left="28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addition to Pepper Palace that was written down to zero, there are primarily two other assets that showed signs of performance deterioration this quarter, being Exigo and Chronus, with all performance assets combined representing $9.9 million, or 54% of the above write-down,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There was also a market adjustment to comparable market multiples for many of our industries, and these have been reflected in the equity valuations of a group of assets in our portfolio that had been trading at a premium to cost and post-markdown still remain above or close to cost. This mark-down totals approx. $6.0 million, or 33% of the total write-down, and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remaining 13% of the overall portfolio mark-down relates to the impact of recent market spreads on our valuations.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Since taking over management of the BDC in 2010, the Company has generated $1.37 billion of repayments and sales of investments originated by Saratoga Investment, generating a gross unlevered IRR of 14.9%. Total investments originated by Saratoga are $2.60 billion in 132 portfolio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The overall portfolio composition</w:t>
            </w:r>
            <w:r>
              <w:rPr>
                <w:rFonts w:ascii="Times New Roman;Times;Serif" w:hAnsi="Times New Roman;Times;Serif"/>
              </w:rPr>
              <w:t xml:space="preserve"> consisted of 81.7% of first lien term loans, 3.8% of second lien term loans, 1.4% of unsecured loans, 5.9% of structured finance securities, and 7.2% of common equity.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The weighted average current yield</w:t>
            </w:r>
            <w:r>
              <w:rPr>
                <w:rFonts w:ascii="Times New Roman;Times;Serif" w:hAnsi="Times New Roman;Times;Serif"/>
              </w:rPr>
              <w:t xml:space="preserve"> on Saratoga Investment’s portfolio based on current fair values was 9.8%, which was comprised of a weighted average current yield of 10.5% on first lien term loans, 11.9% on second lien term loans, 11.2% on unsecured loans, 11.0% on structured finance securities and 0.0% on equity interests.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Outstanding Borrowings: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April 10, 2026, we issued $25.0 million in aggregate principal amount of 7.25% fixed-rate notes due 2029 (the “7.25% 2029 Notes”) for net proceeds of approximately $24.5 million, based on an offering price of 98.00% per Note. Estimated offering costs incurred were approximately $0.2 million. Interest on the 7.25% 2029 Notes is paid quarterly on February 28, May 31, August 31 and November 30 of each year, with the first payment made on May 31, 2026. The Notes will mature on April 10, 2029, and may be extended to October 10, 2029, at Saratoga Investment’s sole discretion. The Notes may be redeemed at our option, in whole or in part at any time, or from time to time on or after April 10, 2027, at the redemption price of par, plus accrued and unpaid interest. Pursuant to the terms of the Notes Purchase Agreement, upon the mutual agreement of both parties, we may issue additional Notes for sale in subsequent offerings up to a maximum of $25.0 million by July 10,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May 31, 2026 Saratoga Investment had $817.4 million of borrowings outstanding, including $32.5 million under its $85.0 million senior secured revolving Valley Credit Facility and $37.5 million under its $75.0 million senior secured revolving Live Oak Credit Facility.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In addition, Saratoga Investment had $84.0 million of SBA debentures in its SBIC II license outstanding, $129.0 million of SBA debentures in its SBIC III license outstanding, $369.4 million of listed baby bonds issued, $75.0 million of unsecured unlisted institutional bond issuances, four unlisted private issuances of $90.0 million in total, and an aggregate of $60.8 million in cash and cash equivalents.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Undrawn Borrowing Capacity: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With $90.0 million available under the two credit facilities and $60.8 million of cash and cash equivalents as of May 31, 2026, Saratoga Investment has a total of $150.8 million of undrawn credit facility borrowing capacity and cash and cash equivalents to be used for new investments or to support existing portfolio companies in the BDC and the SBIC.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addition, Saratoga Investment has $46.0 million in undrawn SBA debentures available from its existing SBIC III license. And in May 2026, legislation amending the Small Business Investment Act of 1958 increased the individual SBIC leverage limit from $175.0 million to $250.0 million, and the maximum leverage available for two or more SBICs under common control from $350.0 million to $475.0 million, in each case subject to SBA approvals.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Availability under the Valley National Bank and Live Oak credit facilities can change depending on portfolio company performance and valuation. In addition, certain follow-on investments in SBIC II and the BDC will not qualify for SBIC III funding.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Saratoga Investment undrawn borrowing capacity is therefore $196.8 million as of May 31,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May 31, 2026, Saratoga Investment had $120.1 million of committed undrawn lending commitments and $65.1 million of discretionary funding commitments.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Additionally: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Saratoga Investment has an active equity distribution agreement with Ladenburg Thalmann &amp; Co. Inc., Raymond James and Associates, Inc, Lucid Capital Markets, LLC and Compass Point Research and Trading, LLC, through which the Company may offer for sale, from time to time, up to $300.0 million of common stock through an ATM offering. </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As of May 31, 2026, Saratoga Investment has sold 8,591,915 shares for gross proceeds of $227.2 million at an average price of $26.42 for aggregate net proceeds of $225.4 million (net of transaction costs).</w:t>
            </w:r>
          </w:p>
        </w:tc>
      </w:tr>
    </w:tbl>
    <w:p>
      <w:pPr>
        <w:pStyle w:val="TextBody"/>
        <w:bidi w:val="0"/>
        <w:spacing w:before="0" w:after="0"/>
        <w:ind w:left="18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During the three months ended May 31, 2026, Saratoga Investment did not sell any shares through its ATM Program.</w:t>
            </w:r>
          </w:p>
        </w:tc>
      </w:tr>
    </w:tbl>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180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180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2026, Saratoga Investment announced that its Board of Directors declared a base quarterly dividend of $0.75 per share in aggregate for the second quarter of fiscal 2027, declaring the following three monthly $0.25 per share dividends:</w:t>
      </w:r>
    </w:p>
    <w:p>
      <w:pPr>
        <w:pStyle w:val="TextBody"/>
        <w:bidi w:val="0"/>
        <w:spacing w:before="0" w:after="0"/>
        <w:ind w:left="0" w:right="0" w:hanging="0"/>
        <w:jc w:val="both"/>
        <w:rPr>
          <w:caps w:val="false"/>
          <w:smallCaps w:val="false"/>
        </w:rPr>
      </w:pPr>
      <w:r>
        <w:rPr>
          <w:caps w:val="false"/>
          <w:smallCaps w:val="false"/>
        </w:rPr>
        <w:t> </w:t>
      </w:r>
    </w:p>
    <w:tbl>
      <w:tblPr>
        <w:tblW w:w="6529" w:type="dxa"/>
        <w:jc w:val="left"/>
        <w:tblInd w:w="0" w:type="dxa"/>
        <w:tblLayout w:type="fixed"/>
        <w:tblCellMar>
          <w:top w:w="0" w:type="dxa"/>
          <w:left w:w="0" w:type="dxa"/>
          <w:bottom w:w="28" w:type="dxa"/>
          <w:right w:w="0" w:type="dxa"/>
        </w:tblCellMar>
      </w:tblPr>
      <w:tblGrid>
        <w:gridCol w:w="1265"/>
        <w:gridCol w:w="60"/>
        <w:gridCol w:w="308"/>
        <w:gridCol w:w="971"/>
        <w:gridCol w:w="60"/>
        <w:gridCol w:w="60"/>
        <w:gridCol w:w="1805"/>
        <w:gridCol w:w="60"/>
        <w:gridCol w:w="1940"/>
      </w:tblGrid>
      <w:tr>
        <w:trPr/>
        <w:tc>
          <w:tcPr>
            <w:tcW w:w="1265" w:type="dxa"/>
            <w:tcBorders>
              <w:bottom w:val="single" w:sz="12" w:space="0" w:color="000000"/>
            </w:tcBorders>
            <w:vAlign w:val="center"/>
          </w:tcPr>
          <w:p>
            <w:pPr>
              <w:pStyle w:val="TableContents"/>
              <w:bidi w:val="0"/>
              <w:spacing w:before="0" w:after="283"/>
              <w:jc w:val="left"/>
              <w:rPr>
                <w:b/>
              </w:rPr>
            </w:pPr>
            <w:r>
              <w:rPr>
                <w:b/>
              </w:rPr>
              <w:t>Month</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12" w:space="0" w:color="000000"/>
            </w:tcBorders>
            <w:vAlign w:val="center"/>
          </w:tcPr>
          <w:p>
            <w:pPr>
              <w:pStyle w:val="TableContents"/>
              <w:bidi w:val="0"/>
              <w:spacing w:before="0" w:after="283"/>
              <w:jc w:val="center"/>
              <w:rPr>
                <w:b/>
              </w:rPr>
            </w:pPr>
            <w:r>
              <w:rPr>
                <w:b/>
              </w:rPr>
              <w:t>Amount Per</w:t>
              <w:br/>
              <w:t>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05" w:type="dxa"/>
            <w:tcBorders>
              <w:bottom w:val="single" w:sz="12" w:space="0" w:color="000000"/>
            </w:tcBorders>
            <w:vAlign w:val="center"/>
          </w:tcPr>
          <w:p>
            <w:pPr>
              <w:pStyle w:val="TableContents"/>
              <w:bidi w:val="0"/>
              <w:spacing w:before="0" w:after="283"/>
              <w:jc w:val="center"/>
              <w:rPr>
                <w:b/>
              </w:rPr>
            </w:pPr>
            <w:r>
              <w:rPr>
                <w:b/>
              </w:rPr>
              <w:t>Record Date</w:t>
            </w:r>
          </w:p>
        </w:tc>
        <w:tc>
          <w:tcPr>
            <w:tcW w:w="60" w:type="dxa"/>
            <w:tcBorders/>
            <w:tcMar>
              <w:bottom w:w="0" w:type="dxa"/>
            </w:tcMar>
            <w:vAlign w:val="center"/>
          </w:tcPr>
          <w:p>
            <w:pPr>
              <w:pStyle w:val="TableContents"/>
              <w:bidi w:val="0"/>
              <w:spacing w:before="0" w:after="283"/>
              <w:jc w:val="left"/>
              <w:rPr/>
            </w:pPr>
            <w:r>
              <w:rPr/>
              <w:t> </w:t>
            </w:r>
          </w:p>
        </w:tc>
        <w:tc>
          <w:tcPr>
            <w:tcW w:w="1940" w:type="dxa"/>
            <w:tcBorders>
              <w:bottom w:val="single" w:sz="12" w:space="0" w:color="000000"/>
            </w:tcBorders>
            <w:vAlign w:val="center"/>
          </w:tcPr>
          <w:p>
            <w:pPr>
              <w:pStyle w:val="TableContents"/>
              <w:bidi w:val="0"/>
              <w:spacing w:before="0" w:after="283"/>
              <w:jc w:val="center"/>
              <w:rPr>
                <w:b/>
              </w:rPr>
            </w:pPr>
            <w:r>
              <w:rPr>
                <w:b/>
              </w:rPr>
              <w:t>Payment Date</w:t>
            </w:r>
          </w:p>
        </w:tc>
      </w:tr>
      <w:tr>
        <w:trPr/>
        <w:tc>
          <w:tcPr>
            <w:tcW w:w="1265" w:type="dxa"/>
            <w:tcBorders/>
            <w:shd w:fill="CCEEFF" w:val="clear"/>
            <w:tcMar>
              <w:bottom w:w="0" w:type="dxa"/>
            </w:tcMar>
            <w:vAlign w:val="center"/>
          </w:tcPr>
          <w:p>
            <w:pPr>
              <w:pStyle w:val="TableContents"/>
              <w:bidi w:val="0"/>
              <w:spacing w:before="0" w:after="283"/>
              <w:jc w:val="both"/>
              <w:rPr/>
            </w:pPr>
            <w:r>
              <w:rPr/>
              <w:t>June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w:t>
            </w:r>
          </w:p>
        </w:tc>
        <w:tc>
          <w:tcPr>
            <w:tcW w:w="971" w:type="dxa"/>
            <w:tcBorders/>
            <w:shd w:fill="CCEEFF" w:val="clear"/>
            <w:tcMar>
              <w:bottom w:w="0" w:type="dxa"/>
            </w:tcMar>
            <w:vAlign w:val="center"/>
          </w:tcPr>
          <w:p>
            <w:pPr>
              <w:pStyle w:val="TableContents"/>
              <w:bidi w:val="0"/>
              <w:spacing w:before="0" w:after="283"/>
              <w:jc w:val="right"/>
              <w:rPr/>
            </w:pPr>
            <w:r>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center"/>
              <w:rPr/>
            </w:pPr>
            <w:r>
              <w:rPr/>
              <w:t>July 6,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r>
              <w:rPr/>
              <w:t>July 23, 2026</w:t>
            </w:r>
          </w:p>
        </w:tc>
      </w:tr>
      <w:tr>
        <w:trPr/>
        <w:tc>
          <w:tcPr>
            <w:tcW w:w="1265" w:type="dxa"/>
            <w:tcBorders/>
            <w:shd w:fill="FFFFFF" w:val="clear"/>
            <w:tcMar>
              <w:bottom w:w="0" w:type="dxa"/>
            </w:tcMar>
            <w:vAlign w:val="center"/>
          </w:tcPr>
          <w:p>
            <w:pPr>
              <w:pStyle w:val="TableContents"/>
              <w:bidi w:val="0"/>
              <w:spacing w:before="0" w:after="283"/>
              <w:jc w:val="both"/>
              <w:rPr/>
            </w:pPr>
            <w:r>
              <w:rPr/>
              <w:t>July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w:t>
            </w:r>
          </w:p>
        </w:tc>
        <w:tc>
          <w:tcPr>
            <w:tcW w:w="971" w:type="dxa"/>
            <w:tcBorders/>
            <w:shd w:fill="FFFFFF" w:val="clear"/>
            <w:tcMar>
              <w:bottom w:w="0" w:type="dxa"/>
            </w:tcMar>
            <w:vAlign w:val="center"/>
          </w:tcPr>
          <w:p>
            <w:pPr>
              <w:pStyle w:val="TableContents"/>
              <w:bidi w:val="0"/>
              <w:spacing w:before="0" w:after="283"/>
              <w:jc w:val="right"/>
              <w:rPr/>
            </w:pPr>
            <w:r>
              <w:rPr/>
              <w:t>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5" w:type="dxa"/>
            <w:tcBorders/>
            <w:shd w:fill="FFFFFF" w:val="clear"/>
            <w:tcMar>
              <w:bottom w:w="0" w:type="dxa"/>
            </w:tcMar>
            <w:vAlign w:val="center"/>
          </w:tcPr>
          <w:p>
            <w:pPr>
              <w:pStyle w:val="TableContents"/>
              <w:bidi w:val="0"/>
              <w:spacing w:before="0" w:after="283"/>
              <w:jc w:val="center"/>
              <w:rPr/>
            </w:pPr>
            <w:r>
              <w:rPr/>
              <w:t>August 5,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center"/>
              <w:rPr/>
            </w:pPr>
            <w:r>
              <w:rPr/>
              <w:t>August 25, 2026</w:t>
            </w:r>
          </w:p>
        </w:tc>
      </w:tr>
      <w:tr>
        <w:trPr/>
        <w:tc>
          <w:tcPr>
            <w:tcW w:w="1265" w:type="dxa"/>
            <w:tcBorders/>
            <w:shd w:fill="CCEEFF" w:val="clear"/>
            <w:tcMar>
              <w:bottom w:w="0" w:type="dxa"/>
            </w:tcMar>
            <w:vAlign w:val="center"/>
          </w:tcPr>
          <w:p>
            <w:pPr>
              <w:pStyle w:val="TableContents"/>
              <w:bidi w:val="0"/>
              <w:spacing w:before="0" w:after="283"/>
              <w:jc w:val="both"/>
              <w:rPr/>
            </w:pPr>
            <w:r>
              <w:rPr/>
              <w:t>August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w:t>
            </w:r>
          </w:p>
        </w:tc>
        <w:tc>
          <w:tcPr>
            <w:tcW w:w="971" w:type="dxa"/>
            <w:tcBorders/>
            <w:shd w:fill="CCEEFF" w:val="clear"/>
            <w:tcMar>
              <w:bottom w:w="0" w:type="dxa"/>
            </w:tcMar>
            <w:vAlign w:val="center"/>
          </w:tcPr>
          <w:p>
            <w:pPr>
              <w:pStyle w:val="TableContents"/>
              <w:bidi w:val="0"/>
              <w:spacing w:before="0" w:after="283"/>
              <w:jc w:val="right"/>
              <w:rPr/>
            </w:pPr>
            <w:r>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center"/>
              <w:rPr/>
            </w:pPr>
            <w:r>
              <w:rPr/>
              <w:t>September 3,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center"/>
              <w:rPr/>
            </w:pPr>
            <w:r>
              <w:rPr/>
              <w:t>September 23,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have the option to receive payment of dividends in cash or receive shares of common stock, pursuant to the Company’s DRIP. Shares issued under the Company’s DRIP are issued at a 5% discount to the average market price per share at the close of trading on the ten trading days immediately preceding (and including) the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highlights Saratoga Investment’s monthly dividend distribution for fiscal 2027 and annual distribution over the past four years:</w:t>
      </w:r>
    </w:p>
    <w:p>
      <w:pPr>
        <w:pStyle w:val="TextBody"/>
        <w:bidi w:val="0"/>
        <w:spacing w:before="0" w:after="0"/>
        <w:ind w:left="0" w:right="0" w:hanging="0"/>
        <w:jc w:val="both"/>
        <w:rPr>
          <w:caps w:val="false"/>
          <w:smallCaps w:val="false"/>
        </w:rPr>
      </w:pPr>
      <w:r>
        <w:rPr>
          <w:caps w:val="false"/>
          <w:smallCaps w:val="false"/>
        </w:rPr>
        <w:t> </w:t>
      </w:r>
    </w:p>
    <w:tbl>
      <w:tblPr>
        <w:tblW w:w="6977" w:type="dxa"/>
        <w:jc w:val="left"/>
        <w:tblInd w:w="0" w:type="dxa"/>
        <w:tblLayout w:type="fixed"/>
        <w:tblCellMar>
          <w:top w:w="0" w:type="dxa"/>
          <w:left w:w="0" w:type="dxa"/>
          <w:bottom w:w="28" w:type="dxa"/>
          <w:right w:w="0" w:type="dxa"/>
        </w:tblCellMar>
      </w:tblPr>
      <w:tblGrid>
        <w:gridCol w:w="3485"/>
        <w:gridCol w:w="60"/>
        <w:gridCol w:w="250"/>
        <w:gridCol w:w="789"/>
        <w:gridCol w:w="60"/>
        <w:gridCol w:w="60"/>
        <w:gridCol w:w="250"/>
        <w:gridCol w:w="789"/>
        <w:gridCol w:w="60"/>
        <w:gridCol w:w="60"/>
        <w:gridCol w:w="250"/>
        <w:gridCol w:w="789"/>
        <w:gridCol w:w="75"/>
      </w:tblGrid>
      <w:tr>
        <w:trPr/>
        <w:tc>
          <w:tcPr>
            <w:tcW w:w="3485" w:type="dxa"/>
            <w:tcBorders>
              <w:bottom w:val="single" w:sz="12" w:space="0" w:color="000000"/>
            </w:tcBorders>
            <w:vAlign w:val="center"/>
          </w:tcPr>
          <w:p>
            <w:pPr>
              <w:pStyle w:val="TableContents"/>
              <w:bidi w:val="0"/>
              <w:spacing w:before="0" w:after="283"/>
              <w:jc w:val="left"/>
              <w:rPr>
                <w:b/>
              </w:rPr>
            </w:pPr>
            <w:r>
              <w:rPr>
                <w:b/>
              </w:rPr>
              <w:t>Period (Fiscal Year ends Feb)</w:t>
            </w:r>
          </w:p>
        </w:tc>
        <w:tc>
          <w:tcPr>
            <w:tcW w:w="60" w:type="dxa"/>
            <w:tcBorders/>
            <w:tcMar>
              <w:bottom w:w="0" w:type="dxa"/>
            </w:tcMar>
            <w:vAlign w:val="center"/>
          </w:tcPr>
          <w:p>
            <w:pPr>
              <w:pStyle w:val="TableContents"/>
              <w:bidi w:val="0"/>
              <w:spacing w:before="0" w:after="283"/>
              <w:jc w:val="center"/>
              <w:rPr/>
            </w:pPr>
            <w:r>
              <w:rPr/>
              <w:t> </w:t>
            </w:r>
          </w:p>
        </w:tc>
        <w:tc>
          <w:tcPr>
            <w:tcW w:w="1039" w:type="dxa"/>
            <w:gridSpan w:val="2"/>
            <w:tcBorders>
              <w:bottom w:val="single" w:sz="12" w:space="0" w:color="000000"/>
            </w:tcBorders>
            <w:vAlign w:val="center"/>
          </w:tcPr>
          <w:p>
            <w:pPr>
              <w:pStyle w:val="TableContents"/>
              <w:bidi w:val="0"/>
              <w:spacing w:before="0" w:after="283"/>
              <w:jc w:val="center"/>
              <w:rPr>
                <w:b/>
              </w:rPr>
            </w:pPr>
            <w:r>
              <w:rPr>
                <w:b/>
              </w:rPr>
              <w:t>Base</w:t>
              <w:br/>
              <w:t>Dividend</w:t>
              <w:br/>
              <w:t>Per Share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39" w:type="dxa"/>
            <w:gridSpan w:val="2"/>
            <w:tcBorders>
              <w:bottom w:val="single" w:sz="12" w:space="0" w:color="000000"/>
            </w:tcBorders>
            <w:vAlign w:val="center"/>
          </w:tcPr>
          <w:p>
            <w:pPr>
              <w:pStyle w:val="TableContents"/>
              <w:bidi w:val="0"/>
              <w:spacing w:before="0" w:after="283"/>
              <w:jc w:val="center"/>
              <w:rPr>
                <w:b/>
              </w:rPr>
            </w:pPr>
            <w:r>
              <w:rPr>
                <w:b/>
              </w:rPr>
              <w:t>Special</w:t>
              <w:br/>
              <w:t>Dividend</w:t>
              <w:br/>
              <w:t>Per Share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39" w:type="dxa"/>
            <w:gridSpan w:val="2"/>
            <w:tcBorders>
              <w:bottom w:val="single" w:sz="12" w:space="0" w:color="000000"/>
            </w:tcBorders>
            <w:vAlign w:val="center"/>
          </w:tcPr>
          <w:p>
            <w:pPr>
              <w:pStyle w:val="TableContents"/>
              <w:bidi w:val="0"/>
              <w:spacing w:before="0" w:after="283"/>
              <w:jc w:val="center"/>
              <w:rPr>
                <w:b/>
              </w:rPr>
            </w:pPr>
            <w:r>
              <w:rPr>
                <w:b/>
              </w:rPr>
              <w:t>Total</w:t>
              <w:br/>
              <w:t xml:space="preserve">Dividend </w:t>
              <w:br/>
              <w:t>Per Share</w:t>
            </w:r>
          </w:p>
        </w:tc>
        <w:tc>
          <w:tcPr>
            <w:tcW w:w="75" w:type="dxa"/>
            <w:tcBorders/>
            <w:tcMar>
              <w:bottom w:w="0" w:type="dxa"/>
            </w:tcMar>
            <w:vAlign w:val="center"/>
          </w:tcPr>
          <w:p>
            <w:pPr>
              <w:pStyle w:val="TableContents"/>
              <w:bidi w:val="0"/>
              <w:spacing w:before="0" w:after="283"/>
              <w:jc w:val="center"/>
              <w:rPr/>
            </w:pPr>
            <w:r>
              <w:rPr/>
              <w:t> </w:t>
            </w:r>
          </w:p>
        </w:tc>
      </w:tr>
      <w:tr>
        <w:trPr/>
        <w:tc>
          <w:tcPr>
            <w:tcW w:w="3485" w:type="dxa"/>
            <w:tcBorders/>
            <w:shd w:fill="CCEEFF" w:val="clear"/>
            <w:tcMar>
              <w:bottom w:w="0" w:type="dxa"/>
            </w:tcMar>
            <w:vAlign w:val="center"/>
          </w:tcPr>
          <w:p>
            <w:pPr>
              <w:pStyle w:val="TableContents"/>
              <w:bidi w:val="0"/>
              <w:spacing w:before="0" w:after="283"/>
              <w:jc w:val="both"/>
              <w:rPr/>
            </w:pPr>
            <w:r>
              <w:rPr/>
              <w:t>Fiscal Q2 2027 (August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789" w:type="dxa"/>
            <w:tcBorders/>
            <w:shd w:fill="CCEEFF" w:val="clear"/>
            <w:tcMar>
              <w:bottom w:w="0" w:type="dxa"/>
            </w:tcMar>
            <w:vAlign w:val="center"/>
          </w:tcPr>
          <w:p>
            <w:pPr>
              <w:pStyle w:val="TableContents"/>
              <w:bidi w:val="0"/>
              <w:spacing w:before="0" w:after="283"/>
              <w:jc w:val="right"/>
              <w:rPr/>
            </w:pPr>
            <w:r>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78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789" w:type="dxa"/>
            <w:tcBorders/>
            <w:shd w:fill="CCEEFF" w:val="clear"/>
            <w:tcMar>
              <w:bottom w:w="0" w:type="dxa"/>
            </w:tcMar>
            <w:vAlign w:val="center"/>
          </w:tcPr>
          <w:p>
            <w:pPr>
              <w:pStyle w:val="TableContents"/>
              <w:bidi w:val="0"/>
              <w:spacing w:before="0" w:after="283"/>
              <w:jc w:val="right"/>
              <w:rPr/>
            </w:pPr>
            <w:r>
              <w:rPr/>
              <w:t>0.25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both"/>
              <w:rPr/>
            </w:pPr>
            <w:r>
              <w:rPr/>
              <w:t>Fiscal Q2 2027 (July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w:t>
            </w:r>
          </w:p>
        </w:tc>
        <w:tc>
          <w:tcPr>
            <w:tcW w:w="789" w:type="dxa"/>
            <w:tcBorders/>
            <w:shd w:fill="FFFFFF" w:val="clear"/>
            <w:tcMar>
              <w:bottom w:w="0" w:type="dxa"/>
            </w:tcMar>
            <w:vAlign w:val="center"/>
          </w:tcPr>
          <w:p>
            <w:pPr>
              <w:pStyle w:val="TableContents"/>
              <w:bidi w:val="0"/>
              <w:spacing w:before="0" w:after="283"/>
              <w:jc w:val="right"/>
              <w:rPr/>
            </w:pPr>
            <w:r>
              <w:rPr/>
              <w:t>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78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w:t>
            </w:r>
          </w:p>
        </w:tc>
        <w:tc>
          <w:tcPr>
            <w:tcW w:w="789" w:type="dxa"/>
            <w:tcBorders/>
            <w:shd w:fill="FFFFFF" w:val="clear"/>
            <w:tcMar>
              <w:bottom w:w="0" w:type="dxa"/>
            </w:tcMar>
            <w:vAlign w:val="center"/>
          </w:tcPr>
          <w:p>
            <w:pPr>
              <w:pStyle w:val="TableContents"/>
              <w:bidi w:val="0"/>
              <w:spacing w:before="0" w:after="283"/>
              <w:jc w:val="right"/>
              <w:rPr/>
            </w:pPr>
            <w:r>
              <w:rPr/>
              <w:t>0.25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both"/>
              <w:rPr/>
            </w:pPr>
            <w:r>
              <w:rPr/>
              <w:t>Fiscal Q2 2027 (June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789" w:type="dxa"/>
            <w:tcBorders/>
            <w:shd w:fill="CCEEFF" w:val="clear"/>
            <w:tcMar>
              <w:bottom w:w="0" w:type="dxa"/>
            </w:tcMar>
            <w:vAlign w:val="center"/>
          </w:tcPr>
          <w:p>
            <w:pPr>
              <w:pStyle w:val="TableContents"/>
              <w:bidi w:val="0"/>
              <w:spacing w:before="0" w:after="283"/>
              <w:jc w:val="right"/>
              <w:rPr/>
            </w:pPr>
            <w:r>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78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789" w:type="dxa"/>
            <w:tcBorders/>
            <w:shd w:fill="CCEEFF" w:val="clear"/>
            <w:tcMar>
              <w:bottom w:w="0" w:type="dxa"/>
            </w:tcMar>
            <w:vAlign w:val="center"/>
          </w:tcPr>
          <w:p>
            <w:pPr>
              <w:pStyle w:val="TableContents"/>
              <w:bidi w:val="0"/>
              <w:spacing w:before="0" w:after="283"/>
              <w:jc w:val="right"/>
              <w:rPr/>
            </w:pPr>
            <w:r>
              <w:rPr/>
              <w:t>0.25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both"/>
              <w:rPr/>
            </w:pPr>
            <w:r>
              <w:rPr/>
              <w:t>Fiscal Q1 2027 (May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w:t>
            </w:r>
          </w:p>
        </w:tc>
        <w:tc>
          <w:tcPr>
            <w:tcW w:w="789" w:type="dxa"/>
            <w:tcBorders/>
            <w:shd w:fill="FFFFFF" w:val="clear"/>
            <w:tcMar>
              <w:bottom w:w="0" w:type="dxa"/>
            </w:tcMar>
            <w:vAlign w:val="center"/>
          </w:tcPr>
          <w:p>
            <w:pPr>
              <w:pStyle w:val="TableContents"/>
              <w:bidi w:val="0"/>
              <w:spacing w:before="0" w:after="283"/>
              <w:jc w:val="right"/>
              <w:rPr/>
            </w:pPr>
            <w:r>
              <w:rPr/>
              <w:t>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78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w:t>
            </w:r>
          </w:p>
        </w:tc>
        <w:tc>
          <w:tcPr>
            <w:tcW w:w="789" w:type="dxa"/>
            <w:tcBorders/>
            <w:shd w:fill="FFFFFF" w:val="clear"/>
            <w:tcMar>
              <w:bottom w:w="0" w:type="dxa"/>
            </w:tcMar>
            <w:vAlign w:val="center"/>
          </w:tcPr>
          <w:p>
            <w:pPr>
              <w:pStyle w:val="TableContents"/>
              <w:bidi w:val="0"/>
              <w:spacing w:before="0" w:after="283"/>
              <w:jc w:val="right"/>
              <w:rPr/>
            </w:pPr>
            <w:r>
              <w:rPr/>
              <w:t>0.25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both"/>
              <w:rPr/>
            </w:pPr>
            <w:r>
              <w:rPr/>
              <w:t>Fiscal Q1 2027 (April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789" w:type="dxa"/>
            <w:tcBorders/>
            <w:shd w:fill="CCEEFF" w:val="clear"/>
            <w:tcMar>
              <w:bottom w:w="0" w:type="dxa"/>
            </w:tcMar>
            <w:vAlign w:val="center"/>
          </w:tcPr>
          <w:p>
            <w:pPr>
              <w:pStyle w:val="TableContents"/>
              <w:bidi w:val="0"/>
              <w:spacing w:before="0" w:after="283"/>
              <w:jc w:val="right"/>
              <w:rPr/>
            </w:pPr>
            <w:r>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78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789" w:type="dxa"/>
            <w:tcBorders/>
            <w:shd w:fill="CCEEFF" w:val="clear"/>
            <w:tcMar>
              <w:bottom w:w="0" w:type="dxa"/>
            </w:tcMar>
            <w:vAlign w:val="center"/>
          </w:tcPr>
          <w:p>
            <w:pPr>
              <w:pStyle w:val="TableContents"/>
              <w:bidi w:val="0"/>
              <w:spacing w:before="0" w:after="283"/>
              <w:jc w:val="right"/>
              <w:rPr/>
            </w:pPr>
            <w:r>
              <w:rPr/>
              <w:t>0.25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both"/>
              <w:rPr/>
            </w:pPr>
            <w:r>
              <w:rPr/>
              <w:t>Fiscal Q1 2027 (March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w:t>
            </w:r>
          </w:p>
        </w:tc>
        <w:tc>
          <w:tcPr>
            <w:tcW w:w="789" w:type="dxa"/>
            <w:tcBorders/>
            <w:shd w:fill="FFFFFF" w:val="clear"/>
            <w:tcMar>
              <w:bottom w:w="0" w:type="dxa"/>
            </w:tcMar>
            <w:vAlign w:val="center"/>
          </w:tcPr>
          <w:p>
            <w:pPr>
              <w:pStyle w:val="TableContents"/>
              <w:bidi w:val="0"/>
              <w:spacing w:before="0" w:after="283"/>
              <w:jc w:val="right"/>
              <w:rPr/>
            </w:pPr>
            <w:r>
              <w:rPr/>
              <w:t>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78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w:t>
            </w:r>
          </w:p>
        </w:tc>
        <w:tc>
          <w:tcPr>
            <w:tcW w:w="789" w:type="dxa"/>
            <w:tcBorders/>
            <w:shd w:fill="FFFFFF" w:val="clear"/>
            <w:tcMar>
              <w:bottom w:w="0" w:type="dxa"/>
            </w:tcMar>
            <w:vAlign w:val="center"/>
          </w:tcPr>
          <w:p>
            <w:pPr>
              <w:pStyle w:val="TableContents"/>
              <w:bidi w:val="0"/>
              <w:spacing w:before="0" w:after="283"/>
              <w:jc w:val="right"/>
              <w:rPr/>
            </w:pPr>
            <w:r>
              <w:rPr/>
              <w:t>0.25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both"/>
              <w:rPr>
                <w:b/>
                <w:i/>
              </w:rPr>
            </w:pPr>
            <w:r>
              <w:rPr>
                <w:b/>
                <w:i/>
              </w:rPr>
              <w:t>Total Declared in Fiscal 2027 YTD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b/>
                <w:i/>
              </w:rPr>
            </w:pPr>
            <w:r>
              <w:rPr>
                <w:b/>
                <w:i/>
              </w:rPr>
              <w:t>$</w:t>
            </w:r>
          </w:p>
        </w:tc>
        <w:tc>
          <w:tcPr>
            <w:tcW w:w="789" w:type="dxa"/>
            <w:tcBorders/>
            <w:shd w:fill="CCEEFF" w:val="clear"/>
            <w:tcMar>
              <w:bottom w:w="0" w:type="dxa"/>
            </w:tcMar>
            <w:vAlign w:val="center"/>
          </w:tcPr>
          <w:p>
            <w:pPr>
              <w:pStyle w:val="TableContents"/>
              <w:bidi w:val="0"/>
              <w:spacing w:before="0" w:after="283"/>
              <w:jc w:val="right"/>
              <w:rPr>
                <w:b/>
                <w:i/>
              </w:rPr>
            </w:pPr>
            <w:r>
              <w:rPr>
                <w:b/>
                <w:i/>
              </w:rPr>
              <w:t>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789" w:type="dxa"/>
            <w:tcBorders/>
            <w:shd w:fill="CCEEFF" w:val="clear"/>
            <w:tcMar>
              <w:bottom w:w="0" w:type="dxa"/>
            </w:tcM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b/>
                <w:i/>
              </w:rPr>
            </w:pPr>
            <w:r>
              <w:rPr>
                <w:b/>
                <w:i/>
              </w:rPr>
              <w:t>$</w:t>
            </w:r>
          </w:p>
        </w:tc>
        <w:tc>
          <w:tcPr>
            <w:tcW w:w="789" w:type="dxa"/>
            <w:tcBorders/>
            <w:shd w:fill="CCEEFF" w:val="clear"/>
            <w:tcMar>
              <w:bottom w:w="0" w:type="dxa"/>
            </w:tcMar>
            <w:vAlign w:val="center"/>
          </w:tcPr>
          <w:p>
            <w:pPr>
              <w:pStyle w:val="TableContents"/>
              <w:bidi w:val="0"/>
              <w:spacing w:before="0" w:after="283"/>
              <w:jc w:val="right"/>
              <w:rPr>
                <w:b/>
                <w:i/>
              </w:rPr>
            </w:pPr>
            <w:r>
              <w:rPr>
                <w:b/>
                <w:i/>
              </w:rPr>
              <w:t>1.50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both"/>
              <w:rPr>
                <w:b/>
                <w:i/>
              </w:rPr>
            </w:pPr>
            <w:r>
              <w:rPr>
                <w:b/>
                <w:i/>
              </w:rPr>
              <w:t>Full Year Fiscal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b/>
                <w:i/>
              </w:rPr>
            </w:pPr>
            <w:r>
              <w:rPr>
                <w:b/>
                <w:i/>
              </w:rPr>
              <w:t>$</w:t>
            </w:r>
          </w:p>
        </w:tc>
        <w:tc>
          <w:tcPr>
            <w:tcW w:w="789" w:type="dxa"/>
            <w:tcBorders/>
            <w:shd w:fill="FFFFFF" w:val="clear"/>
            <w:tcMar>
              <w:bottom w:w="0" w:type="dxa"/>
            </w:tcMar>
            <w:vAlign w:val="center"/>
          </w:tcPr>
          <w:p>
            <w:pPr>
              <w:pStyle w:val="TableContents"/>
              <w:bidi w:val="0"/>
              <w:spacing w:before="0" w:after="283"/>
              <w:jc w:val="right"/>
              <w:rPr>
                <w:b/>
                <w:i/>
              </w:rPr>
            </w:pPr>
            <w:r>
              <w:rPr>
                <w:b/>
                <w:i/>
              </w:rPr>
              <w:t>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b/>
                <w:i/>
              </w:rPr>
            </w:pPr>
            <w:r>
              <w:rPr>
                <w:b/>
                <w:i/>
              </w:rPr>
              <w:t>$</w:t>
            </w:r>
          </w:p>
        </w:tc>
        <w:tc>
          <w:tcPr>
            <w:tcW w:w="789" w:type="dxa"/>
            <w:tcBorders/>
            <w:shd w:fill="FFFFFF" w:val="clear"/>
            <w:tcMar>
              <w:bottom w:w="0" w:type="dxa"/>
            </w:tcMar>
            <w:vAlign w:val="center"/>
          </w:tcPr>
          <w:p>
            <w:pPr>
              <w:pStyle w:val="TableContents"/>
              <w:bidi w:val="0"/>
              <w:spacing w:before="0" w:after="283"/>
              <w:jc w:val="right"/>
              <w:rPr>
                <w:b/>
                <w:i/>
              </w:rPr>
            </w:pPr>
            <w:r>
              <w:rPr>
                <w:b/>
                <w:i/>
              </w:rPr>
              <w:t>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b/>
                <w:i/>
              </w:rPr>
            </w:pPr>
            <w:r>
              <w:rPr>
                <w:b/>
                <w:i/>
              </w:rPr>
              <w:t>$</w:t>
            </w:r>
          </w:p>
        </w:tc>
        <w:tc>
          <w:tcPr>
            <w:tcW w:w="789" w:type="dxa"/>
            <w:tcBorders/>
            <w:shd w:fill="FFFFFF" w:val="clear"/>
            <w:tcMar>
              <w:bottom w:w="0" w:type="dxa"/>
            </w:tcMar>
            <w:vAlign w:val="center"/>
          </w:tcPr>
          <w:p>
            <w:pPr>
              <w:pStyle w:val="TableContents"/>
              <w:bidi w:val="0"/>
              <w:spacing w:before="0" w:after="283"/>
              <w:jc w:val="right"/>
              <w:rPr>
                <w:b/>
                <w:i/>
              </w:rPr>
            </w:pPr>
            <w:r>
              <w:rPr>
                <w:b/>
                <w:i/>
              </w:rPr>
              <w:t>3.25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b/>
                <w:i/>
              </w:rPr>
            </w:pPr>
            <w:r>
              <w:rPr>
                <w:b/>
                <w:i/>
              </w:rPr>
              <w:t>Full Year Fiscal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b/>
                <w:i/>
              </w:rPr>
            </w:pPr>
            <w:r>
              <w:rPr>
                <w:b/>
                <w:i/>
              </w:rPr>
              <w:t>$</w:t>
            </w:r>
          </w:p>
        </w:tc>
        <w:tc>
          <w:tcPr>
            <w:tcW w:w="789" w:type="dxa"/>
            <w:tcBorders/>
            <w:shd w:fill="CCEEFF" w:val="clear"/>
            <w:tcMar>
              <w:bottom w:w="0" w:type="dxa"/>
            </w:tcMar>
            <w:vAlign w:val="center"/>
          </w:tcPr>
          <w:p>
            <w:pPr>
              <w:pStyle w:val="TableContents"/>
              <w:bidi w:val="0"/>
              <w:spacing w:before="0" w:after="283"/>
              <w:jc w:val="right"/>
              <w:rPr>
                <w:b/>
                <w:i/>
              </w:rPr>
            </w:pPr>
            <w:r>
              <w:rPr>
                <w:b/>
                <w:i/>
              </w:rPr>
              <w:t>2.96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b/>
                <w:i/>
              </w:rPr>
            </w:pPr>
            <w:r>
              <w:rPr>
                <w:b/>
                <w:i/>
              </w:rPr>
              <w:t>$</w:t>
            </w:r>
          </w:p>
        </w:tc>
        <w:tc>
          <w:tcPr>
            <w:tcW w:w="789" w:type="dxa"/>
            <w:tcBorders/>
            <w:shd w:fill="CCEEFF" w:val="clear"/>
            <w:tcMar>
              <w:bottom w:w="0" w:type="dxa"/>
            </w:tcMar>
            <w:vAlign w:val="center"/>
          </w:tcPr>
          <w:p>
            <w:pPr>
              <w:pStyle w:val="TableContents"/>
              <w:bidi w:val="0"/>
              <w:spacing w:before="0" w:after="283"/>
              <w:jc w:val="right"/>
              <w:rPr>
                <w:b/>
                <w:i/>
              </w:rPr>
            </w:pPr>
            <w:r>
              <w:rPr>
                <w:b/>
                <w:i/>
              </w:rPr>
              <w:t>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b/>
                <w:i/>
              </w:rPr>
            </w:pPr>
            <w:r>
              <w:rPr>
                <w:b/>
                <w:i/>
              </w:rPr>
              <w:t>$</w:t>
            </w:r>
          </w:p>
        </w:tc>
        <w:tc>
          <w:tcPr>
            <w:tcW w:w="789" w:type="dxa"/>
            <w:tcBorders/>
            <w:shd w:fill="CCEEFF" w:val="clear"/>
            <w:tcMar>
              <w:bottom w:w="0" w:type="dxa"/>
            </w:tcMar>
            <w:vAlign w:val="center"/>
          </w:tcPr>
          <w:p>
            <w:pPr>
              <w:pStyle w:val="TableContents"/>
              <w:bidi w:val="0"/>
              <w:spacing w:before="0" w:after="283"/>
              <w:jc w:val="right"/>
              <w:rPr>
                <w:b/>
                <w:i/>
              </w:rPr>
            </w:pPr>
            <w:r>
              <w:rPr>
                <w:b/>
                <w:i/>
              </w:rPr>
              <w:t>3.31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both"/>
              <w:rPr>
                <w:b/>
                <w:i/>
              </w:rPr>
            </w:pPr>
            <w:r>
              <w:rPr>
                <w:b/>
                <w:i/>
              </w:rPr>
              <w:t>Full Year Fiscal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b/>
                <w:i/>
              </w:rPr>
            </w:pPr>
            <w:r>
              <w:rPr>
                <w:b/>
                <w:i/>
              </w:rPr>
              <w:t>$</w:t>
            </w:r>
          </w:p>
        </w:tc>
        <w:tc>
          <w:tcPr>
            <w:tcW w:w="789" w:type="dxa"/>
            <w:tcBorders/>
            <w:shd w:fill="FFFFFF" w:val="clear"/>
            <w:tcMar>
              <w:bottom w:w="0" w:type="dxa"/>
            </w:tcMar>
            <w:vAlign w:val="center"/>
          </w:tcPr>
          <w:p>
            <w:pPr>
              <w:pStyle w:val="TableContents"/>
              <w:bidi w:val="0"/>
              <w:spacing w:before="0" w:after="283"/>
              <w:jc w:val="right"/>
              <w:rPr>
                <w:b/>
                <w:i/>
              </w:rPr>
            </w:pPr>
            <w:r>
              <w:rPr>
                <w:b/>
                <w:i/>
              </w:rPr>
              <w:t>2.86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789" w:type="dxa"/>
            <w:tcBorders/>
            <w:shd w:fill="FFFFFF" w:val="clear"/>
            <w:tcMar>
              <w:bottom w:w="0" w:type="dxa"/>
            </w:tcMar>
            <w:vAlign w:val="center"/>
          </w:tcPr>
          <w:p>
            <w:pPr>
              <w:pStyle w:val="TableContents"/>
              <w:bidi w:val="0"/>
              <w:spacing w:before="0" w:after="283"/>
              <w:jc w:val="right"/>
              <w:rPr>
                <w:b/>
                <w:i/>
              </w:rPr>
            </w:pPr>
            <w:r>
              <w:rPr>
                <w:b/>
                <w:i/>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b/>
                <w:i/>
              </w:rPr>
            </w:pPr>
            <w:r>
              <w:rPr>
                <w:b/>
                <w:i/>
              </w:rPr>
              <w:t>$</w:t>
            </w:r>
          </w:p>
        </w:tc>
        <w:tc>
          <w:tcPr>
            <w:tcW w:w="789" w:type="dxa"/>
            <w:tcBorders/>
            <w:shd w:fill="FFFFFF" w:val="clear"/>
            <w:tcMar>
              <w:bottom w:w="0" w:type="dxa"/>
            </w:tcMar>
            <w:vAlign w:val="center"/>
          </w:tcPr>
          <w:p>
            <w:pPr>
              <w:pStyle w:val="TableContents"/>
              <w:bidi w:val="0"/>
              <w:spacing w:before="0" w:after="283"/>
              <w:jc w:val="right"/>
              <w:rPr>
                <w:b/>
                <w:i/>
              </w:rPr>
            </w:pPr>
            <w:r>
              <w:rPr>
                <w:b/>
                <w:i/>
              </w:rPr>
              <w:t>2.86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both"/>
              <w:rPr>
                <w:b/>
                <w:i/>
              </w:rPr>
            </w:pPr>
            <w:r>
              <w:rPr>
                <w:b/>
                <w:i/>
              </w:rPr>
              <w:t>Full Year Fiscal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b/>
                <w:i/>
              </w:rPr>
            </w:pPr>
            <w:r>
              <w:rPr>
                <w:b/>
                <w:i/>
              </w:rPr>
              <w:t>$</w:t>
            </w:r>
          </w:p>
        </w:tc>
        <w:tc>
          <w:tcPr>
            <w:tcW w:w="789" w:type="dxa"/>
            <w:tcBorders/>
            <w:shd w:fill="CCEEFF" w:val="clear"/>
            <w:tcMar>
              <w:bottom w:w="0" w:type="dxa"/>
            </w:tcMar>
            <w:vAlign w:val="center"/>
          </w:tcPr>
          <w:p>
            <w:pPr>
              <w:pStyle w:val="TableContents"/>
              <w:bidi w:val="0"/>
              <w:spacing w:before="0" w:after="283"/>
              <w:jc w:val="right"/>
              <w:rPr>
                <w:b/>
                <w:i/>
              </w:rPr>
            </w:pPr>
            <w:r>
              <w:rPr>
                <w:b/>
                <w:i/>
              </w:rPr>
              <w:t>2.44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789" w:type="dxa"/>
            <w:tcBorders/>
            <w:shd w:fill="CCEEFF" w:val="clear"/>
            <w:tcMar>
              <w:bottom w:w="0" w:type="dxa"/>
            </w:tcMar>
            <w:vAlign w:val="center"/>
          </w:tcPr>
          <w:p>
            <w:pPr>
              <w:pStyle w:val="TableContents"/>
              <w:bidi w:val="0"/>
              <w:spacing w:before="0" w:after="283"/>
              <w:jc w:val="right"/>
              <w:rPr>
                <w:b/>
                <w:i/>
              </w:rPr>
            </w:pPr>
            <w:r>
              <w:rPr>
                <w:b/>
                <w:i/>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b/>
                <w:i/>
              </w:rPr>
            </w:pPr>
            <w:r>
              <w:rPr>
                <w:b/>
                <w:i/>
              </w:rPr>
              <w:t>$</w:t>
            </w:r>
          </w:p>
        </w:tc>
        <w:tc>
          <w:tcPr>
            <w:tcW w:w="789" w:type="dxa"/>
            <w:tcBorders/>
            <w:shd w:fill="CCEEFF" w:val="clear"/>
            <w:tcMar>
              <w:bottom w:w="0" w:type="dxa"/>
            </w:tcMar>
            <w:vAlign w:val="center"/>
          </w:tcPr>
          <w:p>
            <w:pPr>
              <w:pStyle w:val="TableContents"/>
              <w:bidi w:val="0"/>
              <w:spacing w:before="0" w:after="283"/>
              <w:jc w:val="right"/>
              <w:rPr>
                <w:b/>
                <w:i/>
              </w:rPr>
            </w:pPr>
            <w:r>
              <w:rPr>
                <w:b/>
                <w:i/>
              </w:rPr>
              <w:t>2.44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Share Repurchase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31, 2026, the Company purchased 1,037,698 shares of common stock, at the average price of $22.05 for approximately $22.9 million pursuant to its existing Share Repurchase Plan. During the quarter ended May 31, 2026, the Company did not purchase any shares of common stock pursuant to the Share Repurchase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in fiscal year 2015, the Company announced the approval of an open market share repurchase plan (the “Share Repurchase Plan”) that allows it to repurchase up to 200,000 shares of its common stock at prices below its NAV as reported in its then most recently published financial statements. Since then, the Share Repurchase Plan has been extended annually, and the Company has periodically increased the amount of shares of common stock that may be purchased under the Share Repurchase Plan, most recently to 1.7 million shares of common stock. On January 6, 2026, its Board of Directors extended the Share Repurchase Plan for another year to January 15,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Fiscal First Quarter 2027 Conference Call/Webcast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0"/>
        <w:gridCol w:w="9535"/>
      </w:tblGrid>
      <w:tr>
        <w:trPr/>
        <w:tc>
          <w:tcPr>
            <w:tcW w:w="670" w:type="dxa"/>
            <w:tcBorders/>
            <w:vAlign w:val="center"/>
          </w:tcPr>
          <w:p>
            <w:pPr>
              <w:pStyle w:val="TableContents"/>
              <w:bidi w:val="0"/>
              <w:spacing w:before="0" w:after="283"/>
              <w:jc w:val="left"/>
              <w:rPr>
                <w:b/>
              </w:rPr>
            </w:pPr>
            <w:r>
              <w:rPr>
                <w:b/>
              </w:rPr>
              <w:t>When:</w:t>
            </w:r>
          </w:p>
        </w:tc>
        <w:tc>
          <w:tcPr>
            <w:tcW w:w="9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Wednesday, July 8, 2026</w:t>
            </w:r>
          </w:p>
        </w:tc>
      </w:tr>
      <w:tr>
        <w:trPr/>
        <w:tc>
          <w:tcPr>
            <w:tcW w:w="670"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 a.m. Eastern Time (ET)</w:t>
            </w:r>
          </w:p>
        </w:tc>
      </w:tr>
      <w:tr>
        <w:trPr/>
        <w:tc>
          <w:tcPr>
            <w:tcW w:w="670"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How:</w:t>
            </w:r>
          </w:p>
        </w:tc>
        <w:tc>
          <w:tcPr>
            <w:tcW w:w="9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Webcast: </w:t>
            </w:r>
            <w:r>
              <w:rPr>
                <w:rFonts w:ascii="Times New Roman;Times;Serif" w:hAnsi="Times New Roman;Times;Serif"/>
                <w:sz w:val="20"/>
              </w:rPr>
              <w:t>Interested parties may access a live webcast of the call and find the Q1 2027 presentation by going to the “Events &amp; Presentations” section of Saratoga Investment’s investor relations website https://ir.saratogainvestmentcorp.com. A replay of the webcast will also be available for a limited time at Events &amp; Presentations page.  </w:t>
            </w:r>
          </w:p>
        </w:tc>
      </w:tr>
      <w:tr>
        <w:trPr/>
        <w:tc>
          <w:tcPr>
            <w:tcW w:w="670" w:type="dxa"/>
            <w:tcBorders/>
            <w:vAlign w:val="center"/>
          </w:tcPr>
          <w:p>
            <w:pPr>
              <w:pStyle w:val="TableContents"/>
              <w:bidi w:val="0"/>
              <w:spacing w:before="0" w:after="283"/>
              <w:jc w:val="left"/>
              <w:rPr/>
            </w:pPr>
            <w:r>
              <w:rPr/>
              <w:t> </w:t>
            </w:r>
          </w:p>
        </w:tc>
        <w:tc>
          <w:tcPr>
            <w:tcW w:w="9535" w:type="dxa"/>
            <w:tcBorders/>
            <w:vAlign w:val="center"/>
          </w:tcPr>
          <w:p>
            <w:pPr>
              <w:pStyle w:val="TableContents"/>
              <w:bidi w:val="0"/>
              <w:spacing w:before="0" w:after="283"/>
              <w:jc w:val="left"/>
              <w:rPr/>
            </w:pPr>
            <w:r>
              <w:rPr/>
              <w:t> </w:t>
            </w:r>
          </w:p>
        </w:tc>
      </w:tr>
      <w:tr>
        <w:trPr/>
        <w:tc>
          <w:tcPr>
            <w:tcW w:w="6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Call:</w:t>
            </w:r>
          </w:p>
        </w:tc>
        <w:tc>
          <w:tcPr>
            <w:tcW w:w="9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access the call by phone, please go to this link Registration Link and you will be provided with dial in details. To avoid delays, we encourage participants to dial into the conference call fifteen minutes ahead of the scheduled start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About Saratoga Investment Corp.</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Investment is a specialty finance company that provides customized financing solutions to U.S. middle-market businesses. The Company invests primarily in senior and unitranche leveraged loans and mezzanine debt, and, to a lesser extent, equity to provide financing for change of ownership transactions, strategic acquisitions, recapitalizations and growth initiatives in partnership with business owners, management teams and financial sponsors. Saratoga Investment’s objective is to create attractive risk-adjusted returns by generating current income and long-term capital appreciation from its debt and equity investments. Saratoga Investment has elected to be regulated as a business development company under the Investment Company Act of 1940, as amended, and is externally managed by Saratoga Investment Advisors, LLC, an SEC-registered investment advisor focusing on credit-driven strategies. Saratoga Investment Corp. owns two active SBIC-licensed subsidiaries, having surrendered its first license after repaying all debentures for that fund following the end of its investment period and subsequent wind-down. Furthermore, it manages a $360 million collateralized loan obligation (“CLO”) fund that is in wind-down and co-manages a joint venture (“JV”) fund that owns a $400 million collateralized loan obligation (“JV CLO”) fund.  It also owns 52% of the Class F and 100% of the subordinated notes of the CLO, 87.5% of both the unsecured loans and membership interests of the JV and 87.5% of the Class E-R notes of the JV CLO. The Company’s diverse funding sources, combined with a permanent capital base, enable Saratoga Investment to provide a broad range of financing 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Forward 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historical information and forward-looking statements with respect to the business and investments of the Company, including, but not limited to, the statements about future events or our future performance or financial condition. Forward-looking statements can be identified by the use of forward looking words such as “outlook,” “believes,” “expects,” “potential,” “continues,” “may,” “will,” “should,” “seeks,” “approximately,” “predicts,” “intends,” “plans,” “estimates,” “anticipates” or negative versions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These statements are not guarantees of future performance, condition or results and involve a number of risks and uncertainties. Actual results may differ materially from those in the forward-looking statements as a result of a number of factors, including, but not limited to: changes in the markets in which we invest; changes in the financial, capital, and lending markets; an economic downturn or a recession and its impact on the ability of our portfolio companies to operate and the investment opportunities available to us; the impact of interest rate volatility on our business and our portfolio companies; the uncertainty associated with the imposition of tariffs and trade barriers and changes in trade policy and its impact on our portfolio companies and the global economy; the impact of supply chain constraints and labor shortages on our portfolio companies; and the elevated levels of inflation and its impact on our portfolio companies and the industries in which we invests, as well as those described from time to time in our filings with the Securities and Exchange Commission.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The Company undertakes no duty to update any forward-looking statements made herein or on the webcast/conference call, whether as a result of new information, future developments or otherwise, except as required by law. Readers should not place undue reliance on any forward-looking statements and are encouraged to review the Company’s Annual Report on Form 10-K for the fiscal year ended February 28, 2026 and subsequent filings, including the “Risk Factors” sections therein, with the Securities and Exchange Commission for a more complete discussion of the risks and other factors that could affect any forward-looking statements.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Investment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 Madison Avenue, 4th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Henri Steenkamp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Investment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212-906-7800</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Lena Cati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212-836-9611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 Ferraro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212-836-9633</w:t>
        <w:b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Saratoga Investment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Assets and Liabilities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60"/>
        <w:gridCol w:w="60"/>
        <w:gridCol w:w="140"/>
        <w:gridCol w:w="1400"/>
        <w:gridCol w:w="215"/>
        <w:gridCol w:w="60"/>
        <w:gridCol w:w="140"/>
        <w:gridCol w:w="1400"/>
        <w:gridCol w:w="230"/>
      </w:tblGrid>
      <w:tr>
        <w:trPr/>
        <w:tc>
          <w:tcPr>
            <w:tcW w:w="656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2026</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February 28,</w:t>
              <w:br/>
              <w:t>2026</w:t>
            </w:r>
          </w:p>
        </w:tc>
        <w:tc>
          <w:tcPr>
            <w:tcW w:w="230" w:type="dxa"/>
            <w:tcBorders/>
            <w:vAlign w:val="center"/>
          </w:tcPr>
          <w:p>
            <w:pPr>
              <w:pStyle w:val="TableContents"/>
              <w:bidi w:val="0"/>
              <w:spacing w:before="0" w:after="283"/>
              <w:ind w:left="0" w:right="0" w:hanging="180"/>
              <w:jc w:val="center"/>
              <w:rPr/>
            </w:pPr>
            <w:r>
              <w:rPr/>
              <w:t> </w:t>
            </w:r>
          </w:p>
        </w:tc>
      </w:tr>
      <w:tr>
        <w:trPr/>
        <w:tc>
          <w:tcPr>
            <w:tcW w:w="6560"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6560" w:type="dxa"/>
            <w:tcBorders/>
            <w:vAlign w:val="center"/>
          </w:tcPr>
          <w:p>
            <w:pPr>
              <w:pStyle w:val="TableContents"/>
              <w:bidi w:val="0"/>
              <w:spacing w:before="0" w:after="283"/>
              <w:jc w:val="left"/>
              <w:rPr/>
            </w:pPr>
            <w:r>
              <w:rPr/>
              <w:t>Investments at fair value</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Non-control/Non-affiliate investments (amortized cost of $1,042,264,577 and $1,011,840,007,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1,034,744,952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1,016,247,566</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Affiliate investments (amortized cost of $49,462,297 and $49,429,192,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50,325,404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52,710,911</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Control investments (amortized cost of $77,038,261 and $75,118,675,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41,263,586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40,175,335</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Total investments at fair value (amortized cost of $1,168,765,135 and $1,136,387,874,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1,126,333,942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1,109,133,812</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46,140,915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1,680,070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Cash and cash equivalents, reserve accounts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14,667,902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20,105,683</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Interest receivable (net of reserve of $863,908 and $470,751,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9,048,860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7,314,053</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Management fee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232,837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249,720</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999,726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781,766</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1,197,424,182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1,139,265,104</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Revolving credit facilities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70,000,000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70,000,000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Deferred debt financing costs, revolving credit facilities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(1,453,760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(1,670,816</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560" w:type="dxa"/>
            <w:tcBorders/>
            <w:shd w:fill="CCEEFF" w:val="clear"/>
            <w:vAlign w:val="center"/>
          </w:tcPr>
          <w:p>
            <w:pPr>
              <w:pStyle w:val="TableContents"/>
              <w:bidi w:val="0"/>
              <w:spacing w:before="0" w:after="283"/>
              <w:jc w:val="left"/>
              <w:rPr/>
            </w:pPr>
            <w:r>
              <w:rPr/>
              <w:t>SBA debentures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213,000,000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160,000,000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Deferred debt financing costs, SBA debentures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(4,997,638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(3,888,087</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560" w:type="dxa"/>
            <w:tcBorders/>
            <w:shd w:fill="CCEEFF" w:val="clear"/>
            <w:vAlign w:val="center"/>
          </w:tcPr>
          <w:p>
            <w:pPr>
              <w:pStyle w:val="TableContents"/>
              <w:bidi w:val="0"/>
              <w:spacing w:before="0" w:after="283"/>
              <w:jc w:val="left"/>
              <w:rPr/>
            </w:pPr>
            <w:r>
              <w:rPr/>
              <w:t>4.35% Notes Payable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75,000,000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75,000,000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Discount on 4.35% notes payable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(74,697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(108,898</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560" w:type="dxa"/>
            <w:tcBorders/>
            <w:shd w:fill="CCEEFF" w:val="clear"/>
            <w:vAlign w:val="center"/>
          </w:tcPr>
          <w:p>
            <w:pPr>
              <w:pStyle w:val="TableContents"/>
              <w:bidi w:val="0"/>
              <w:spacing w:before="0" w:after="283"/>
              <w:jc w:val="left"/>
              <w:rPr/>
            </w:pPr>
            <w:r>
              <w:rPr/>
              <w:t>Deferred debt financing costs, 4.35% notes payable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(257,587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(344,393</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6560" w:type="dxa"/>
            <w:tcBorders/>
            <w:shd w:fill="FFFFFF" w:val="clear"/>
            <w:vAlign w:val="center"/>
          </w:tcPr>
          <w:p>
            <w:pPr>
              <w:pStyle w:val="TableContents"/>
              <w:bidi w:val="0"/>
              <w:spacing w:before="0" w:after="283"/>
              <w:jc w:val="left"/>
              <w:rPr/>
            </w:pPr>
            <w:r>
              <w:rPr/>
              <w:t>6.25% Notes Payable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15,000,000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15,000,000</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Deferred debt financing costs, 6.25% notes payable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(112,867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(130,839</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6560" w:type="dxa"/>
            <w:tcBorders/>
            <w:shd w:fill="FFFFFF" w:val="clear"/>
            <w:vAlign w:val="center"/>
          </w:tcPr>
          <w:p>
            <w:pPr>
              <w:pStyle w:val="TableContents"/>
              <w:bidi w:val="0"/>
              <w:spacing w:before="0" w:after="283"/>
              <w:jc w:val="left"/>
              <w:rPr/>
            </w:pPr>
            <w:r>
              <w:rPr/>
              <w:t>6.00% Notes Payable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105,500,000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105,500,000</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Discount on 6.00% notes payable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(38,226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(48,361</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6560" w:type="dxa"/>
            <w:tcBorders/>
            <w:shd w:fill="FFFFFF" w:val="clear"/>
            <w:vAlign w:val="center"/>
          </w:tcPr>
          <w:p>
            <w:pPr>
              <w:pStyle w:val="TableContents"/>
              <w:bidi w:val="0"/>
              <w:spacing w:before="0" w:after="283"/>
              <w:jc w:val="left"/>
              <w:rPr/>
            </w:pPr>
            <w:r>
              <w:rPr/>
              <w:t>Deferred debt financing costs, 6.00% notes payable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(647,257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(823,774</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560" w:type="dxa"/>
            <w:tcBorders/>
            <w:shd w:fill="CCEEFF" w:val="clear"/>
            <w:vAlign w:val="center"/>
          </w:tcPr>
          <w:p>
            <w:pPr>
              <w:pStyle w:val="TableContents"/>
              <w:bidi w:val="0"/>
              <w:spacing w:before="0" w:after="283"/>
              <w:jc w:val="left"/>
              <w:rPr/>
            </w:pPr>
            <w:r>
              <w:rPr/>
              <w:t>8.00% Notes Payable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46,000,000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46,000,000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Deferred debt financing costs, 8.00% notes payable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(493,059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(580,514</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560" w:type="dxa"/>
            <w:tcBorders/>
            <w:shd w:fill="CCEEFF" w:val="clear"/>
            <w:vAlign w:val="center"/>
          </w:tcPr>
          <w:p>
            <w:pPr>
              <w:pStyle w:val="TableContents"/>
              <w:bidi w:val="0"/>
              <w:spacing w:before="0" w:after="283"/>
              <w:jc w:val="left"/>
              <w:rPr/>
            </w:pPr>
            <w:r>
              <w:rPr/>
              <w:t>8.125% Notes Payable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60,375,000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60,375,000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Deferred debt financing costs, 8.125% notes payable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(646,196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(748,873</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560" w:type="dxa"/>
            <w:tcBorders/>
            <w:shd w:fill="CCEEFF" w:val="clear"/>
            <w:vAlign w:val="center"/>
          </w:tcPr>
          <w:p>
            <w:pPr>
              <w:pStyle w:val="TableContents"/>
              <w:bidi w:val="0"/>
              <w:spacing w:before="0" w:after="283"/>
              <w:jc w:val="left"/>
              <w:rPr/>
            </w:pPr>
            <w:r>
              <w:rPr/>
              <w:t>8.50% Notes Payable 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57,500,000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57,500,000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Deferred debt financing costs, 8.50% notes payable 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(763,667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(866,230</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560" w:type="dxa"/>
            <w:tcBorders/>
            <w:shd w:fill="CCEEFF" w:val="clear"/>
            <w:vAlign w:val="center"/>
          </w:tcPr>
          <w:p>
            <w:pPr>
              <w:pStyle w:val="TableContents"/>
              <w:bidi w:val="0"/>
              <w:spacing w:before="0" w:after="283"/>
              <w:jc w:val="left"/>
              <w:rPr/>
            </w:pPr>
            <w:r>
              <w:rPr/>
              <w:t>7.25% Notes Payable 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25,000,000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Discount on 7.25% notes payable 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(480,024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Deferred debt financing costs, 7.25% notes payable 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(71,445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7.25% Notes Payable 2030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50,000,000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50,000,000</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Discount on 7.25% notes payable 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(417,283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(435,318</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6560" w:type="dxa"/>
            <w:tcBorders/>
            <w:shd w:fill="FFFFFF" w:val="clear"/>
            <w:vAlign w:val="center"/>
          </w:tcPr>
          <w:p>
            <w:pPr>
              <w:pStyle w:val="TableContents"/>
              <w:bidi w:val="0"/>
              <w:spacing w:before="0" w:after="283"/>
              <w:jc w:val="left"/>
              <w:rPr/>
            </w:pPr>
            <w:r>
              <w:rPr/>
              <w:t>Deferred debt financing costs, 7.25% notes payable 2030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(830,833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(775,165</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560" w:type="dxa"/>
            <w:tcBorders/>
            <w:shd w:fill="CCEEFF" w:val="clear"/>
            <w:vAlign w:val="center"/>
          </w:tcPr>
          <w:p>
            <w:pPr>
              <w:pStyle w:val="TableContents"/>
              <w:bidi w:val="0"/>
              <w:spacing w:before="0" w:after="283"/>
              <w:jc w:val="left"/>
              <w:rPr/>
            </w:pPr>
            <w:r>
              <w:rPr/>
              <w:t>7.50% Notes Payable 2031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100,000,000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100,000,000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Deferred debt financing costs, 7.50% notes payable 2031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(3,351,883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(3,298,905</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6560" w:type="dxa"/>
            <w:tcBorders/>
            <w:shd w:fill="CCEEFF" w:val="clear"/>
            <w:vAlign w:val="center"/>
          </w:tcPr>
          <w:p>
            <w:pPr>
              <w:pStyle w:val="TableContents"/>
              <w:bidi w:val="0"/>
              <w:spacing w:before="0" w:after="283"/>
              <w:jc w:val="left"/>
              <w:rPr/>
            </w:pPr>
            <w:r>
              <w:rPr/>
              <w:t>Base management and incentive fees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6,862,113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6,602,819</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4,027,990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4,579,522</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1,334,109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1,771,915</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Interest and debt fees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3,405,852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3,904,143</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Directors fees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5,500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Due to Manager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600,582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590,624</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818,969,224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743,109,350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Commitments and contingencies (See Note 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NET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Common stock, par value $0.001, 100,000,000 common shares authorized, 16,289,025 and 16,224,198 common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16,289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16,224</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Capital in excess of par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440,588,956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439,202,477</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Total distributable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(62,150,287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(43,062,947</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6560" w:type="dxa"/>
            <w:tcBorders/>
            <w:shd w:fill="FFFFFF" w:val="clear"/>
            <w:vAlign w:val="center"/>
          </w:tcPr>
          <w:p>
            <w:pPr>
              <w:pStyle w:val="TableContents"/>
              <w:bidi w:val="0"/>
              <w:spacing w:before="0" w:after="283"/>
              <w:jc w:val="left"/>
              <w:rPr/>
            </w:pPr>
            <w:r>
              <w:rPr/>
              <w:t>Total net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378,454,958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396,155,754</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Total liabilities and net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1,197,424,182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1,139,265,104</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NET ASSET VALUE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FFFFFF" w:val="clear"/>
            <w:tcMar>
              <w:bottom w:w="28" w:type="dxa"/>
            </w:tcMar>
            <w:vAlign w:val="center"/>
          </w:tcPr>
          <w:p>
            <w:pPr>
              <w:pStyle w:val="TableContents"/>
              <w:bidi w:val="0"/>
              <w:spacing w:before="0" w:after="283"/>
              <w:jc w:val="right"/>
              <w:rPr/>
            </w:pPr>
            <w:r>
              <w:rPr/>
              <w:t>23.23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FFFFFF" w:val="clear"/>
            <w:tcMar>
              <w:bottom w:w="28" w:type="dxa"/>
            </w:tcMar>
            <w:vAlign w:val="center"/>
          </w:tcPr>
          <w:p>
            <w:pPr>
              <w:pStyle w:val="TableContents"/>
              <w:bidi w:val="0"/>
              <w:spacing w:before="0" w:after="283"/>
              <w:jc w:val="right"/>
              <w:rPr/>
            </w:pPr>
            <w:r>
              <w:rPr/>
              <w:t>24.42</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560" w:type="dxa"/>
            <w:tcBorders/>
            <w:shd w:fill="FFFFFF" w:val="clear"/>
            <w:vAlign w:val="center"/>
          </w:tcPr>
          <w:p>
            <w:pPr>
              <w:pStyle w:val="TableContents"/>
              <w:bidi w:val="0"/>
              <w:spacing w:before="0" w:after="283"/>
              <w:jc w:val="left"/>
              <w:rPr/>
            </w:pPr>
            <w:r>
              <w:rPr/>
              <w:t>Asset Coverage Ratio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162.6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168.4</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Saratoga Investment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1"/>
        <w:gridCol w:w="60"/>
        <w:gridCol w:w="144"/>
        <w:gridCol w:w="1212"/>
        <w:gridCol w:w="97"/>
        <w:gridCol w:w="61"/>
        <w:gridCol w:w="144"/>
        <w:gridCol w:w="1135"/>
        <w:gridCol w:w="101"/>
      </w:tblGrid>
      <w:tr>
        <w:trPr/>
        <w:tc>
          <w:tcPr>
            <w:tcW w:w="725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9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101" w:type="dxa"/>
            <w:tcBorders/>
            <w:vAlign w:val="center"/>
          </w:tcPr>
          <w:p>
            <w:pPr>
              <w:pStyle w:val="TableContents"/>
              <w:bidi w:val="0"/>
              <w:spacing w:before="0" w:after="283"/>
              <w:ind w:left="0" w:right="0" w:hanging="180"/>
              <w:jc w:val="left"/>
              <w:rPr/>
            </w:pPr>
            <w:r>
              <w:rPr/>
              <w:t> </w:t>
            </w:r>
          </w:p>
        </w:tc>
      </w:tr>
      <w:tr>
        <w:trPr/>
        <w:tc>
          <w:tcPr>
            <w:tcW w:w="72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May 31,</w:t>
              <w:br/>
              <w:t>2026</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May 31,</w:t>
              <w:br/>
              <w:t>2025</w:t>
            </w:r>
          </w:p>
        </w:tc>
        <w:tc>
          <w:tcPr>
            <w:tcW w:w="101" w:type="dxa"/>
            <w:tcBorders/>
            <w:vAlign w:val="center"/>
          </w:tcPr>
          <w:p>
            <w:pPr>
              <w:pStyle w:val="TableContents"/>
              <w:bidi w:val="0"/>
              <w:spacing w:before="0" w:after="283"/>
              <w:ind w:left="0" w:right="0" w:hanging="180"/>
              <w:jc w:val="left"/>
              <w:rPr/>
            </w:pPr>
            <w:r>
              <w:rPr/>
              <w:t> </w:t>
            </w:r>
          </w:p>
        </w:tc>
      </w:tr>
      <w:tr>
        <w:trPr/>
        <w:tc>
          <w:tcPr>
            <w:tcW w:w="7251" w:type="dxa"/>
            <w:tcBorders/>
            <w:vAlign w:val="center"/>
          </w:tcPr>
          <w:p>
            <w:pPr>
              <w:pStyle w:val="TableContents"/>
              <w:bidi w:val="0"/>
              <w:spacing w:before="0" w:after="283"/>
              <w:jc w:val="left"/>
              <w:rPr/>
            </w:pPr>
            <w:r>
              <w:rPr/>
              <w:t>INVESTMENT INCOME</w:t>
            </w:r>
          </w:p>
        </w:tc>
        <w:tc>
          <w:tcPr>
            <w:tcW w:w="60" w:type="dxa"/>
            <w:tcBorders/>
            <w:vAlign w:val="center"/>
          </w:tcPr>
          <w:p>
            <w:pPr>
              <w:pStyle w:val="TableContents"/>
              <w:bidi w:val="0"/>
              <w:spacing w:before="0" w:after="283"/>
              <w:jc w:val="left"/>
              <w:rPr/>
            </w:pPr>
            <w:r>
              <w:rPr/>
              <w:t> </w:t>
            </w:r>
          </w:p>
        </w:tc>
        <w:tc>
          <w:tcPr>
            <w:tcW w:w="1356"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7251" w:type="dxa"/>
            <w:tcBorders/>
            <w:vAlign w:val="center"/>
          </w:tcPr>
          <w:p>
            <w:pPr>
              <w:pStyle w:val="TableContents"/>
              <w:bidi w:val="0"/>
              <w:spacing w:before="0" w:after="283"/>
              <w:jc w:val="left"/>
              <w:rPr/>
            </w:pPr>
            <w:r>
              <w:rPr/>
              <w:t>Interest from investments</w:t>
            </w:r>
          </w:p>
        </w:tc>
        <w:tc>
          <w:tcPr>
            <w:tcW w:w="60" w:type="dxa"/>
            <w:tcBorders/>
            <w:vAlign w:val="center"/>
          </w:tcPr>
          <w:p>
            <w:pPr>
              <w:pStyle w:val="TableContents"/>
              <w:bidi w:val="0"/>
              <w:spacing w:before="0" w:after="283"/>
              <w:jc w:val="left"/>
              <w:rPr/>
            </w:pPr>
            <w:r>
              <w:rPr/>
              <w:t> </w:t>
            </w:r>
          </w:p>
        </w:tc>
        <w:tc>
          <w:tcPr>
            <w:tcW w:w="1356"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7251" w:type="dxa"/>
            <w:tcBorders/>
            <w:vAlign w:val="center"/>
          </w:tcPr>
          <w:p>
            <w:pPr>
              <w:pStyle w:val="TableContents"/>
              <w:bidi w:val="0"/>
              <w:spacing w:before="0" w:after="283"/>
              <w:jc w:val="left"/>
              <w:rPr/>
            </w:pPr>
            <w:r>
              <w:rPr/>
              <w:t>Interest income:</w:t>
            </w:r>
          </w:p>
        </w:tc>
        <w:tc>
          <w:tcPr>
            <w:tcW w:w="60" w:type="dxa"/>
            <w:tcBorders/>
            <w:vAlign w:val="center"/>
          </w:tcPr>
          <w:p>
            <w:pPr>
              <w:pStyle w:val="TableContents"/>
              <w:bidi w:val="0"/>
              <w:spacing w:before="0" w:after="283"/>
              <w:jc w:val="left"/>
              <w:rPr/>
            </w:pPr>
            <w:r>
              <w:rPr/>
              <w:t> </w:t>
            </w:r>
          </w:p>
        </w:tc>
        <w:tc>
          <w:tcPr>
            <w:tcW w:w="1356"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Non-control/Non-affiliate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pPr>
            <w:r>
              <w:rPr/>
              <w:t>26,005,778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5" w:type="dxa"/>
            <w:tcBorders/>
            <w:shd w:fill="CCEEFF" w:val="clear"/>
            <w:vAlign w:val="center"/>
          </w:tcPr>
          <w:p>
            <w:pPr>
              <w:pStyle w:val="TableContents"/>
              <w:bidi w:val="0"/>
              <w:spacing w:before="0" w:after="283"/>
              <w:jc w:val="right"/>
              <w:rPr/>
            </w:pPr>
            <w:r>
              <w:rPr/>
              <w:t>25,464,663</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Affiliate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726,094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595,624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Control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686,716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1,190,661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Payment in kind interest income: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Non-control/Non-affiliate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173,291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168,229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Affiliate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503,610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584,749</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Control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19,586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Total interest from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28,115,075</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28,003,926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Interest from cash and cash equivalents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554,386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2,027,211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Management fee income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544,988</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705,175</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Dividend income: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Non-control/Non-affiliate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562,183</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Control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778,852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436,418</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Total dividend from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778,852</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998,601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Structuring and advisory fee income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656,363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264,375</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127,261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319,329</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Total investment income</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30,776,925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32,318,617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Interest and debt financing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13,650,283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12,451,865</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Base management fees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4,970,053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4,333,332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Incentive management fees expense (benefit)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1,892,061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2,536,513</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531,236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699,200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Administrator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1,350,000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1,250,000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80,598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74,310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Directors fees and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126,000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131,500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600,266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645,411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(16,559</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54,454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23,183,938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22,176,585</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7,592,987</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10,142,032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REALIZED AND UNREALIZED GAIN (LOSS) ON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Net realized gain (loss) from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Non-control/Non-affiliate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(488,148</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2,262,984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Control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638,355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638,355</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Net realized gain (loss) from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150,207</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2,901,339</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Net change in unrealized appreciation (depreciation) on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Non-control/Non-affiliate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(11,927,184</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372,148</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Affiliate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(2,418,612</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(45,944</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251" w:type="dxa"/>
            <w:tcBorders/>
            <w:shd w:fill="FFFFFF" w:val="clear"/>
            <w:vAlign w:val="center"/>
          </w:tcPr>
          <w:p>
            <w:pPr>
              <w:pStyle w:val="TableContents"/>
              <w:bidi w:val="0"/>
              <w:spacing w:before="0" w:after="283"/>
              <w:jc w:val="left"/>
              <w:rPr/>
            </w:pPr>
            <w:r>
              <w:rPr/>
              <w:t>Control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(831,335</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617,773</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Net change in unrealized appreciation (depreciation) on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(15,177,131</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943,977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Net change in provision for deferred taxes on unrealized (appreciation) depreciation on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530,824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(55,085</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251" w:type="dxa"/>
            <w:tcBorders/>
            <w:shd w:fill="CCEEFF" w:val="clear"/>
            <w:vAlign w:val="center"/>
          </w:tcPr>
          <w:p>
            <w:pPr>
              <w:pStyle w:val="TableContents"/>
              <w:bidi w:val="0"/>
              <w:spacing w:before="0" w:after="283"/>
              <w:jc w:val="left"/>
              <w:rPr/>
            </w:pPr>
            <w:r>
              <w:rPr/>
              <w:t>Net realized and unrealized gain (loss) on investments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(14,496,100</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CCEEFF" w:val="clear"/>
            <w:tcMar>
              <w:bottom w:w="28" w:type="dxa"/>
            </w:tcMar>
            <w:vAlign w:val="center"/>
          </w:tcPr>
          <w:p>
            <w:pPr>
              <w:pStyle w:val="TableContents"/>
              <w:bidi w:val="0"/>
              <w:spacing w:before="0" w:after="283"/>
              <w:jc w:val="right"/>
              <w:rPr/>
            </w:pPr>
            <w:r>
              <w:rPr/>
              <w:t>3,790,231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NET INCREASE (DECREASE) IN NET ASSETS RESULTING FROM OPERATIONS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2" w:type="dxa"/>
            <w:tcBorders>
              <w:bottom w:val="double" w:sz="10" w:space="0" w:color="000000"/>
            </w:tcBorders>
            <w:shd w:fill="FFFFFF" w:val="clear"/>
            <w:tcMar>
              <w:bottom w:w="28" w:type="dxa"/>
            </w:tcMar>
            <w:vAlign w:val="center"/>
          </w:tcPr>
          <w:p>
            <w:pPr>
              <w:pStyle w:val="TableContents"/>
              <w:bidi w:val="0"/>
              <w:spacing w:before="0" w:after="283"/>
              <w:jc w:val="right"/>
              <w:rPr/>
            </w:pPr>
            <w:r>
              <w:rPr/>
              <w:t>(6,903,113</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5" w:type="dxa"/>
            <w:tcBorders>
              <w:bottom w:val="double" w:sz="10" w:space="0" w:color="000000"/>
            </w:tcBorders>
            <w:shd w:fill="FFFFFF" w:val="clear"/>
            <w:tcMar>
              <w:bottom w:w="28" w:type="dxa"/>
            </w:tcMar>
            <w:vAlign w:val="center"/>
          </w:tcPr>
          <w:p>
            <w:pPr>
              <w:pStyle w:val="TableContents"/>
              <w:bidi w:val="0"/>
              <w:spacing w:before="0" w:after="283"/>
              <w:jc w:val="right"/>
              <w:rPr/>
            </w:pPr>
            <w:r>
              <w:rPr/>
              <w:t>13,932,263</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251" w:type="dxa"/>
            <w:tcBorders/>
            <w:shd w:fill="FFFFFF" w:val="clear"/>
            <w:vAlign w:val="center"/>
          </w:tcPr>
          <w:p>
            <w:pPr>
              <w:pStyle w:val="TableContents"/>
              <w:bidi w:val="0"/>
              <w:spacing w:before="0" w:after="283"/>
              <w:jc w:val="left"/>
              <w:rPr/>
            </w:pPr>
            <w:r>
              <w:rPr/>
              <w:t>WEIGHTED AVERAGE - BASIC AND DILUTED EARNINGS (LOSS) PER COMMON SHARE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12" w:type="dxa"/>
            <w:tcBorders/>
            <w:shd w:fill="FFFFFF" w:val="clear"/>
            <w:vAlign w:val="center"/>
          </w:tcPr>
          <w:p>
            <w:pPr>
              <w:pStyle w:val="TableContents"/>
              <w:bidi w:val="0"/>
              <w:spacing w:before="0" w:after="283"/>
              <w:jc w:val="right"/>
              <w:rPr/>
            </w:pPr>
            <w:r>
              <w:rPr/>
              <w:t>(0.42</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135" w:type="dxa"/>
            <w:tcBorders/>
            <w:shd w:fill="FFFFFF" w:val="clear"/>
            <w:vAlign w:val="center"/>
          </w:tcPr>
          <w:p>
            <w:pPr>
              <w:pStyle w:val="TableContents"/>
              <w:bidi w:val="0"/>
              <w:spacing w:before="0" w:after="283"/>
              <w:jc w:val="right"/>
              <w:rPr/>
            </w:pPr>
            <w:r>
              <w:rPr/>
              <w:t>0.91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251" w:type="dxa"/>
            <w:tcBorders/>
            <w:shd w:fill="CCEEFF" w:val="clear"/>
            <w:vAlign w:val="center"/>
          </w:tcPr>
          <w:p>
            <w:pPr>
              <w:pStyle w:val="TableContents"/>
              <w:bidi w:val="0"/>
              <w:spacing w:before="0" w:after="283"/>
              <w:jc w:val="left"/>
              <w:rPr/>
            </w:pPr>
            <w:r>
              <w:rPr/>
              <w:t>WEIGHTED AVERAGE COMMON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16,252,548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15,344,510</w:t>
            </w:r>
          </w:p>
        </w:tc>
        <w:tc>
          <w:tcPr>
            <w:tcW w:w="10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Supplemental Information Regarding Adjusted Net Investment Income, Adjusted Net Investment Income Yield and Adjusted Net Investment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supplemental basis, Saratoga Investment provides information relating to adjusted net investment income, adjusted net investment income yield and adjusted net investment income per share, which are non-GAAP measures. These measures are provided in addition to, but not as a substitute for, net investment income, net investment income yield and net investment income per share, respectively. These non-GAAP measures should only be used to evaluate the Company’s results of operations in conjunction with their corresponding GAAP measures. Adjusted net investment income represents net investment income excluding any capital gains incentive fee expense or reversal attributable to realized and unrealized gains. The management agreement with the Company’s advisor provides that a capital gains incentive fee is determined and paid annually with respect to cumulative realized capital gains (but not unrealized capital gains) to the extent such realized capital gains exceed realized and unrealized losses for such year. In addition, Saratoga Investment accrues, but does not pay, a capital gains incentive fee in connection with any unrealized capital appreciation, as appropriate. All capital gains incentive fees are presented within net investment income within the Consolidated Statements of Operations, but the associated realized and unrealized gains and losses that these incentive fees relate to, are excluded. As such, Saratoga Investment believes that adjusted net investment income, adjusted net investment income yield and adjusted net investment income per share is a useful indicator of operations exclusive of any capital gains incentive fee expense or reversal attributable to gains. The presentation of this additional information is not meant to be considered in isolation or as a substitute for financial results prepared in accordance with GAAP, and may be different from non-GAAP measures used by other companies. In addition, these non-GAAP measures are not based on any comprehensive set of accounting rules or principles.  Pursuant to the requirements of Item 10(e) of Regulation S-K, the following table provides a reconciliation of net investment income to adjusted net investment income, net investment income yield to adjusted net investment income yield and net investment income per share to adjusted net investment income per share for the three months ended May 31, 2026 and 2025.</w:t>
      </w:r>
    </w:p>
    <w:p>
      <w:pPr>
        <w:pStyle w:val="TextBody"/>
        <w:bidi w:val="0"/>
        <w:spacing w:before="0" w:after="0"/>
        <w:ind w:left="0" w:right="0" w:hanging="0"/>
        <w:jc w:val="both"/>
        <w:rPr>
          <w:caps w:val="false"/>
          <w:smallCaps w:val="false"/>
        </w:rPr>
      </w:pPr>
      <w:r>
        <w:rPr>
          <w:caps w:val="false"/>
          <w:smallCaps w:val="false"/>
        </w:rPr>
        <w:t> </w:t>
      </w:r>
    </w:p>
    <w:tbl>
      <w:tblPr>
        <w:tblW w:w="9522" w:type="dxa"/>
        <w:jc w:val="left"/>
        <w:tblInd w:w="0" w:type="dxa"/>
        <w:tblLayout w:type="fixed"/>
        <w:tblCellMar>
          <w:top w:w="0" w:type="dxa"/>
          <w:left w:w="0" w:type="dxa"/>
          <w:bottom w:w="0" w:type="dxa"/>
          <w:right w:w="0" w:type="dxa"/>
        </w:tblCellMar>
      </w:tblPr>
      <w:tblGrid>
        <w:gridCol w:w="6215"/>
        <w:gridCol w:w="60"/>
        <w:gridCol w:w="160"/>
        <w:gridCol w:w="1123"/>
        <w:gridCol w:w="246"/>
        <w:gridCol w:w="68"/>
        <w:gridCol w:w="160"/>
        <w:gridCol w:w="1260"/>
        <w:gridCol w:w="230"/>
      </w:tblGrid>
      <w:tr>
        <w:trPr/>
        <w:tc>
          <w:tcPr>
            <w:tcW w:w="62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230" w:type="dxa"/>
            <w:tcBorders/>
            <w:vAlign w:val="center"/>
          </w:tcPr>
          <w:p>
            <w:pPr>
              <w:pStyle w:val="TableContents"/>
              <w:bidi w:val="0"/>
              <w:spacing w:before="0" w:after="283"/>
              <w:ind w:left="0" w:right="0" w:hanging="180"/>
              <w:jc w:val="left"/>
              <w:rPr/>
            </w:pPr>
            <w:r>
              <w:rPr/>
              <w:t> </w:t>
            </w:r>
          </w:p>
        </w:tc>
      </w:tr>
      <w:tr>
        <w:trPr/>
        <w:tc>
          <w:tcPr>
            <w:tcW w:w="6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May 31,</w:t>
              <w:br/>
              <w:t>2026</w:t>
            </w:r>
          </w:p>
        </w:tc>
        <w:tc>
          <w:tcPr>
            <w:tcW w:w="246"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May 31,</w:t>
              <w:br/>
              <w:t>2025</w:t>
            </w:r>
          </w:p>
        </w:tc>
        <w:tc>
          <w:tcPr>
            <w:tcW w:w="230" w:type="dxa"/>
            <w:tcBorders/>
            <w:vAlign w:val="center"/>
          </w:tcPr>
          <w:p>
            <w:pPr>
              <w:pStyle w:val="TableContents"/>
              <w:bidi w:val="0"/>
              <w:spacing w:before="0" w:after="283"/>
              <w:ind w:left="0" w:right="0" w:hanging="180"/>
              <w:jc w:val="center"/>
              <w:rPr/>
            </w:pPr>
            <w:r>
              <w:rPr/>
              <w:t> </w:t>
            </w:r>
          </w:p>
        </w:tc>
      </w:tr>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3" w:type="dxa"/>
            <w:gridSpan w:val="2"/>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6215" w:type="dxa"/>
            <w:tcBorders/>
            <w:shd w:fill="CCEEFF" w:val="clear"/>
            <w:vAlign w:val="center"/>
          </w:tcPr>
          <w:p>
            <w:pPr>
              <w:pStyle w:val="TableContents"/>
              <w:bidi w:val="0"/>
              <w:spacing w:before="0" w:after="283"/>
              <w:jc w:val="left"/>
              <w:rPr/>
            </w:pPr>
            <w:r>
              <w:rPr/>
              <w:t>Net Investment Income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7,592,987</w:t>
            </w:r>
          </w:p>
        </w:tc>
        <w:tc>
          <w:tcPr>
            <w:tcW w:w="24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60" w:type="dxa"/>
            <w:tcBorders/>
            <w:shd w:fill="CCEEFF" w:val="clear"/>
            <w:vAlign w:val="center"/>
          </w:tcPr>
          <w:p>
            <w:pPr>
              <w:pStyle w:val="TableContents"/>
              <w:bidi w:val="0"/>
              <w:spacing w:before="0" w:after="283"/>
              <w:jc w:val="right"/>
              <w:rPr/>
            </w:pPr>
            <w:r>
              <w:rPr/>
              <w:t>10,142,032</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215" w:type="dxa"/>
            <w:tcBorders/>
            <w:shd w:fill="FFFFFF" w:val="clear"/>
            <w:vAlign w:val="center"/>
          </w:tcPr>
          <w:p>
            <w:pPr>
              <w:pStyle w:val="TableContents"/>
              <w:bidi w:val="0"/>
              <w:spacing w:before="0" w:after="283"/>
              <w:jc w:val="left"/>
              <w:rPr/>
            </w:pPr>
            <w:r>
              <w:rPr/>
              <w:t>Changes in accrued capital gains incentive fee expense/ (reversal)</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4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215" w:type="dxa"/>
            <w:tcBorders/>
            <w:shd w:fill="CCEEFF" w:val="clear"/>
            <w:vAlign w:val="center"/>
          </w:tcPr>
          <w:p>
            <w:pPr>
              <w:pStyle w:val="TableContents"/>
              <w:bidi w:val="0"/>
              <w:spacing w:before="0" w:after="283"/>
              <w:jc w:val="left"/>
              <w:rPr/>
            </w:pPr>
            <w:r>
              <w:rPr/>
              <w:t>Adjusted net investment income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7,592,987</w:t>
            </w:r>
          </w:p>
        </w:tc>
        <w:tc>
          <w:tcPr>
            <w:tcW w:w="24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60" w:type="dxa"/>
            <w:tcBorders/>
            <w:shd w:fill="CCEEFF" w:val="clear"/>
            <w:vAlign w:val="center"/>
          </w:tcPr>
          <w:p>
            <w:pPr>
              <w:pStyle w:val="TableContents"/>
              <w:bidi w:val="0"/>
              <w:spacing w:before="0" w:after="283"/>
              <w:jc w:val="right"/>
              <w:rPr/>
            </w:pPr>
            <w:r>
              <w:rPr/>
              <w:t>10,142,032</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215" w:type="dxa"/>
            <w:tcBorders/>
            <w:shd w:fill="CCEEFF" w:val="clear"/>
            <w:vAlign w:val="center"/>
          </w:tcPr>
          <w:p>
            <w:pPr>
              <w:pStyle w:val="TableContents"/>
              <w:bidi w:val="0"/>
              <w:spacing w:before="0" w:after="283"/>
              <w:jc w:val="left"/>
              <w:rPr/>
            </w:pPr>
            <w:r>
              <w:rPr/>
              <w:t>Net investment income yield</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7.8</w:t>
            </w:r>
          </w:p>
        </w:tc>
        <w:tc>
          <w:tcPr>
            <w:tcW w:w="246"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10.3</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6215" w:type="dxa"/>
            <w:tcBorders/>
            <w:shd w:fill="FFFFFF" w:val="clear"/>
            <w:vAlign w:val="center"/>
          </w:tcPr>
          <w:p>
            <w:pPr>
              <w:pStyle w:val="TableContents"/>
              <w:bidi w:val="0"/>
              <w:spacing w:before="0" w:after="283"/>
              <w:jc w:val="left"/>
              <w:rPr/>
            </w:pPr>
            <w:r>
              <w:rPr/>
              <w:t>Changes in accrued capital gains incentive fee expense/ (reversal)</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4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Adjusted net investment income yield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7.8</w:t>
            </w:r>
          </w:p>
        </w:tc>
        <w:tc>
          <w:tcPr>
            <w:tcW w:w="246"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10.3</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215" w:type="dxa"/>
            <w:tcBorders/>
            <w:shd w:fill="CCEEFF" w:val="clear"/>
            <w:vAlign w:val="center"/>
          </w:tcPr>
          <w:p>
            <w:pPr>
              <w:pStyle w:val="TableContents"/>
              <w:bidi w:val="0"/>
              <w:spacing w:before="0" w:after="283"/>
              <w:jc w:val="left"/>
              <w:rPr/>
            </w:pPr>
            <w:r>
              <w:rPr/>
              <w:t>Net investment income per share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0.47</w:t>
            </w:r>
          </w:p>
        </w:tc>
        <w:tc>
          <w:tcPr>
            <w:tcW w:w="24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60" w:type="dxa"/>
            <w:tcBorders/>
            <w:shd w:fill="CCEEFF" w:val="clear"/>
            <w:vAlign w:val="center"/>
          </w:tcPr>
          <w:p>
            <w:pPr>
              <w:pStyle w:val="TableContents"/>
              <w:bidi w:val="0"/>
              <w:spacing w:before="0" w:after="283"/>
              <w:jc w:val="right"/>
              <w:rPr/>
            </w:pPr>
            <w:r>
              <w:rPr/>
              <w:t>0.66</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6215" w:type="dxa"/>
            <w:tcBorders/>
            <w:shd w:fill="FFFFFF" w:val="clear"/>
            <w:vAlign w:val="center"/>
          </w:tcPr>
          <w:p>
            <w:pPr>
              <w:pStyle w:val="TableContents"/>
              <w:bidi w:val="0"/>
              <w:spacing w:before="0" w:after="283"/>
              <w:jc w:val="left"/>
              <w:rPr/>
            </w:pPr>
            <w:r>
              <w:rPr/>
              <w:t>Changes in accrued capital gains incentive fee expense/ (reversal)</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4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6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Adjusted net investment income per share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0.47</w:t>
            </w:r>
          </w:p>
        </w:tc>
        <w:tc>
          <w:tcPr>
            <w:tcW w:w="24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60" w:type="dxa"/>
            <w:tcBorders/>
            <w:shd w:fill="CCEEFF" w:val="clear"/>
            <w:vAlign w:val="center"/>
          </w:tcPr>
          <w:p>
            <w:pPr>
              <w:pStyle w:val="TableContents"/>
              <w:bidi w:val="0"/>
              <w:spacing w:before="0" w:after="283"/>
              <w:jc w:val="right"/>
              <w:rPr/>
            </w:pPr>
            <w:r>
              <w:rPr/>
              <w:t>0.66</w:t>
            </w:r>
          </w:p>
        </w:tc>
        <w:tc>
          <w:tcPr>
            <w:tcW w:w="23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36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94"/>
        <w:gridCol w:w="9911"/>
      </w:tblGrid>
      <w:tr>
        <w:trPr/>
        <w:tc>
          <w:tcPr>
            <w:tcW w:w="294" w:type="dxa"/>
            <w:tcBorders/>
            <w:shd w:fill="FFFFFF" w:val="clear"/>
            <w:vAlign w:val="center"/>
          </w:tcPr>
          <w:p>
            <w:pPr>
              <w:pStyle w:val="TableContents"/>
              <w:bidi w:val="0"/>
              <w:spacing w:before="0" w:after="283"/>
              <w:jc w:val="left"/>
              <w:rPr/>
            </w:pPr>
            <w:r>
              <w:rPr/>
              <w:t>(1)</w:t>
            </w:r>
          </w:p>
        </w:tc>
        <w:tc>
          <w:tcPr>
            <w:tcW w:w="9911" w:type="dxa"/>
            <w:tcBorders/>
            <w:shd w:fill="FFFFFF" w:val="clear"/>
            <w:vAlign w:val="center"/>
          </w:tcPr>
          <w:p>
            <w:pPr>
              <w:pStyle w:val="TableContents"/>
              <w:bidi w:val="0"/>
              <w:spacing w:before="0" w:after="283"/>
              <w:jc w:val="both"/>
              <w:rPr/>
            </w:pPr>
            <w:r>
              <w:rPr/>
              <w:t>Adjusted net investment income yield is calculated as adjusted net investment income divided by average net asset value.</w:t>
            </w:r>
          </w:p>
        </w:tc>
      </w:tr>
    </w:tbl>
    <w:p>
      <w:pPr>
        <w:pStyle w:val="TextBody"/>
        <w:shd w:fill="FFFFFF" w:val="clear"/>
        <w:bidi w:val="0"/>
        <w:spacing w:before="0" w:after="0"/>
        <w:ind w:left="36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81"/>
        <w:gridCol w:w="9924"/>
      </w:tblGrid>
      <w:tr>
        <w:trPr/>
        <w:tc>
          <w:tcPr>
            <w:tcW w:w="281" w:type="dxa"/>
            <w:tcBorders/>
            <w:shd w:fill="FFFFFF" w:val="clear"/>
            <w:vAlign w:val="center"/>
          </w:tcPr>
          <w:p>
            <w:pPr>
              <w:pStyle w:val="TableContents"/>
              <w:bidi w:val="0"/>
              <w:spacing w:before="0" w:after="283"/>
              <w:jc w:val="left"/>
              <w:rPr/>
            </w:pPr>
            <w:r>
              <w:rPr/>
              <w:t>(2)</w:t>
            </w:r>
          </w:p>
        </w:tc>
        <w:tc>
          <w:tcPr>
            <w:tcW w:w="9924" w:type="dxa"/>
            <w:tcBorders/>
            <w:shd w:fill="FFFFFF" w:val="clear"/>
            <w:vAlign w:val="center"/>
          </w:tcPr>
          <w:p>
            <w:pPr>
              <w:pStyle w:val="TableContents"/>
              <w:bidi w:val="0"/>
              <w:spacing w:before="0" w:after="283"/>
              <w:jc w:val="both"/>
              <w:rPr/>
            </w:pPr>
            <w:r>
              <w:rPr/>
              <w:t>Adjusted net investment income per share is calculated as adjusted net investment income divided by weighted average common shares outstanding.</w:t>
            </w:r>
          </w:p>
        </w:tc>
      </w:tr>
    </w:tbl>
    <w:p>
      <w:pPr>
        <w:pStyle w:val="TextBody"/>
        <w:shd w:fill="FFFFFF" w:val="clear"/>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13</w:t>
      </w:r>
    </w:p>
    <w:p>
      <w:pPr>
        <w:pStyle w:val="TextBody"/>
        <w:shd w:fill="FFFFFF" w:val="clear"/>
        <w:bidi w:val="0"/>
        <w:spacing w:before="0" w:after="0"/>
        <w:ind w:left="360" w:right="0" w:hanging="36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6112</Words>
  <Characters>33489</Characters>
  <CharactersWithSpaces>39970</CharactersWithSpaces>
  <Paragraphs>1856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