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31, 2015</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SARATOGA INVESTMENT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20" w:type="dxa"/>
        <w:tblCellMar>
          <w:top w:w="0" w:type="dxa"/>
          <w:left w:w="0" w:type="dxa"/>
          <w:bottom w:w="0" w:type="dxa"/>
          <w:right w:w="0" w:type="dxa"/>
        </w:tblCellMar>
      </w:tblPr>
      <w:tr>
        <w:trPr>
          <w:trHeight w:val="21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8"/>
              </w:rPr>
              <w:t>Maryland</w:t>
            </w:r>
          </w:p>
        </w:tc>
        <w:tc>
          <w:tcPr>
            <w:tcW w:w="5140" w:type="dxa"/>
            <w:vAlign w:val="bottom"/>
          </w:tcPr>
          <w:p>
            <w:pPr>
              <w:jc w:val="right"/>
              <w:ind w:right="59"/>
              <w:spacing w:after="0"/>
              <w:rPr>
                <w:sz w:val="20"/>
                <w:szCs w:val="20"/>
                <w:color w:val="auto"/>
              </w:rPr>
            </w:pPr>
            <w:r>
              <w:rPr>
                <w:rFonts w:ascii="Arial" w:cs="Arial" w:eastAsia="Arial" w:hAnsi="Arial"/>
                <w:sz w:val="18"/>
                <w:szCs w:val="18"/>
                <w:b w:val="1"/>
                <w:bCs w:val="1"/>
                <w:color w:val="auto"/>
              </w:rPr>
              <w:t>20-8700615</w:t>
            </w: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19"/>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535 Madison Avenue</w:t>
            </w:r>
          </w:p>
        </w:tc>
        <w:tc>
          <w:tcPr>
            <w:tcW w:w="5140" w:type="dxa"/>
            <w:vAlign w:val="bottom"/>
          </w:tcPr>
          <w:p>
            <w:pPr>
              <w:spacing w:after="0"/>
              <w:rPr>
                <w:sz w:val="24"/>
                <w:szCs w:val="24"/>
                <w:color w:val="auto"/>
              </w:rPr>
            </w:pPr>
          </w:p>
        </w:tc>
      </w:tr>
      <w:tr>
        <w:trPr>
          <w:trHeight w:val="21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5140" w:type="dxa"/>
            <w:vAlign w:val="bottom"/>
          </w:tcPr>
          <w:p>
            <w:pPr>
              <w:jc w:val="right"/>
              <w:ind w:right="259"/>
              <w:spacing w:after="0"/>
              <w:rPr>
                <w:sz w:val="20"/>
                <w:szCs w:val="20"/>
                <w:color w:val="auto"/>
              </w:rPr>
            </w:pPr>
            <w:r>
              <w:rPr>
                <w:rFonts w:ascii="Arial" w:cs="Arial" w:eastAsia="Arial" w:hAnsi="Arial"/>
                <w:sz w:val="18"/>
                <w:szCs w:val="18"/>
                <w:b w:val="1"/>
                <w:bCs w:val="1"/>
                <w:color w:val="auto"/>
              </w:rPr>
              <w:t>10022</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w:t>
            </w:r>
          </w:p>
        </w:tc>
        <w:tc>
          <w:tcPr>
            <w:tcW w:w="514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6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Arial" w:cs="Arial" w:eastAsia="Arial" w:hAnsi="Arial"/>
                <w:sz w:val="18"/>
                <w:szCs w:val="18"/>
                <w:b w:val="1"/>
                <w:bCs w:val="1"/>
                <w:color w:val="auto"/>
                <w:w w:val="90"/>
              </w:rPr>
              <w:t>(212) 906-7800</w:t>
            </w:r>
          </w:p>
        </w:tc>
      </w:tr>
      <w:tr>
        <w:trPr>
          <w:trHeight w:val="186"/>
        </w:trPr>
        <w:tc>
          <w:tcPr>
            <w:tcW w:w="2360" w:type="dxa"/>
            <w:vAlign w:val="bottom"/>
          </w:tcPr>
          <w:p>
            <w:pPr>
              <w:spacing w:after="0"/>
              <w:rPr>
                <w:sz w:val="16"/>
                <w:szCs w:val="16"/>
                <w:color w:val="auto"/>
              </w:rPr>
            </w:pPr>
          </w:p>
        </w:tc>
        <w:tc>
          <w:tcPr>
            <w:tcW w:w="51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236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7500" w:type="dxa"/>
            <w:vAlign w:val="bottom"/>
            <w:gridSpan w:val="2"/>
          </w:tcPr>
          <w:p>
            <w:pPr>
              <w:jc w:val="center"/>
              <w:ind w:left="400"/>
              <w:spacing w:after="0"/>
              <w:rPr>
                <w:sz w:val="20"/>
                <w:szCs w:val="20"/>
                <w:color w:val="auto"/>
              </w:rPr>
            </w:pPr>
            <w:r>
              <w:rPr>
                <w:rFonts w:ascii="Arial" w:cs="Arial" w:eastAsia="Arial" w:hAnsi="Arial"/>
                <w:sz w:val="14"/>
                <w:szCs w:val="14"/>
                <w:b w:val="1"/>
                <w:bCs w:val="1"/>
                <w:color w:val="auto"/>
                <w:w w:val="93"/>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000" w:space="720"/>
            <w:col w:w="17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420"/>
            <w:col w:w="6000" w:space="720"/>
            <w:col w:w="2060" w:space="44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80"/>
            <w:col w:w="260" w:space="8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$0.001 par value, outstanding as of July 14, 2015 was 5,588,754.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620" w:type="dxa"/>
            <w:vAlign w:val="bottom"/>
            <w:gridSpan w:val="10"/>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000" w:type="dxa"/>
            <w:vAlign w:val="bottom"/>
            <w:gridSpan w:val="2"/>
            <w:vMerge w:val="continue"/>
          </w:tcPr>
          <w:p>
            <w:pPr>
              <w:spacing w:after="0"/>
              <w:rPr>
                <w:sz w:val="14"/>
                <w:szCs w:val="14"/>
                <w:color w:val="auto"/>
              </w:rPr>
            </w:pPr>
          </w:p>
        </w:tc>
        <w:tc>
          <w:tcPr>
            <w:tcW w:w="2400" w:type="dxa"/>
            <w:vAlign w:val="bottom"/>
            <w:tcBorders>
              <w:bottom w:val="single" w:sz="8" w:color="0000EE"/>
            </w:tcBorders>
            <w:gridSpan w:val="9"/>
            <w:vMerge w:val="continue"/>
          </w:tcPr>
          <w:p>
            <w:pPr>
              <w:spacing w:after="0"/>
              <w:rPr>
                <w:sz w:val="14"/>
                <w:szCs w:val="14"/>
                <w:color w:val="auto"/>
              </w:rPr>
            </w:pPr>
          </w:p>
        </w:tc>
        <w:tc>
          <w:tcPr>
            <w:tcW w:w="7620" w:type="dxa"/>
            <w:vAlign w:val="bottom"/>
            <w:gridSpan w:val="10"/>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500" w:type="dxa"/>
            <w:vAlign w:val="bottom"/>
            <w:gridSpan w:val="1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Assets and Liabilities as of May 31, 2015 (unaudited) and February 28, 2015</w:t>
              </w:r>
            </w:hyperlink>
          </w:p>
        </w:tc>
        <w:tc>
          <w:tcPr>
            <w:tcW w:w="244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for the three months ended May 31, 2015 and May 31, 2014 (unaudited)</w:t>
              </w:r>
            </w:hyperlink>
          </w:p>
        </w:tc>
        <w:tc>
          <w:tcPr>
            <w:tcW w:w="194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Schedules of Investments as of May 31, 2015 (unaudited) and February 28, 2015</w:t>
              </w:r>
            </w:hyperlink>
          </w:p>
        </w:tc>
        <w:tc>
          <w:tcPr>
            <w:tcW w:w="318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Consolidated Statements of Changes in Net Assets for the three months ended May 31, 2015 and May 31, 2014 (unaudited)</w:t>
              </w:r>
            </w:hyperlink>
          </w:p>
        </w:tc>
        <w:tc>
          <w:tcPr>
            <w:tcW w:w="1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Consolidated Statements of Cash Flows for the three months ended May 31, 2015 and May 31, 2014 (unaudited)</w:t>
              </w:r>
            </w:hyperlink>
          </w:p>
        </w:tc>
        <w:tc>
          <w:tcPr>
            <w:tcW w:w="18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Notes to Consolidated Financial Statements as of May 31, 2015 (unaudited)</w:t>
              </w:r>
            </w:hyperlink>
          </w:p>
        </w:tc>
        <w:tc>
          <w:tcPr>
            <w:tcW w:w="454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2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56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Controls and Procedures</w:t>
              </w:r>
            </w:hyperlink>
          </w:p>
        </w:tc>
        <w:tc>
          <w:tcPr>
            <w:tcW w:w="824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0020" w:type="dxa"/>
            <w:vAlign w:val="bottom"/>
            <w:gridSpan w:val="19"/>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Legal Proceedings</w:t>
              </w:r>
            </w:hyperlink>
          </w:p>
        </w:tc>
        <w:tc>
          <w:tcPr>
            <w:tcW w:w="800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68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Unregistered Sales of Equity Securities and Use of Proceeds</w:t>
              </w:r>
            </w:hyperlink>
          </w:p>
        </w:tc>
        <w:tc>
          <w:tcPr>
            <w:tcW w:w="566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Defaults upon Senior Securities</w:t>
              </w:r>
            </w:hyperlink>
          </w:p>
        </w:tc>
        <w:tc>
          <w:tcPr>
            <w:tcW w:w="772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Mine Safety Disclosures</w:t>
              </w:r>
            </w:hyperlink>
          </w:p>
        </w:tc>
        <w:tc>
          <w:tcPr>
            <w:tcW w:w="824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020" w:type="dxa"/>
            <w:vAlign w:val="bottom"/>
            <w:gridSpan w:val="1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Exhibits</w:t>
              </w:r>
            </w:hyperlink>
          </w:p>
        </w:tc>
        <w:tc>
          <w:tcPr>
            <w:tcW w:w="870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gridSpan w:val="12"/>
          </w:tcPr>
          <w:p>
            <w:pPr>
              <w:ind w:left="4660"/>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right"/>
              <w:ind w:right="228"/>
              <w:spacing w:after="0" w:line="142" w:lineRule="exact"/>
              <w:rPr>
                <w:sz w:val="20"/>
                <w:szCs w:val="20"/>
                <w:color w:val="auto"/>
              </w:rPr>
            </w:pPr>
            <w:r>
              <w:rPr>
                <w:rFonts w:ascii="Arial" w:cs="Arial" w:eastAsia="Arial" w:hAnsi="Arial"/>
                <w:sz w:val="14"/>
                <w:szCs w:val="14"/>
                <w:color w:val="auto"/>
                <w:w w:val="91"/>
              </w:rPr>
              <w:t>May 31, 2015</w:t>
            </w:r>
          </w:p>
        </w:tc>
        <w:tc>
          <w:tcPr>
            <w:tcW w:w="12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color w:val="auto"/>
                <w:w w:val="92"/>
              </w:rPr>
              <w:t>February 28,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(unaudited)</w:t>
            </w:r>
          </w:p>
        </w:tc>
        <w:tc>
          <w:tcPr>
            <w:tcW w:w="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 (amortized cost of $239,950,830 and $222,505,383,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245,883,731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223,506,589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Control investments (cost of $15,172,837 and $15,953,001, respectively)</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16,860,256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17,031,146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investments at fair value (amortized cost of $255,123,667 and $238,458,384, respectively)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262,743,987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240,537,735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699,127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1,888,158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reserve accounts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5,863,893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18,175,214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Interest receivable, (net of reserve of $354,144 and $309,498, respectively)</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2,793,526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receivable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174,527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475,257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317,637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272,750,317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263,560,055</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11,800,000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Deferred debt financing costs, revolving credit facility</w:t>
            </w:r>
          </w:p>
        </w:tc>
        <w:tc>
          <w:tcPr>
            <w:tcW w:w="100" w:type="dxa"/>
            <w:vAlign w:val="bottom"/>
          </w:tcPr>
          <w:p>
            <w:pPr>
              <w:spacing w:after="0"/>
              <w:rPr>
                <w:sz w:val="18"/>
                <w:szCs w:val="18"/>
                <w:color w:val="auto"/>
              </w:rPr>
            </w:pPr>
          </w:p>
        </w:tc>
        <w:tc>
          <w:tcPr>
            <w:tcW w:w="1100" w:type="dxa"/>
            <w:vAlign w:val="bottom"/>
            <w:gridSpan w:val="3"/>
          </w:tcPr>
          <w:p>
            <w:pPr>
              <w:jc w:val="right"/>
              <w:ind w:right="68"/>
              <w:spacing w:after="0"/>
              <w:rPr>
                <w:sz w:val="20"/>
                <w:szCs w:val="20"/>
                <w:color w:val="auto"/>
              </w:rPr>
            </w:pPr>
            <w:r>
              <w:rPr>
                <w:rFonts w:ascii="Arial" w:cs="Arial" w:eastAsia="Arial" w:hAnsi="Arial"/>
                <w:sz w:val="18"/>
                <w:szCs w:val="18"/>
                <w:color w:val="auto"/>
              </w:rPr>
              <w:t>(575,002)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(594,845)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79,000,000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Deferred debt financing costs, SBA debentures payable</w:t>
            </w:r>
          </w:p>
        </w:tc>
        <w:tc>
          <w:tcPr>
            <w:tcW w:w="100" w:type="dxa"/>
            <w:vAlign w:val="bottom"/>
          </w:tcPr>
          <w:p>
            <w:pPr>
              <w:spacing w:after="0"/>
              <w:rPr>
                <w:sz w:val="18"/>
                <w:szCs w:val="18"/>
                <w:color w:val="auto"/>
              </w:rPr>
            </w:pPr>
          </w:p>
        </w:tc>
        <w:tc>
          <w:tcPr>
            <w:tcW w:w="1100" w:type="dxa"/>
            <w:vAlign w:val="bottom"/>
            <w:gridSpan w:val="3"/>
          </w:tcPr>
          <w:p>
            <w:pPr>
              <w:jc w:val="right"/>
              <w:ind w:right="68"/>
              <w:spacing w:after="0"/>
              <w:rPr>
                <w:sz w:val="20"/>
                <w:szCs w:val="20"/>
                <w:color w:val="auto"/>
              </w:rPr>
            </w:pPr>
            <w:r>
              <w:rPr>
                <w:rFonts w:ascii="Arial" w:cs="Arial" w:eastAsia="Arial" w:hAnsi="Arial"/>
                <w:sz w:val="18"/>
                <w:szCs w:val="18"/>
                <w:color w:val="auto"/>
              </w:rPr>
              <w:t>(2,231,653)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(2,340,894)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48,300,000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Deferred debt financing costs, notes payable</w:t>
            </w:r>
          </w:p>
        </w:tc>
        <w:tc>
          <w:tcPr>
            <w:tcW w:w="100" w:type="dxa"/>
            <w:vAlign w:val="bottom"/>
          </w:tcPr>
          <w:p>
            <w:pPr>
              <w:spacing w:after="0"/>
              <w:rPr>
                <w:sz w:val="18"/>
                <w:szCs w:val="18"/>
                <w:color w:val="auto"/>
              </w:rPr>
            </w:pPr>
          </w:p>
        </w:tc>
        <w:tc>
          <w:tcPr>
            <w:tcW w:w="1100" w:type="dxa"/>
            <w:vAlign w:val="bottom"/>
            <w:gridSpan w:val="3"/>
          </w:tcPr>
          <w:p>
            <w:pPr>
              <w:jc w:val="right"/>
              <w:ind w:right="68"/>
              <w:spacing w:after="0"/>
              <w:rPr>
                <w:sz w:val="20"/>
                <w:szCs w:val="20"/>
                <w:color w:val="auto"/>
              </w:rPr>
            </w:pPr>
            <w:r>
              <w:rPr>
                <w:rFonts w:ascii="Arial" w:cs="Arial" w:eastAsia="Arial" w:hAnsi="Arial"/>
                <w:sz w:val="18"/>
                <w:szCs w:val="18"/>
                <w:color w:val="auto"/>
              </w:rPr>
              <w:t>(1,758,989)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(1,847,564)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5,995,489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Base management and incentive fees payable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6,765,317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5,835,941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675,383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Interest and debt fees payable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912,628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Due to manager</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149,258,993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140,961,313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par value $.001, 100,000,000 common shares authorized, 5,428,758 and 5,401,899 common shares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 outstanding,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5,429</w:t>
            </w:r>
          </w:p>
        </w:tc>
        <w:tc>
          <w:tcPr>
            <w:tcW w:w="1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185,279,853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184,877,680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w w:val="92"/>
              </w:rPr>
              <w:t>(29,029,436)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(23,905,603)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Accumulated net realized loss from investments and derivatives</w:t>
            </w:r>
          </w:p>
        </w:tc>
        <w:tc>
          <w:tcPr>
            <w:tcW w:w="100" w:type="dxa"/>
            <w:vAlign w:val="bottom"/>
          </w:tcPr>
          <w:p>
            <w:pPr>
              <w:spacing w:after="0"/>
              <w:rPr>
                <w:sz w:val="18"/>
                <w:szCs w:val="18"/>
                <w:color w:val="auto"/>
              </w:rPr>
            </w:pPr>
          </w:p>
        </w:tc>
        <w:tc>
          <w:tcPr>
            <w:tcW w:w="1100" w:type="dxa"/>
            <w:vAlign w:val="bottom"/>
            <w:gridSpan w:val="3"/>
          </w:tcPr>
          <w:p>
            <w:pPr>
              <w:jc w:val="right"/>
              <w:ind w:right="68"/>
              <w:spacing w:after="0"/>
              <w:rPr>
                <w:sz w:val="20"/>
                <w:szCs w:val="20"/>
                <w:color w:val="auto"/>
              </w:rPr>
            </w:pPr>
            <w:r>
              <w:rPr>
                <w:rFonts w:ascii="Arial" w:cs="Arial" w:eastAsia="Arial" w:hAnsi="Arial"/>
                <w:sz w:val="18"/>
                <w:szCs w:val="18"/>
                <w:color w:val="auto"/>
                <w:w w:val="92"/>
              </w:rPr>
              <w:t>(40,384,842)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(40,458,088)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unrealized appreciation on investments and derivatives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7,620,320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Total net assets</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123,491,324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122,598,742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9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272,750,317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263,560,055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920" w:type="dxa"/>
            <w:vAlign w:val="bottom"/>
            <w:gridSpan w:val="2"/>
          </w:tcPr>
          <w:p>
            <w:pPr>
              <w:spacing w:after="0"/>
              <w:rPr>
                <w:sz w:val="20"/>
                <w:szCs w:val="20"/>
                <w:color w:val="auto"/>
              </w:rPr>
            </w:pPr>
            <w:r>
              <w:rPr>
                <w:rFonts w:ascii="Arial" w:cs="Arial" w:eastAsia="Arial" w:hAnsi="Arial"/>
                <w:sz w:val="18"/>
                <w:szCs w:val="18"/>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22.75</w:t>
            </w:r>
          </w:p>
        </w:tc>
        <w:tc>
          <w:tcPr>
            <w:tcW w:w="180" w:type="dxa"/>
            <w:vAlign w:val="bottom"/>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May 31, 2015</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4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5,648,979</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4,707,894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Payment-in-kind interest income from Non-control/Non-affiliate investments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691,152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252,928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590,990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460" w:type="dxa"/>
            <w:vAlign w:val="bottom"/>
          </w:tcPr>
          <w:p>
            <w:pPr>
              <w:ind w:left="700"/>
              <w:spacing w:after="0"/>
              <w:rPr>
                <w:sz w:val="20"/>
                <w:szCs w:val="20"/>
                <w:color w:val="auto"/>
              </w:rPr>
            </w:pPr>
            <w:r>
              <w:rPr>
                <w:rFonts w:ascii="Arial" w:cs="Arial" w:eastAsia="Arial" w:hAnsi="Arial"/>
                <w:sz w:val="18"/>
                <w:szCs w:val="18"/>
                <w:color w:val="auto"/>
              </w:rPr>
              <w:t>Total interest income</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6,931,121</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5,602,160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736</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Management fee income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378,746</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392,034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250,564</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Total investment income</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7,561,167</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6,144,123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and debt financing expenses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1,963,865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1,787,587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1,124,098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Professional fees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333,444</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435,374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250,000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1,797,833</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378,489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87,317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51,000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182,920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5,790,477</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4,081,217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 INCOME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1,770,690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2,062,906</w:t>
            </w:r>
          </w:p>
        </w:tc>
        <w:tc>
          <w:tcPr>
            <w:tcW w:w="0" w:type="dxa"/>
            <w:vAlign w:val="bottom"/>
          </w:tcPr>
          <w:p>
            <w:pPr>
              <w:spacing w:after="0"/>
              <w:rPr>
                <w:sz w:val="1"/>
                <w:szCs w:val="1"/>
                <w:color w:val="auto"/>
              </w:rPr>
            </w:pPr>
          </w:p>
        </w:tc>
      </w:tr>
      <w:tr>
        <w:trPr>
          <w:trHeight w:val="291"/>
        </w:trPr>
        <w:tc>
          <w:tcPr>
            <w:tcW w:w="6480" w:type="dxa"/>
            <w:vAlign w:val="bottom"/>
            <w:gridSpan w:val="2"/>
          </w:tcPr>
          <w:p>
            <w:pPr>
              <w:spacing w:after="0"/>
              <w:rPr>
                <w:sz w:val="20"/>
                <w:szCs w:val="20"/>
                <w:color w:val="auto"/>
              </w:rPr>
            </w:pPr>
            <w:r>
              <w:rPr>
                <w:rFonts w:ascii="Arial" w:cs="Arial" w:eastAsia="Arial" w:hAnsi="Arial"/>
                <w:sz w:val="18"/>
                <w:szCs w:val="18"/>
                <w:color w:val="auto"/>
              </w:rPr>
              <w:t>REALIZED AND UNREALIZED GAIN (LOSS) ON INVESTMENTS:</w:t>
            </w:r>
          </w:p>
        </w:tc>
        <w:tc>
          <w:tcPr>
            <w:tcW w:w="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73,246</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5,540,969</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(384,697)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gain/(loss) on investments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5,614,215</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(303,017)</w:t>
            </w: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8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4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7,384,905</w:t>
            </w:r>
          </w:p>
        </w:tc>
        <w:tc>
          <w:tcPr>
            <w:tcW w:w="7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1,759,889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 BASIC AND DILUTED EARNINGS PER COMMON</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1.36</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310"/>
        </w:trPr>
        <w:tc>
          <w:tcPr>
            <w:tcW w:w="6480" w:type="dxa"/>
            <w:vAlign w:val="bottom"/>
            <w:gridSpan w:val="2"/>
          </w:tcPr>
          <w:p>
            <w:pPr>
              <w:spacing w:after="0"/>
              <w:rPr>
                <w:sz w:val="20"/>
                <w:szCs w:val="20"/>
                <w:color w:val="auto"/>
              </w:rPr>
            </w:pPr>
            <w:r>
              <w:rPr>
                <w:rFonts w:ascii="Arial" w:cs="Arial" w:eastAsia="Arial" w:hAnsi="Arial"/>
                <w:sz w:val="18"/>
                <w:szCs w:val="18"/>
                <w:color w:val="auto"/>
              </w:rPr>
              <w:t>WEIGHTED AVERAGE COMMON STOCK OUTSTANDING - BASIC AND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5,422,491</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5,379,616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May 31, 2015</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Investment Interest Rate /</w:t>
            </w: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Principal/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6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(c)</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60" w:type="dxa"/>
            <w:vAlign w:val="bottom"/>
            <w:gridSpan w:val="3"/>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of 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7"/>
              </w:rPr>
              <w:t>Non-control/Non-affiliated investments—199.1% (b)</w:t>
            </w: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National Truck Protection Co., Inc. (d), (g)</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Automotive Aftermarket</w:t>
            </w:r>
          </w:p>
        </w:tc>
        <w:tc>
          <w:tcPr>
            <w:tcW w:w="27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3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1,430,192</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National Truck Protection Co., Inc. (d)</w:t>
            </w: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Automotive Aftermarket</w:t>
            </w:r>
          </w:p>
        </w:tc>
        <w:tc>
          <w:tcPr>
            <w:tcW w:w="27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15.50%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9/13/2018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7,326,770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7,326,770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7,326,770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Take 5 Oil Change, L.L.C. (d), (g)</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Automotive Aftermarket</w:t>
            </w:r>
          </w:p>
        </w:tc>
        <w:tc>
          <w:tcPr>
            <w:tcW w:w="27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480,535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1,782,855</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Automotive Aftermarket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8,807,305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10,539,817</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
        </w:trPr>
        <w:tc>
          <w:tcPr>
            <w:tcW w:w="336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gridSpan w:val="3"/>
          </w:tcPr>
          <w:p>
            <w:pPr>
              <w:spacing w:after="0"/>
              <w:rPr>
                <w:sz w:val="20"/>
                <w:szCs w:val="20"/>
                <w:color w:val="auto"/>
              </w:rPr>
            </w:pPr>
            <w:r>
              <w:rPr>
                <w:rFonts w:ascii="Arial" w:cs="Arial" w:eastAsia="Arial" w:hAnsi="Arial"/>
                <w:sz w:val="14"/>
                <w:szCs w:val="14"/>
                <w:color w:val="auto"/>
              </w:rPr>
              <w:t>Legacy Cabinets Holdings (d), (g)</w:t>
            </w:r>
          </w:p>
        </w:tc>
        <w:tc>
          <w:tcPr>
            <w:tcW w:w="1660" w:type="dxa"/>
            <w:vAlign w:val="bottom"/>
          </w:tcPr>
          <w:p>
            <w:pPr>
              <w:spacing w:after="0"/>
              <w:rPr>
                <w:sz w:val="20"/>
                <w:szCs w:val="20"/>
                <w:color w:val="auto"/>
              </w:rPr>
            </w:pPr>
            <w:r>
              <w:rPr>
                <w:rFonts w:ascii="Arial" w:cs="Arial" w:eastAsia="Arial" w:hAnsi="Arial"/>
                <w:sz w:val="14"/>
                <w:szCs w:val="14"/>
                <w:color w:val="auto"/>
              </w:rPr>
              <w:t>Building Products</w:t>
            </w:r>
          </w:p>
        </w:tc>
        <w:tc>
          <w:tcPr>
            <w:tcW w:w="2780" w:type="dxa"/>
            <w:vAlign w:val="bottom"/>
            <w:gridSpan w:val="3"/>
          </w:tcPr>
          <w:p>
            <w:pPr>
              <w:ind w:left="100"/>
              <w:spacing w:after="0"/>
              <w:rPr>
                <w:sz w:val="20"/>
                <w:szCs w:val="20"/>
                <w:color w:val="auto"/>
              </w:rPr>
            </w:pPr>
            <w:r>
              <w:rPr>
                <w:rFonts w:ascii="Arial" w:cs="Arial" w:eastAsia="Arial" w:hAnsi="Arial"/>
                <w:sz w:val="14"/>
                <w:szCs w:val="14"/>
                <w:color w:val="auto"/>
              </w:rPr>
              <w:t>Common Stock Voting A-1</w:t>
            </w: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2,535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220,900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1,701,441</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Products</w:t>
            </w:r>
          </w:p>
        </w:tc>
        <w:tc>
          <w:tcPr>
            <w:tcW w:w="27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 Voting B-1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139,424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1,073,888</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tcPr>
          <w:p>
            <w:pPr>
              <w:spacing w:after="0" w:line="130" w:lineRule="exact"/>
              <w:rPr>
                <w:sz w:val="20"/>
                <w:szCs w:val="20"/>
                <w:color w:val="auto"/>
              </w:rPr>
            </w:pPr>
            <w:r>
              <w:rPr>
                <w:rFonts w:ascii="Arial" w:cs="Arial" w:eastAsia="Arial" w:hAnsi="Arial"/>
                <w:sz w:val="14"/>
                <w:szCs w:val="14"/>
                <w:color w:val="auto"/>
              </w:rPr>
              <w:t>Polar Holding Company, Ltd. (a), (i)</w:t>
            </w: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Building Products</w:t>
            </w:r>
          </w:p>
        </w:tc>
        <w:tc>
          <w:tcPr>
            <w:tcW w:w="27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80" w:type="dxa"/>
            <w:vAlign w:val="bottom"/>
            <w:gridSpan w:val="2"/>
          </w:tcPr>
          <w:p>
            <w:pPr>
              <w:ind w:left="100"/>
              <w:spacing w:after="0"/>
              <w:rPr>
                <w:sz w:val="20"/>
                <w:szCs w:val="20"/>
                <w:color w:val="auto"/>
              </w:rPr>
            </w:pPr>
            <w:r>
              <w:rPr>
                <w:rFonts w:ascii="Arial" w:cs="Arial" w:eastAsia="Arial" w:hAnsi="Arial"/>
                <w:sz w:val="14"/>
                <w:szCs w:val="14"/>
                <w:color w:val="auto"/>
              </w:rPr>
              <w:t>8/13/2016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1,000,000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Building Products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1,360,324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3,775,329</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4"/>
        </w:trPr>
        <w:tc>
          <w:tcPr>
            <w:tcW w:w="3360" w:type="dxa"/>
            <w:vAlign w:val="bottom"/>
            <w:gridSpan w:val="3"/>
          </w:tcPr>
          <w:p>
            <w:pPr>
              <w:spacing w:after="0"/>
              <w:rPr>
                <w:sz w:val="20"/>
                <w:szCs w:val="20"/>
                <w:color w:val="auto"/>
              </w:rPr>
            </w:pPr>
            <w:r>
              <w:rPr>
                <w:rFonts w:ascii="Arial" w:cs="Arial" w:eastAsia="Arial" w:hAnsi="Arial"/>
                <w:sz w:val="14"/>
                <w:szCs w:val="14"/>
                <w:color w:val="auto"/>
              </w:rPr>
              <w:t>BMC Software, Inc. (d)</w:t>
            </w:r>
          </w:p>
        </w:tc>
        <w:tc>
          <w:tcPr>
            <w:tcW w:w="1660" w:type="dxa"/>
            <w:vAlign w:val="bottom"/>
          </w:tcPr>
          <w:p>
            <w:pPr>
              <w:spacing w:after="0"/>
              <w:rPr>
                <w:sz w:val="20"/>
                <w:szCs w:val="20"/>
                <w:color w:val="auto"/>
              </w:rPr>
            </w:pPr>
            <w:r>
              <w:rPr>
                <w:rFonts w:ascii="Arial" w:cs="Arial" w:eastAsia="Arial" w:hAnsi="Arial"/>
                <w:sz w:val="14"/>
                <w:szCs w:val="14"/>
                <w:color w:val="auto"/>
              </w:rPr>
              <w:t>Business Services</w:t>
            </w:r>
          </w:p>
        </w:tc>
        <w:tc>
          <w:tcPr>
            <w:tcW w:w="2780" w:type="dxa"/>
            <w:vAlign w:val="bottom"/>
            <w:gridSpan w:val="3"/>
          </w:tcPr>
          <w:p>
            <w:pPr>
              <w:ind w:left="100"/>
              <w:spacing w:after="0"/>
              <w:rPr>
                <w:sz w:val="20"/>
                <w:szCs w:val="20"/>
                <w:color w:val="auto"/>
              </w:rPr>
            </w:pPr>
            <w:r>
              <w:rPr>
                <w:rFonts w:ascii="Arial" w:cs="Arial" w:eastAsia="Arial" w:hAnsi="Arial"/>
                <w:sz w:val="14"/>
                <w:szCs w:val="14"/>
                <w:color w:val="auto"/>
              </w:rPr>
              <w:t>First Lien Term Loan 5.00% Cash,</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80" w:type="dxa"/>
            <w:vAlign w:val="bottom"/>
            <w:gridSpan w:val="2"/>
          </w:tcPr>
          <w:p>
            <w:pPr>
              <w:ind w:left="100"/>
              <w:spacing w:after="0"/>
              <w:rPr>
                <w:sz w:val="20"/>
                <w:szCs w:val="20"/>
                <w:color w:val="auto"/>
              </w:rPr>
            </w:pPr>
            <w:r>
              <w:rPr>
                <w:rFonts w:ascii="Arial" w:cs="Arial" w:eastAsia="Arial" w:hAnsi="Arial"/>
                <w:sz w:val="14"/>
                <w:szCs w:val="14"/>
                <w:color w:val="auto"/>
              </w:rPr>
              <w:t>9/10/2020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5,716,667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5,673,479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5,610,337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Dispensing Dynamics International (d)</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7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Senior Secured Note 12.50% Cash, 1/1/2018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7,000,000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6,916,888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7,350,000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tcPr>
          <w:p>
            <w:pPr>
              <w:spacing w:after="0" w:line="130" w:lineRule="exact"/>
              <w:rPr>
                <w:sz w:val="20"/>
                <w:szCs w:val="20"/>
                <w:color w:val="auto"/>
              </w:rPr>
            </w:pPr>
            <w:r>
              <w:rPr>
                <w:rFonts w:ascii="Arial" w:cs="Arial" w:eastAsia="Arial" w:hAnsi="Arial"/>
                <w:sz w:val="14"/>
                <w:szCs w:val="14"/>
                <w:color w:val="auto"/>
              </w:rPr>
              <w:t>Easy Ice, LLC (d)</w:t>
            </w: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7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First Lien Term Loan 9.50%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80" w:type="dxa"/>
            <w:vAlign w:val="bottom"/>
            <w:gridSpan w:val="2"/>
          </w:tcPr>
          <w:p>
            <w:pPr>
              <w:ind w:left="100"/>
              <w:spacing w:after="0"/>
              <w:rPr>
                <w:sz w:val="20"/>
                <w:szCs w:val="20"/>
                <w:color w:val="auto"/>
              </w:rPr>
            </w:pPr>
            <w:r>
              <w:rPr>
                <w:rFonts w:ascii="Arial" w:cs="Arial" w:eastAsia="Arial" w:hAnsi="Arial"/>
                <w:sz w:val="14"/>
                <w:szCs w:val="14"/>
                <w:color w:val="auto"/>
              </w:rPr>
              <w:t>1/15/2020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12,000,000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11,876,875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12,000,000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7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Note 10.00%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1/23/2020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8,400,000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8,271,383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8,400,000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Emily Street Enterprises, L.L.C. (g)</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27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Warrant Membership Interests</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49,318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452,056</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Help/Systems Holdings, Inc.(Help/Systems, LLC) (d)</w:t>
            </w: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7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5.50%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6/28/2019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1,950,101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1,937,220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1,940,351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tcPr>
          <w:p>
            <w:pPr>
              <w:spacing w:after="0" w:line="130" w:lineRule="exact"/>
              <w:rPr>
                <w:sz w:val="20"/>
                <w:szCs w:val="20"/>
                <w:color w:val="auto"/>
              </w:rPr>
            </w:pPr>
            <w:r>
              <w:rPr>
                <w:rFonts w:ascii="Arial" w:cs="Arial" w:eastAsia="Arial" w:hAnsi="Arial"/>
                <w:sz w:val="14"/>
                <w:szCs w:val="14"/>
                <w:color w:val="auto"/>
              </w:rPr>
              <w:t>Help/Systems Holdings, Inc.(Help/Systems, LLC) (d)</w:t>
            </w: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7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Second Lien Term Loan 9.50%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80" w:type="dxa"/>
            <w:vAlign w:val="bottom"/>
            <w:gridSpan w:val="2"/>
          </w:tcPr>
          <w:p>
            <w:pPr>
              <w:ind w:left="100"/>
              <w:spacing w:after="0"/>
              <w:rPr>
                <w:sz w:val="20"/>
                <w:szCs w:val="20"/>
                <w:color w:val="auto"/>
              </w:rPr>
            </w:pPr>
            <w:r>
              <w:rPr>
                <w:rFonts w:ascii="Arial" w:cs="Arial" w:eastAsia="Arial" w:hAnsi="Arial"/>
                <w:sz w:val="14"/>
                <w:szCs w:val="14"/>
                <w:color w:val="auto"/>
              </w:rPr>
              <w:t>6/28/2020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1,976,757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1,965,000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7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11.00%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11/29/2017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5,259,171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5,209,053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5,259,171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tcPr>
          <w:p>
            <w:pPr>
              <w:spacing w:after="0" w:line="130" w:lineRule="exact"/>
              <w:rPr>
                <w:sz w:val="20"/>
                <w:szCs w:val="20"/>
                <w:color w:val="auto"/>
              </w:rPr>
            </w:pPr>
            <w:r>
              <w:rPr>
                <w:rFonts w:ascii="Arial" w:cs="Arial" w:eastAsia="Arial" w:hAnsi="Arial"/>
                <w:sz w:val="14"/>
                <w:szCs w:val="14"/>
                <w:color w:val="auto"/>
              </w:rPr>
              <w:t>Knowland Technology Holdings, L.L.C. (j), (k), (l)</w:t>
            </w: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7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Delayed Draw Term Loan 11.00%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80" w:type="dxa"/>
            <w:vAlign w:val="bottom"/>
            <w:gridSpan w:val="2"/>
          </w:tcPr>
          <w:p>
            <w:pPr>
              <w:ind w:left="100"/>
              <w:spacing w:after="0"/>
              <w:rPr>
                <w:sz w:val="20"/>
                <w:szCs w:val="20"/>
                <w:color w:val="auto"/>
              </w:rPr>
            </w:pPr>
            <w:r>
              <w:rPr>
                <w:rFonts w:ascii="Arial" w:cs="Arial" w:eastAsia="Arial" w:hAnsi="Arial"/>
                <w:sz w:val="14"/>
                <w:szCs w:val="14"/>
                <w:color w:val="auto"/>
              </w:rPr>
              <w:t>11/29/2017</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7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14.00% (12.00%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7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Cash/2.00% PIK), 3/6/2018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9,482,677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9,366,186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9,482,677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7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80" w:type="dxa"/>
            <w:vAlign w:val="bottom"/>
            <w:gridSpan w:val="3"/>
          </w:tcPr>
          <w:p>
            <w:pPr>
              <w:ind w:left="100"/>
              <w:spacing w:after="0"/>
              <w:rPr>
                <w:sz w:val="20"/>
                <w:szCs w:val="20"/>
                <w:color w:val="auto"/>
              </w:rPr>
            </w:pPr>
            <w:r>
              <w:rPr>
                <w:rFonts w:ascii="Arial" w:cs="Arial" w:eastAsia="Arial" w:hAnsi="Arial"/>
                <w:sz w:val="14"/>
                <w:szCs w:val="14"/>
                <w:color w:val="auto"/>
              </w:rPr>
              <w:t>Company Interests</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34,939</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Business Services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51,627,841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52,494,531</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04"/>
        </w:trPr>
        <w:tc>
          <w:tcPr>
            <w:tcW w:w="3360" w:type="dxa"/>
            <w:vAlign w:val="bottom"/>
            <w:gridSpan w:val="3"/>
          </w:tcPr>
          <w:p>
            <w:pPr>
              <w:spacing w:after="0"/>
              <w:rPr>
                <w:sz w:val="20"/>
                <w:szCs w:val="20"/>
                <w:color w:val="auto"/>
              </w:rPr>
            </w:pPr>
            <w:r>
              <w:rPr>
                <w:rFonts w:ascii="Arial" w:cs="Arial" w:eastAsia="Arial" w:hAnsi="Arial"/>
                <w:sz w:val="14"/>
                <w:szCs w:val="14"/>
                <w:color w:val="auto"/>
              </w:rPr>
              <w:t>Targus Group International, Inc. (d)</w:t>
            </w:r>
          </w:p>
        </w:tc>
        <w:tc>
          <w:tcPr>
            <w:tcW w:w="1660" w:type="dxa"/>
            <w:vAlign w:val="bottom"/>
          </w:tcPr>
          <w:p>
            <w:pPr>
              <w:spacing w:after="0"/>
              <w:rPr>
                <w:sz w:val="20"/>
                <w:szCs w:val="20"/>
                <w:color w:val="auto"/>
              </w:rPr>
            </w:pPr>
            <w:r>
              <w:rPr>
                <w:rFonts w:ascii="Arial" w:cs="Arial" w:eastAsia="Arial" w:hAnsi="Arial"/>
                <w:sz w:val="14"/>
                <w:szCs w:val="14"/>
                <w:color w:val="auto"/>
              </w:rPr>
              <w:t>Consumer Products</w:t>
            </w:r>
          </w:p>
        </w:tc>
        <w:tc>
          <w:tcPr>
            <w:tcW w:w="2780" w:type="dxa"/>
            <w:vAlign w:val="bottom"/>
            <w:gridSpan w:val="3"/>
          </w:tcPr>
          <w:p>
            <w:pPr>
              <w:ind w:left="100"/>
              <w:spacing w:after="0"/>
              <w:rPr>
                <w:sz w:val="20"/>
                <w:szCs w:val="20"/>
                <w:color w:val="auto"/>
              </w:rPr>
            </w:pPr>
            <w:r>
              <w:rPr>
                <w:rFonts w:ascii="Arial" w:cs="Arial" w:eastAsia="Arial" w:hAnsi="Arial"/>
                <w:sz w:val="14"/>
                <w:szCs w:val="14"/>
                <w:color w:val="auto"/>
              </w:rPr>
              <w:t>First Lien Term Loan, 14.75% (13.75%</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80" w:type="dxa"/>
            <w:vAlign w:val="bottom"/>
            <w:gridSpan w:val="3"/>
          </w:tcPr>
          <w:p>
            <w:pPr>
              <w:ind w:left="100"/>
              <w:spacing w:after="0"/>
              <w:rPr>
                <w:sz w:val="20"/>
                <w:szCs w:val="20"/>
                <w:color w:val="auto"/>
              </w:rPr>
            </w:pPr>
            <w:r>
              <w:rPr>
                <w:rFonts w:ascii="Arial" w:cs="Arial" w:eastAsia="Arial" w:hAnsi="Arial"/>
                <w:sz w:val="14"/>
                <w:szCs w:val="14"/>
                <w:color w:val="auto"/>
              </w:rPr>
              <w:t>Cash/1.00% PIK), 5/24/2016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3,577,302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3,551,526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3,035,341</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(g)</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7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62,413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566,765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Targus Holdings, Inc. (d), (m)</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27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Unsecured Note 10.00% PIK, 6/14/2019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2,054,158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2,054,158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(m)</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7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Unsecured Note 16.00% PIK, 10/26/2018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429,797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425,459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2"/>
          </w:tcPr>
          <w:p>
            <w:pPr>
              <w:jc w:val="right"/>
              <w:ind w:right="100"/>
              <w:spacing w:after="0"/>
              <w:rPr>
                <w:sz w:val="20"/>
                <w:szCs w:val="20"/>
                <w:color w:val="auto"/>
              </w:rPr>
            </w:pPr>
            <w:r>
              <w:rPr>
                <w:rFonts w:ascii="Arial" w:cs="Arial" w:eastAsia="Arial" w:hAnsi="Arial"/>
                <w:sz w:val="14"/>
                <w:szCs w:val="14"/>
                <w:color w:val="auto"/>
              </w:rPr>
              <w:t>Total Consumer Products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6,597,908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3,035,341</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Avionte Holdings, LLC (g)</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27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164,000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Avionte Holdings, LLC</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Consumer Services</w:t>
            </w:r>
          </w:p>
        </w:tc>
        <w:tc>
          <w:tcPr>
            <w:tcW w:w="278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First Lien Term Loan 9.75% Cash, 1/8/2019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2,406,342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2,370,166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2,406,342</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Avionte Holdings, LLC (j), (l)</w:t>
            </w: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7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Delayed Draw Term Loan A 9.75%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1/8/2019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tcPr>
          <w:p>
            <w:pPr>
              <w:spacing w:after="0" w:line="130" w:lineRule="exact"/>
              <w:rPr>
                <w:sz w:val="20"/>
                <w:szCs w:val="20"/>
                <w:color w:val="auto"/>
              </w:rPr>
            </w:pPr>
            <w:r>
              <w:rPr>
                <w:rFonts w:ascii="Arial" w:cs="Arial" w:eastAsia="Arial" w:hAnsi="Arial"/>
                <w:sz w:val="14"/>
                <w:szCs w:val="14"/>
                <w:color w:val="auto"/>
              </w:rPr>
              <w:t>CFF Acquisition L.L.C. (d)</w:t>
            </w: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Consumer Services</w:t>
            </w:r>
          </w:p>
        </w:tc>
        <w:tc>
          <w:tcPr>
            <w:tcW w:w="27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First Lien Term Loan 7.50%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80" w:type="dxa"/>
            <w:vAlign w:val="bottom"/>
            <w:gridSpan w:val="2"/>
          </w:tcPr>
          <w:p>
            <w:pPr>
              <w:ind w:left="100"/>
              <w:spacing w:after="0"/>
              <w:rPr>
                <w:sz w:val="20"/>
                <w:szCs w:val="20"/>
                <w:color w:val="auto"/>
              </w:rPr>
            </w:pPr>
            <w:r>
              <w:rPr>
                <w:rFonts w:ascii="Arial" w:cs="Arial" w:eastAsia="Arial" w:hAnsi="Arial"/>
                <w:sz w:val="14"/>
                <w:szCs w:val="14"/>
                <w:color w:val="auto"/>
              </w:rPr>
              <w:t>7/31/2015</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582,304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581,685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582,304</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Expedited Travel L.L.C. (g)</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27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1,180,000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tcPr>
          <w:p>
            <w:pPr>
              <w:spacing w:after="0" w:line="130" w:lineRule="exact"/>
              <w:rPr>
                <w:sz w:val="20"/>
                <w:szCs w:val="20"/>
                <w:color w:val="auto"/>
              </w:rPr>
            </w:pPr>
            <w:r>
              <w:rPr>
                <w:rFonts w:ascii="Arial" w:cs="Arial" w:eastAsia="Arial" w:hAnsi="Arial"/>
                <w:sz w:val="14"/>
                <w:szCs w:val="14"/>
                <w:color w:val="auto"/>
              </w:rPr>
              <w:t>Expedited Travel L.L.C.</w:t>
            </w: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Consumer Services</w:t>
            </w:r>
          </w:p>
        </w:tc>
        <w:tc>
          <w:tcPr>
            <w:tcW w:w="27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80" w:type="dxa"/>
            <w:vAlign w:val="bottom"/>
            <w:gridSpan w:val="2"/>
          </w:tcPr>
          <w:p>
            <w:pPr>
              <w:ind w:left="100"/>
              <w:spacing w:after="0"/>
              <w:rPr>
                <w:sz w:val="20"/>
                <w:szCs w:val="20"/>
                <w:color w:val="auto"/>
              </w:rPr>
            </w:pPr>
            <w:r>
              <w:rPr>
                <w:rFonts w:ascii="Arial" w:cs="Arial" w:eastAsia="Arial" w:hAnsi="Arial"/>
                <w:sz w:val="14"/>
                <w:szCs w:val="14"/>
                <w:color w:val="auto"/>
              </w:rPr>
              <w:t>10/10/2019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13,018,475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12,898,361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13,018,475</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PrePaid Legal Services, Inc. (d)</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27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First Lien Term Loan 6.50% Cash, 7/1/2019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1,629,032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1,617,017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1,625,448</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Consumer Services</w:t>
            </w:r>
          </w:p>
        </w:tc>
        <w:tc>
          <w:tcPr>
            <w:tcW w:w="27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Second Lien Term Loan 9.75%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80" w:type="dxa"/>
            <w:vAlign w:val="bottom"/>
            <w:gridSpan w:val="2"/>
          </w:tcPr>
          <w:p>
            <w:pPr>
              <w:ind w:left="100"/>
              <w:spacing w:after="0"/>
              <w:rPr>
                <w:sz w:val="20"/>
                <w:szCs w:val="20"/>
                <w:color w:val="auto"/>
              </w:rPr>
            </w:pPr>
            <w:r>
              <w:rPr>
                <w:rFonts w:ascii="Arial" w:cs="Arial" w:eastAsia="Arial" w:hAnsi="Arial"/>
                <w:sz w:val="14"/>
                <w:szCs w:val="14"/>
                <w:color w:val="auto"/>
              </w:rPr>
              <w:t>7/1/2020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10,000,000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9,958,335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10,000,000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Consumer Services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28,525,564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28,976,569</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0"/>
        </w:trPr>
        <w:tc>
          <w:tcPr>
            <w:tcW w:w="336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gridSpan w:val="3"/>
          </w:tcPr>
          <w:p>
            <w:pPr>
              <w:spacing w:after="0"/>
              <w:rPr>
                <w:sz w:val="20"/>
                <w:szCs w:val="20"/>
                <w:color w:val="auto"/>
              </w:rPr>
            </w:pPr>
            <w:r>
              <w:rPr>
                <w:rFonts w:ascii="Arial" w:cs="Arial" w:eastAsia="Arial" w:hAnsi="Arial"/>
                <w:sz w:val="14"/>
                <w:szCs w:val="14"/>
                <w:color w:val="auto"/>
              </w:rPr>
              <w:t>M/C Acquisition Corp., L.L.C. (d), (g)</w:t>
            </w:r>
          </w:p>
        </w:tc>
        <w:tc>
          <w:tcPr>
            <w:tcW w:w="1660" w:type="dxa"/>
            <w:vAlign w:val="bottom"/>
          </w:tcPr>
          <w:p>
            <w:pPr>
              <w:spacing w:after="0"/>
              <w:rPr>
                <w:sz w:val="20"/>
                <w:szCs w:val="20"/>
                <w:color w:val="auto"/>
              </w:rPr>
            </w:pPr>
            <w:r>
              <w:rPr>
                <w:rFonts w:ascii="Arial" w:cs="Arial" w:eastAsia="Arial" w:hAnsi="Arial"/>
                <w:sz w:val="14"/>
                <w:szCs w:val="14"/>
                <w:color w:val="auto"/>
              </w:rPr>
              <w:t>Education</w:t>
            </w:r>
          </w:p>
        </w:tc>
        <w:tc>
          <w:tcPr>
            <w:tcW w:w="2780" w:type="dxa"/>
            <w:vAlign w:val="bottom"/>
            <w:gridSpan w:val="3"/>
          </w:tcPr>
          <w:p>
            <w:pPr>
              <w:ind w:left="100"/>
              <w:spacing w:after="0"/>
              <w:rPr>
                <w:sz w:val="20"/>
                <w:szCs w:val="20"/>
                <w:color w:val="auto"/>
              </w:rPr>
            </w:pPr>
            <w:r>
              <w:rPr>
                <w:rFonts w:ascii="Arial" w:cs="Arial" w:eastAsia="Arial" w:hAnsi="Arial"/>
                <w:sz w:val="14"/>
                <w:szCs w:val="14"/>
                <w:color w:val="auto"/>
              </w:rPr>
              <w:t>Class A Common Stock</w:t>
            </w: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544,761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30,241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Acquisition Corp., L.L.C. (d)</w:t>
            </w: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Education</w:t>
            </w:r>
          </w:p>
        </w:tc>
        <w:tc>
          <w:tcPr>
            <w:tcW w:w="27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3/31/2016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2,362,978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1,235,695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102,983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2"/>
          </w:tcPr>
          <w:p>
            <w:pPr>
              <w:jc w:val="right"/>
              <w:ind w:right="100"/>
              <w:spacing w:after="0"/>
              <w:rPr>
                <w:sz w:val="20"/>
                <w:szCs w:val="20"/>
                <w:color w:val="auto"/>
              </w:rPr>
            </w:pPr>
            <w:r>
              <w:rPr>
                <w:rFonts w:ascii="Arial" w:cs="Arial" w:eastAsia="Arial" w:hAnsi="Arial"/>
                <w:sz w:val="14"/>
                <w:szCs w:val="14"/>
                <w:color w:val="auto"/>
              </w:rPr>
              <w:t>Total Education</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1,265,936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102,983</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Group Dekko, Inc. (d)</w:t>
            </w:r>
          </w:p>
        </w:tc>
        <w:tc>
          <w:tcPr>
            <w:tcW w:w="20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Electronics</w:t>
            </w:r>
          </w:p>
        </w:tc>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Second Lien Term Loan 11.00% (10.00%</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Cash/1.00% PIK), 5/1/2016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6,880,696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6,880,696</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6,575,881</w:t>
            </w: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40" w:type="dxa"/>
            <w:vAlign w:val="bottom"/>
            <w:vMerge w:val="restart"/>
          </w:tcPr>
          <w:p>
            <w:pPr>
              <w:jc w:val="right"/>
              <w:spacing w:after="0"/>
              <w:rPr>
                <w:sz w:val="20"/>
                <w:szCs w:val="20"/>
                <w:color w:val="auto"/>
              </w:rPr>
            </w:pPr>
            <w:r>
              <w:rPr>
                <w:rFonts w:ascii="Arial" w:cs="Arial" w:eastAsia="Arial" w:hAnsi="Arial"/>
                <w:sz w:val="14"/>
                <w:szCs w:val="14"/>
                <w:color w:val="auto"/>
              </w:rPr>
              <w:t>Total Electronics</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6,880,696</w:t>
            </w: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6,575,881</w:t>
            </w:r>
          </w:p>
        </w:tc>
        <w:tc>
          <w:tcPr>
            <w:tcW w:w="180" w:type="dxa"/>
            <w:vAlign w:val="bottom"/>
            <w:vMerge w:val="continue"/>
          </w:tcPr>
          <w:p>
            <w:pPr>
              <w:spacing w:after="0"/>
              <w:rPr>
                <w:sz w:val="13"/>
                <w:szCs w:val="13"/>
                <w:color w:val="auto"/>
              </w:rPr>
            </w:pPr>
          </w:p>
        </w:tc>
        <w:tc>
          <w:tcPr>
            <w:tcW w:w="4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TB Corp. (d)</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Food and Beverage</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First Lien Term Loan 5.50% Cash, 6/19/2018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4,992,403</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4,981,077</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4,973,931</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tcPr>
          <w:p>
            <w:pPr>
              <w:spacing w:after="0" w:line="130" w:lineRule="exact"/>
              <w:rPr>
                <w:sz w:val="20"/>
                <w:szCs w:val="20"/>
                <w:color w:val="auto"/>
              </w:rPr>
            </w:pPr>
            <w:r>
              <w:rPr>
                <w:rFonts w:ascii="Arial" w:cs="Arial" w:eastAsia="Arial" w:hAnsi="Arial"/>
                <w:sz w:val="14"/>
                <w:szCs w:val="14"/>
                <w:color w:val="auto"/>
              </w:rPr>
              <w:t>TB Corp. (d)</w:t>
            </w:r>
          </w:p>
        </w:tc>
        <w:tc>
          <w:tcPr>
            <w:tcW w:w="2040" w:type="dxa"/>
            <w:vAlign w:val="bottom"/>
          </w:tcPr>
          <w:p>
            <w:pPr>
              <w:ind w:left="680"/>
              <w:spacing w:after="0" w:line="130" w:lineRule="exact"/>
              <w:rPr>
                <w:sz w:val="20"/>
                <w:szCs w:val="20"/>
                <w:color w:val="auto"/>
              </w:rPr>
            </w:pPr>
            <w:r>
              <w:rPr>
                <w:rFonts w:ascii="Arial" w:cs="Arial" w:eastAsia="Arial" w:hAnsi="Arial"/>
                <w:sz w:val="14"/>
                <w:szCs w:val="14"/>
                <w:color w:val="auto"/>
              </w:rPr>
              <w:t>Food and Beverage</w:t>
            </w:r>
          </w:p>
        </w:tc>
        <w:tc>
          <w:tcPr>
            <w:tcW w:w="2840" w:type="dxa"/>
            <w:vAlign w:val="bottom"/>
          </w:tcPr>
          <w:p>
            <w:pPr>
              <w:ind w:left="100"/>
              <w:spacing w:after="0" w:line="130" w:lineRule="exact"/>
              <w:rPr>
                <w:sz w:val="20"/>
                <w:szCs w:val="20"/>
                <w:color w:val="auto"/>
              </w:rPr>
            </w:pPr>
            <w:r>
              <w:rPr>
                <w:rFonts w:ascii="Arial" w:cs="Arial" w:eastAsia="Arial" w:hAnsi="Arial"/>
                <w:sz w:val="14"/>
                <w:szCs w:val="14"/>
                <w:color w:val="auto"/>
                <w:w w:val="94"/>
              </w:rPr>
              <w:t>Unsecured Note 13.50% (12.00% Cash/1.50%</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Pr>
          <w:p>
            <w:pPr>
              <w:ind w:left="100"/>
              <w:spacing w:after="0"/>
              <w:rPr>
                <w:sz w:val="20"/>
                <w:szCs w:val="20"/>
                <w:color w:val="auto"/>
              </w:rPr>
            </w:pPr>
            <w:r>
              <w:rPr>
                <w:rFonts w:ascii="Arial" w:cs="Arial" w:eastAsia="Arial" w:hAnsi="Arial"/>
                <w:sz w:val="14"/>
                <w:szCs w:val="14"/>
                <w:color w:val="auto"/>
              </w:rPr>
              <w:t>PIK), 12/20/2018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2,546,121</w:t>
            </w:r>
          </w:p>
        </w:tc>
        <w:tc>
          <w:tcPr>
            <w:tcW w:w="700" w:type="dxa"/>
            <w:vAlign w:val="bottom"/>
          </w:tcPr>
          <w:p>
            <w:pPr>
              <w:jc w:val="right"/>
              <w:spacing w:after="0"/>
              <w:rPr>
                <w:sz w:val="20"/>
                <w:szCs w:val="20"/>
                <w:color w:val="auto"/>
              </w:rPr>
            </w:pPr>
            <w:r>
              <w:rPr>
                <w:rFonts w:ascii="Arial" w:cs="Arial" w:eastAsia="Arial" w:hAnsi="Arial"/>
                <w:sz w:val="14"/>
                <w:szCs w:val="14"/>
                <w:color w:val="auto"/>
              </w:rPr>
              <w:t>2,513,305</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2,546,121</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TM Restaurant Group L.L.C.</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Food and Beverage</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First Lien Term Loan 9.75% Cash, 7/16/2017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9,783,298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9,649,729</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9,764,709</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40" w:type="dxa"/>
            <w:vAlign w:val="bottom"/>
            <w:vMerge w:val="restart"/>
          </w:tcPr>
          <w:p>
            <w:pPr>
              <w:jc w:val="right"/>
              <w:spacing w:after="0"/>
              <w:rPr>
                <w:sz w:val="20"/>
                <w:szCs w:val="20"/>
                <w:color w:val="auto"/>
              </w:rPr>
            </w:pPr>
            <w:r>
              <w:rPr>
                <w:rFonts w:ascii="Arial" w:cs="Arial" w:eastAsia="Arial" w:hAnsi="Arial"/>
                <w:sz w:val="14"/>
                <w:szCs w:val="14"/>
                <w:color w:val="auto"/>
              </w:rPr>
              <w:t>Total Food and Beverage</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17,144,111</w:t>
            </w:r>
          </w:p>
        </w:tc>
        <w:tc>
          <w:tcPr>
            <w:tcW w:w="180" w:type="dxa"/>
            <w:vAlign w:val="bottom"/>
            <w:vMerge w:val="continue"/>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17,284,761</w:t>
            </w:r>
          </w:p>
        </w:tc>
        <w:tc>
          <w:tcPr>
            <w:tcW w:w="180" w:type="dxa"/>
            <w:vAlign w:val="bottom"/>
            <w:vMerge w:val="continue"/>
          </w:tcPr>
          <w:p>
            <w:pPr>
              <w:spacing w:after="0"/>
              <w:rPr>
                <w:sz w:val="14"/>
                <w:szCs w:val="14"/>
                <w:color w:val="auto"/>
              </w:rPr>
            </w:pPr>
          </w:p>
        </w:tc>
        <w:tc>
          <w:tcPr>
            <w:tcW w:w="4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Bristol Hospice, LLC</w:t>
            </w:r>
          </w:p>
        </w:tc>
        <w:tc>
          <w:tcPr>
            <w:tcW w:w="204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Healthcare Services</w:t>
            </w:r>
          </w:p>
        </w:tc>
        <w:tc>
          <w:tcPr>
            <w:tcW w:w="284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Note 11.00% (10.00%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Cash/1.00% PIK), 11/29/2018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5,445,486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5,365,513</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5,445,486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tcPr>
          <w:p>
            <w:pPr>
              <w:spacing w:after="0" w:line="130" w:lineRule="exact"/>
              <w:rPr>
                <w:sz w:val="20"/>
                <w:szCs w:val="20"/>
                <w:color w:val="auto"/>
              </w:rPr>
            </w:pPr>
            <w:r>
              <w:rPr>
                <w:rFonts w:ascii="Arial" w:cs="Arial" w:eastAsia="Arial" w:hAnsi="Arial"/>
                <w:sz w:val="14"/>
                <w:szCs w:val="14"/>
                <w:color w:val="auto"/>
              </w:rPr>
              <w:t>Bristol Hospice, LLC (j), (l)</w:t>
            </w:r>
          </w:p>
        </w:tc>
        <w:tc>
          <w:tcPr>
            <w:tcW w:w="2040" w:type="dxa"/>
            <w:vAlign w:val="bottom"/>
          </w:tcPr>
          <w:p>
            <w:pPr>
              <w:ind w:left="680"/>
              <w:spacing w:after="0" w:line="130" w:lineRule="exact"/>
              <w:rPr>
                <w:sz w:val="20"/>
                <w:szCs w:val="20"/>
                <w:color w:val="auto"/>
              </w:rPr>
            </w:pPr>
            <w:r>
              <w:rPr>
                <w:rFonts w:ascii="Arial" w:cs="Arial" w:eastAsia="Arial" w:hAnsi="Arial"/>
                <w:sz w:val="14"/>
                <w:szCs w:val="14"/>
                <w:color w:val="auto"/>
              </w:rPr>
              <w:t>Healthcare Services</w:t>
            </w:r>
          </w:p>
        </w:tc>
        <w:tc>
          <w:tcPr>
            <w:tcW w:w="2840" w:type="dxa"/>
            <w:vAlign w:val="bottom"/>
          </w:tcPr>
          <w:p>
            <w:pPr>
              <w:ind w:left="100"/>
              <w:spacing w:after="0" w:line="130" w:lineRule="exact"/>
              <w:rPr>
                <w:sz w:val="20"/>
                <w:szCs w:val="20"/>
                <w:color w:val="auto"/>
              </w:rPr>
            </w:pPr>
            <w:r>
              <w:rPr>
                <w:rFonts w:ascii="Arial" w:cs="Arial" w:eastAsia="Arial" w:hAnsi="Arial"/>
                <w:sz w:val="14"/>
                <w:szCs w:val="14"/>
                <w:color w:val="auto"/>
              </w:rPr>
              <w:t>Delayed Draw Term Loan 11.00% (10.00%</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Pr>
          <w:p>
            <w:pPr>
              <w:ind w:left="100"/>
              <w:spacing w:after="0"/>
              <w:rPr>
                <w:sz w:val="20"/>
                <w:szCs w:val="20"/>
                <w:color w:val="auto"/>
              </w:rPr>
            </w:pPr>
            <w:r>
              <w:rPr>
                <w:rFonts w:ascii="Arial" w:cs="Arial" w:eastAsia="Arial" w:hAnsi="Arial"/>
                <w:sz w:val="14"/>
                <w:szCs w:val="14"/>
                <w:color w:val="auto"/>
              </w:rPr>
              <w:t>Cash/1.00% PIK), 11/29/2018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Roscoe Medical, Inc. (d), (g)</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Healthcare Services</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5,000</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328,400</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tcPr>
          <w:p>
            <w:pPr>
              <w:spacing w:after="0" w:line="130" w:lineRule="exact"/>
              <w:rPr>
                <w:sz w:val="20"/>
                <w:szCs w:val="20"/>
                <w:color w:val="auto"/>
              </w:rPr>
            </w:pPr>
            <w:r>
              <w:rPr>
                <w:rFonts w:ascii="Arial" w:cs="Arial" w:eastAsia="Arial" w:hAnsi="Arial"/>
                <w:sz w:val="14"/>
                <w:szCs w:val="14"/>
                <w:color w:val="auto"/>
              </w:rPr>
              <w:t>Roscoe Medical, Inc.</w:t>
            </w:r>
          </w:p>
        </w:tc>
        <w:tc>
          <w:tcPr>
            <w:tcW w:w="2040" w:type="dxa"/>
            <w:vAlign w:val="bottom"/>
          </w:tcPr>
          <w:p>
            <w:pPr>
              <w:ind w:left="680"/>
              <w:spacing w:after="0" w:line="130" w:lineRule="exact"/>
              <w:rPr>
                <w:sz w:val="20"/>
                <w:szCs w:val="20"/>
                <w:color w:val="auto"/>
              </w:rPr>
            </w:pPr>
            <w:r>
              <w:rPr>
                <w:rFonts w:ascii="Arial" w:cs="Arial" w:eastAsia="Arial" w:hAnsi="Arial"/>
                <w:sz w:val="14"/>
                <w:szCs w:val="14"/>
                <w:color w:val="auto"/>
              </w:rPr>
              <w:t>Healthcare Services</w:t>
            </w:r>
          </w:p>
        </w:tc>
        <w:tc>
          <w:tcPr>
            <w:tcW w:w="2840" w:type="dxa"/>
            <w:vAlign w:val="bottom"/>
          </w:tcPr>
          <w:p>
            <w:pPr>
              <w:ind w:left="100"/>
              <w:spacing w:after="0" w:line="130" w:lineRule="exact"/>
              <w:rPr>
                <w:sz w:val="20"/>
                <w:szCs w:val="20"/>
                <w:color w:val="auto"/>
              </w:rPr>
            </w:pPr>
            <w:r>
              <w:rPr>
                <w:rFonts w:ascii="Arial" w:cs="Arial" w:eastAsia="Arial" w:hAnsi="Arial"/>
                <w:sz w:val="14"/>
                <w:szCs w:val="14"/>
                <w:color w:val="auto"/>
              </w:rPr>
              <w:t>Second Lien Term Loan 11.25% Cash,</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Pr>
          <w:p>
            <w:pPr>
              <w:ind w:left="100"/>
              <w:spacing w:after="0"/>
              <w:rPr>
                <w:sz w:val="20"/>
                <w:szCs w:val="20"/>
                <w:color w:val="auto"/>
              </w:rPr>
            </w:pPr>
            <w:r>
              <w:rPr>
                <w:rFonts w:ascii="Arial" w:cs="Arial" w:eastAsia="Arial" w:hAnsi="Arial"/>
                <w:sz w:val="14"/>
                <w:szCs w:val="14"/>
                <w:color w:val="auto"/>
              </w:rPr>
              <w:t>9/26/2019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4,200,000</w:t>
            </w:r>
          </w:p>
        </w:tc>
        <w:tc>
          <w:tcPr>
            <w:tcW w:w="700" w:type="dxa"/>
            <w:vAlign w:val="bottom"/>
          </w:tcPr>
          <w:p>
            <w:pPr>
              <w:jc w:val="right"/>
              <w:spacing w:after="0"/>
              <w:rPr>
                <w:sz w:val="20"/>
                <w:szCs w:val="20"/>
                <w:color w:val="auto"/>
              </w:rPr>
            </w:pPr>
            <w:r>
              <w:rPr>
                <w:rFonts w:ascii="Arial" w:cs="Arial" w:eastAsia="Arial" w:hAnsi="Arial"/>
                <w:sz w:val="14"/>
                <w:szCs w:val="14"/>
                <w:color w:val="auto"/>
              </w:rPr>
              <w:t>4,132,667</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4,009,740</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Smile Brands Group Inc. (d)</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Healthcare Services</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First Lien Term Loan 7.50% Cash, 8/16/2019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4,432,500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4,365,682</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3,745,463</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Surgical Specialties Corporation (US), Inc. (d)</w:t>
            </w:r>
          </w:p>
        </w:tc>
        <w:tc>
          <w:tcPr>
            <w:tcW w:w="2040" w:type="dxa"/>
            <w:vAlign w:val="bottom"/>
          </w:tcPr>
          <w:p>
            <w:pPr>
              <w:ind w:left="680"/>
              <w:spacing w:after="0" w:line="149" w:lineRule="exact"/>
              <w:rPr>
                <w:sz w:val="20"/>
                <w:szCs w:val="20"/>
                <w:color w:val="auto"/>
              </w:rPr>
            </w:pPr>
            <w:r>
              <w:rPr>
                <w:rFonts w:ascii="Arial" w:cs="Arial" w:eastAsia="Arial" w:hAnsi="Arial"/>
                <w:sz w:val="14"/>
                <w:szCs w:val="14"/>
                <w:color w:val="auto"/>
              </w:rPr>
              <w:t>Healthcare Services</w:t>
            </w:r>
          </w:p>
        </w:tc>
        <w:tc>
          <w:tcPr>
            <w:tcW w:w="2840" w:type="dxa"/>
            <w:vAlign w:val="bottom"/>
          </w:tcPr>
          <w:p>
            <w:pPr>
              <w:ind w:left="100"/>
              <w:spacing w:after="0" w:line="149" w:lineRule="exact"/>
              <w:rPr>
                <w:sz w:val="20"/>
                <w:szCs w:val="20"/>
                <w:color w:val="auto"/>
              </w:rPr>
            </w:pPr>
            <w:r>
              <w:rPr>
                <w:rFonts w:ascii="Arial" w:cs="Arial" w:eastAsia="Arial" w:hAnsi="Arial"/>
                <w:sz w:val="14"/>
                <w:szCs w:val="14"/>
                <w:color w:val="auto"/>
                <w:w w:val="97"/>
              </w:rPr>
              <w:t>First Lien Term Loan 7.25% Cash, 8/22/2018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2,263,197</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2,247,736</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2,240,565</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Zest Holdings, LLC (d)</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Healthcare Services</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First Lien Term Loan 5.25% Cash, 8/16/2020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4,241,318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4,166,205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4,257,435</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40" w:type="dxa"/>
            <w:vAlign w:val="bottom"/>
            <w:vMerge w:val="restart"/>
          </w:tcPr>
          <w:p>
            <w:pPr>
              <w:jc w:val="right"/>
              <w:spacing w:after="0"/>
              <w:rPr>
                <w:sz w:val="20"/>
                <w:szCs w:val="20"/>
                <w:color w:val="auto"/>
              </w:rPr>
            </w:pPr>
            <w:r>
              <w:rPr>
                <w:rFonts w:ascii="Arial" w:cs="Arial" w:eastAsia="Arial" w:hAnsi="Arial"/>
                <w:sz w:val="14"/>
                <w:szCs w:val="14"/>
                <w:color w:val="auto"/>
              </w:rPr>
              <w:t>Total Healthcare Services</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20,777,803</w:t>
            </w:r>
          </w:p>
        </w:tc>
        <w:tc>
          <w:tcPr>
            <w:tcW w:w="18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20,027,089</w:t>
            </w:r>
          </w:p>
        </w:tc>
        <w:tc>
          <w:tcPr>
            <w:tcW w:w="180" w:type="dxa"/>
            <w:vAlign w:val="bottom"/>
            <w:vMerge w:val="continue"/>
          </w:tcPr>
          <w:p>
            <w:pPr>
              <w:spacing w:after="0"/>
              <w:rPr>
                <w:sz w:val="14"/>
                <w:szCs w:val="14"/>
                <w:color w:val="auto"/>
              </w:rPr>
            </w:pPr>
          </w:p>
        </w:tc>
        <w:tc>
          <w:tcPr>
            <w:tcW w:w="4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w:t>
            </w:r>
          </w:p>
        </w:tc>
        <w:tc>
          <w:tcPr>
            <w:tcW w:w="204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Media</w:t>
            </w:r>
          </w:p>
        </w:tc>
        <w:tc>
          <w:tcPr>
            <w:tcW w:w="284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12.00% Cash,</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5/16/2019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9,294,607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9,141,763</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9,410,790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tcPr>
          <w:p>
            <w:pPr>
              <w:spacing w:after="0" w:line="130" w:lineRule="exact"/>
              <w:rPr>
                <w:sz w:val="20"/>
                <w:szCs w:val="20"/>
                <w:color w:val="auto"/>
              </w:rPr>
            </w:pPr>
            <w:r>
              <w:rPr>
                <w:rFonts w:ascii="Arial" w:cs="Arial" w:eastAsia="Arial" w:hAnsi="Arial"/>
                <w:sz w:val="14"/>
                <w:szCs w:val="14"/>
                <w:color w:val="auto"/>
              </w:rPr>
              <w:t>HMN Holdco, LLC (j), (k)</w:t>
            </w:r>
          </w:p>
        </w:tc>
        <w:tc>
          <w:tcPr>
            <w:tcW w:w="2040" w:type="dxa"/>
            <w:vAlign w:val="bottom"/>
          </w:tcPr>
          <w:p>
            <w:pPr>
              <w:ind w:left="680"/>
              <w:spacing w:after="0" w:line="130" w:lineRule="exact"/>
              <w:rPr>
                <w:sz w:val="20"/>
                <w:szCs w:val="20"/>
                <w:color w:val="auto"/>
              </w:rPr>
            </w:pPr>
            <w:r>
              <w:rPr>
                <w:rFonts w:ascii="Arial" w:cs="Arial" w:eastAsia="Arial" w:hAnsi="Arial"/>
                <w:sz w:val="14"/>
                <w:szCs w:val="14"/>
                <w:color w:val="auto"/>
              </w:rPr>
              <w:t>Media</w:t>
            </w:r>
          </w:p>
        </w:tc>
        <w:tc>
          <w:tcPr>
            <w:tcW w:w="2840" w:type="dxa"/>
            <w:vAlign w:val="bottom"/>
          </w:tcPr>
          <w:p>
            <w:pPr>
              <w:ind w:left="100"/>
              <w:spacing w:after="0" w:line="130" w:lineRule="exact"/>
              <w:rPr>
                <w:sz w:val="20"/>
                <w:szCs w:val="20"/>
                <w:color w:val="auto"/>
              </w:rPr>
            </w:pPr>
            <w:r>
              <w:rPr>
                <w:rFonts w:ascii="Arial" w:cs="Arial" w:eastAsia="Arial" w:hAnsi="Arial"/>
                <w:sz w:val="14"/>
                <w:szCs w:val="14"/>
                <w:color w:val="auto"/>
              </w:rPr>
              <w:t>Deferred Draw Term Loan 12.00% Cash,</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Pr>
          <w:p>
            <w:pPr>
              <w:ind w:left="100"/>
              <w:spacing w:after="0"/>
              <w:rPr>
                <w:sz w:val="20"/>
                <w:szCs w:val="20"/>
                <w:color w:val="auto"/>
              </w:rPr>
            </w:pPr>
            <w:r>
              <w:rPr>
                <w:rFonts w:ascii="Arial" w:cs="Arial" w:eastAsia="Arial" w:hAnsi="Arial"/>
                <w:sz w:val="14"/>
                <w:szCs w:val="14"/>
                <w:color w:val="auto"/>
              </w:rPr>
              <w:t>5/16/2020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1,600,000</w:t>
            </w:r>
          </w:p>
        </w:tc>
        <w:tc>
          <w:tcPr>
            <w:tcW w:w="700" w:type="dxa"/>
            <w:vAlign w:val="bottom"/>
          </w:tcPr>
          <w:p>
            <w:pPr>
              <w:jc w:val="right"/>
              <w:spacing w:after="0"/>
              <w:rPr>
                <w:sz w:val="20"/>
                <w:szCs w:val="20"/>
                <w:color w:val="auto"/>
              </w:rPr>
            </w:pPr>
            <w:r>
              <w:rPr>
                <w:rFonts w:ascii="Arial" w:cs="Arial" w:eastAsia="Arial" w:hAnsi="Arial"/>
                <w:sz w:val="14"/>
                <w:szCs w:val="14"/>
                <w:color w:val="auto"/>
              </w:rPr>
              <w:t>1,569,588</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1,620,000</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HMN Holdco, LLC (g)</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Media</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Class A Series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4,264</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61,647</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247,525</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HMN Holdco, LLC (g)</w:t>
            </w:r>
          </w:p>
        </w:tc>
        <w:tc>
          <w:tcPr>
            <w:tcW w:w="2040" w:type="dxa"/>
            <w:vAlign w:val="bottom"/>
          </w:tcPr>
          <w:p>
            <w:pPr>
              <w:ind w:left="680"/>
              <w:spacing w:after="0" w:line="149" w:lineRule="exact"/>
              <w:rPr>
                <w:sz w:val="20"/>
                <w:szCs w:val="20"/>
                <w:color w:val="auto"/>
              </w:rPr>
            </w:pPr>
            <w:r>
              <w:rPr>
                <w:rFonts w:ascii="Arial" w:cs="Arial" w:eastAsia="Arial" w:hAnsi="Arial"/>
                <w:sz w:val="14"/>
                <w:szCs w:val="14"/>
                <w:color w:val="auto"/>
              </w:rPr>
              <w:t>Media</w:t>
            </w:r>
          </w:p>
        </w:tc>
        <w:tc>
          <w:tcPr>
            <w:tcW w:w="2840" w:type="dxa"/>
            <w:vAlign w:val="bottom"/>
          </w:tcPr>
          <w:p>
            <w:pPr>
              <w:ind w:left="100"/>
              <w:spacing w:after="0" w:line="149" w:lineRule="exact"/>
              <w:rPr>
                <w:sz w:val="20"/>
                <w:szCs w:val="20"/>
                <w:color w:val="auto"/>
              </w:rPr>
            </w:pPr>
            <w:r>
              <w:rPr>
                <w:rFonts w:ascii="Arial" w:cs="Arial" w:eastAsia="Arial" w:hAnsi="Arial"/>
                <w:sz w:val="14"/>
                <w:szCs w:val="14"/>
                <w:color w:val="auto"/>
              </w:rPr>
              <w:t>Class A Warrant</w:t>
            </w:r>
          </w:p>
        </w:tc>
        <w:tc>
          <w:tcPr>
            <w:tcW w:w="12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30,320</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438,353</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1,415,034</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204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Media</w:t>
            </w:r>
          </w:p>
        </w:tc>
        <w:tc>
          <w:tcPr>
            <w:tcW w:w="284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Warrants to Purchase Limited Liability</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Company Interests (Common)</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57,872</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2,404,582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2040" w:type="dxa"/>
            <w:vAlign w:val="bottom"/>
          </w:tcPr>
          <w:p>
            <w:pPr>
              <w:ind w:left="680"/>
              <w:spacing w:after="0" w:line="130" w:lineRule="exact"/>
              <w:rPr>
                <w:sz w:val="20"/>
                <w:szCs w:val="20"/>
                <w:color w:val="auto"/>
              </w:rPr>
            </w:pPr>
            <w:r>
              <w:rPr>
                <w:rFonts w:ascii="Arial" w:cs="Arial" w:eastAsia="Arial" w:hAnsi="Arial"/>
                <w:sz w:val="14"/>
                <w:szCs w:val="14"/>
                <w:color w:val="auto"/>
              </w:rPr>
              <w:t>Media</w:t>
            </w:r>
          </w:p>
        </w:tc>
        <w:tc>
          <w:tcPr>
            <w:tcW w:w="2840" w:type="dxa"/>
            <w:vAlign w:val="bottom"/>
          </w:tcPr>
          <w:p>
            <w:pPr>
              <w:ind w:left="100"/>
              <w:spacing w:after="0" w:line="130" w:lineRule="exact"/>
              <w:rPr>
                <w:sz w:val="20"/>
                <w:szCs w:val="20"/>
                <w:color w:val="auto"/>
              </w:rPr>
            </w:pPr>
            <w:r>
              <w:rPr>
                <w:rFonts w:ascii="Arial" w:cs="Arial" w:eastAsia="Arial" w:hAnsi="Arial"/>
                <w:sz w:val="14"/>
                <w:szCs w:val="14"/>
                <w:color w:val="auto"/>
              </w:rPr>
              <w:t>Warrants to Purchase Limited Liability</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Pr>
          <w:p>
            <w:pPr>
              <w:ind w:left="100"/>
              <w:spacing w:after="0"/>
              <w:rPr>
                <w:sz w:val="20"/>
                <w:szCs w:val="20"/>
                <w:color w:val="auto"/>
              </w:rPr>
            </w:pPr>
            <w:r>
              <w:rPr>
                <w:rFonts w:ascii="Arial" w:cs="Arial" w:eastAsia="Arial" w:hAnsi="Arial"/>
                <w:sz w:val="14"/>
                <w:szCs w:val="14"/>
                <w:color w:val="auto"/>
              </w:rPr>
              <w:t>Company Interests</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8,139</w:t>
            </w: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395,637</w:t>
            </w:r>
          </w:p>
        </w:tc>
        <w:tc>
          <w:tcPr>
            <w:tcW w:w="1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Media</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11,211,351</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15,493,568</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color w:val="auto"/>
              </w:rPr>
              <w:t>Elyria Foundry Company, L.L.C. (d), (g)</w:t>
            </w:r>
          </w:p>
        </w:tc>
        <w:tc>
          <w:tcPr>
            <w:tcW w:w="2040" w:type="dxa"/>
            <w:vAlign w:val="bottom"/>
            <w:vMerge w:val="restart"/>
          </w:tcPr>
          <w:p>
            <w:pPr>
              <w:ind w:left="680"/>
              <w:spacing w:after="0"/>
              <w:rPr>
                <w:sz w:val="20"/>
                <w:szCs w:val="20"/>
                <w:color w:val="auto"/>
              </w:rPr>
            </w:pPr>
            <w:r>
              <w:rPr>
                <w:rFonts w:ascii="Arial" w:cs="Arial" w:eastAsia="Arial" w:hAnsi="Arial"/>
                <w:sz w:val="14"/>
                <w:szCs w:val="14"/>
                <w:color w:val="auto"/>
              </w:rPr>
              <w:t>Metals</w:t>
            </w:r>
          </w:p>
        </w:tc>
        <w:tc>
          <w:tcPr>
            <w:tcW w:w="2840" w:type="dxa"/>
            <w:vAlign w:val="bottom"/>
            <w:vMerge w:val="restart"/>
          </w:tcPr>
          <w:p>
            <w:pPr>
              <w:ind w:left="10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line="20" w:lineRule="exact"/>
              <w:rPr>
                <w:sz w:val="1"/>
                <w:szCs w:val="1"/>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35,000</w:t>
            </w: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60" w:type="dxa"/>
            <w:vAlign w:val="bottom"/>
            <w:gridSpan w:val="2"/>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9,217,563</w:t>
            </w: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6,762,000</w:t>
            </w:r>
          </w:p>
        </w:tc>
        <w:tc>
          <w:tcPr>
            <w:tcW w:w="180" w:type="dxa"/>
            <w:vAlign w:val="bottom"/>
            <w:vMerge w:val="continue"/>
          </w:tcPr>
          <w:p>
            <w:pPr>
              <w:spacing w:after="0"/>
              <w:rPr>
                <w:sz w:val="13"/>
                <w:szCs w:val="13"/>
                <w:color w:val="auto"/>
              </w:rPr>
            </w:pPr>
          </w:p>
        </w:tc>
        <w:tc>
          <w:tcPr>
            <w:tcW w:w="4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Elyria Foundry Company, L.L.C. (d)</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Metals</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Revolver 9.50% Cash, 12/31/2020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8,500,000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40" w:type="dxa"/>
            <w:vAlign w:val="bottom"/>
            <w:vMerge w:val="restart"/>
          </w:tcPr>
          <w:p>
            <w:pPr>
              <w:jc w:val="right"/>
              <w:spacing w:after="0"/>
              <w:rPr>
                <w:sz w:val="20"/>
                <w:szCs w:val="20"/>
                <w:color w:val="auto"/>
              </w:rPr>
            </w:pPr>
            <w:r>
              <w:rPr>
                <w:rFonts w:ascii="Arial" w:cs="Arial" w:eastAsia="Arial" w:hAnsi="Arial"/>
                <w:sz w:val="14"/>
                <w:szCs w:val="14"/>
                <w:color w:val="auto"/>
              </w:rPr>
              <w:t>Total Metals</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17,717,563</w:t>
            </w: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15,262,000</w:t>
            </w:r>
          </w:p>
        </w:tc>
        <w:tc>
          <w:tcPr>
            <w:tcW w:w="180" w:type="dxa"/>
            <w:vAlign w:val="bottom"/>
            <w:vMerge w:val="continue"/>
          </w:tcPr>
          <w:p>
            <w:pPr>
              <w:spacing w:after="0"/>
              <w:rPr>
                <w:sz w:val="13"/>
                <w:szCs w:val="13"/>
                <w:color w:val="auto"/>
              </w:rPr>
            </w:pPr>
          </w:p>
        </w:tc>
        <w:tc>
          <w:tcPr>
            <w:tcW w:w="4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Network Communications, Inc. (d), (g)</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Publishing</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380,572</w:t>
            </w:r>
          </w:p>
        </w:tc>
        <w:tc>
          <w:tcPr>
            <w:tcW w:w="70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3,206,314</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Network Communications, Inc. (d)</w:t>
            </w:r>
          </w:p>
        </w:tc>
        <w:tc>
          <w:tcPr>
            <w:tcW w:w="2040" w:type="dxa"/>
            <w:vAlign w:val="bottom"/>
          </w:tcPr>
          <w:p>
            <w:pPr>
              <w:ind w:left="680"/>
              <w:spacing w:after="0" w:line="149" w:lineRule="exact"/>
              <w:rPr>
                <w:sz w:val="20"/>
                <w:szCs w:val="20"/>
                <w:color w:val="auto"/>
              </w:rPr>
            </w:pPr>
            <w:r>
              <w:rPr>
                <w:rFonts w:ascii="Arial" w:cs="Arial" w:eastAsia="Arial" w:hAnsi="Arial"/>
                <w:sz w:val="14"/>
                <w:szCs w:val="14"/>
                <w:color w:val="auto"/>
              </w:rPr>
              <w:t>Publishing</w:t>
            </w:r>
          </w:p>
        </w:tc>
        <w:tc>
          <w:tcPr>
            <w:tcW w:w="2840" w:type="dxa"/>
            <w:vAlign w:val="bottom"/>
          </w:tcPr>
          <w:p>
            <w:pPr>
              <w:ind w:left="100"/>
              <w:spacing w:after="0" w:line="149" w:lineRule="exact"/>
              <w:rPr>
                <w:sz w:val="20"/>
                <w:szCs w:val="20"/>
                <w:color w:val="auto"/>
              </w:rPr>
            </w:pPr>
            <w:r>
              <w:rPr>
                <w:rFonts w:ascii="Arial" w:cs="Arial" w:eastAsia="Arial" w:hAnsi="Arial"/>
                <w:sz w:val="14"/>
                <w:szCs w:val="14"/>
                <w:color w:val="auto"/>
              </w:rPr>
              <w:t>Unsecured Notes 8.60% PIK, 1/14/2020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3,214,368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2,867,573</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3,214,368</w:t>
            </w:r>
          </w:p>
        </w:tc>
        <w:tc>
          <w:tcPr>
            <w:tcW w:w="18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Publishing</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2,867,573</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6,420,682</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7"/>
        </w:trPr>
        <w:tc>
          <w:tcPr>
            <w:tcW w:w="3360" w:type="dxa"/>
            <w:vAlign w:val="bottom"/>
            <w:gridSpan w:val="2"/>
          </w:tcPr>
          <w:p>
            <w:pPr>
              <w:spacing w:after="0" w:line="137" w:lineRule="exact"/>
              <w:rPr>
                <w:sz w:val="20"/>
                <w:szCs w:val="20"/>
                <w:color w:val="auto"/>
              </w:rPr>
            </w:pPr>
            <w:r>
              <w:rPr>
                <w:rFonts w:ascii="Arial" w:cs="Arial" w:eastAsia="Arial" w:hAnsi="Arial"/>
                <w:sz w:val="14"/>
                <w:szCs w:val="14"/>
                <w:color w:val="auto"/>
              </w:rPr>
              <w:t>Censis Technologies, Inc.</w:t>
            </w:r>
          </w:p>
        </w:tc>
        <w:tc>
          <w:tcPr>
            <w:tcW w:w="2040" w:type="dxa"/>
            <w:vAlign w:val="bottom"/>
          </w:tcPr>
          <w:p>
            <w:pPr>
              <w:ind w:left="680"/>
              <w:spacing w:after="0" w:line="137" w:lineRule="exact"/>
              <w:rPr>
                <w:sz w:val="20"/>
                <w:szCs w:val="20"/>
                <w:color w:val="auto"/>
              </w:rPr>
            </w:pPr>
            <w:r>
              <w:rPr>
                <w:rFonts w:ascii="Arial" w:cs="Arial" w:eastAsia="Arial" w:hAnsi="Arial"/>
                <w:sz w:val="14"/>
                <w:szCs w:val="14"/>
                <w:color w:val="auto"/>
                <w:w w:val="98"/>
              </w:rPr>
              <w:t>Software as a Service</w:t>
            </w:r>
          </w:p>
        </w:tc>
        <w:tc>
          <w:tcPr>
            <w:tcW w:w="2840" w:type="dxa"/>
            <w:vAlign w:val="bottom"/>
          </w:tcPr>
          <w:p>
            <w:pPr>
              <w:ind w:left="100"/>
              <w:spacing w:after="0" w:line="137" w:lineRule="exact"/>
              <w:rPr>
                <w:sz w:val="20"/>
                <w:szCs w:val="20"/>
                <w:color w:val="auto"/>
              </w:rPr>
            </w:pPr>
            <w:r>
              <w:rPr>
                <w:rFonts w:ascii="Arial" w:cs="Arial" w:eastAsia="Arial" w:hAnsi="Arial"/>
                <w:sz w:val="14"/>
                <w:szCs w:val="14"/>
                <w:color w:val="auto"/>
              </w:rPr>
              <w:t>First Lien Term Loan B 11.00% Cash,</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Pr>
          <w:p>
            <w:pPr>
              <w:ind w:left="100"/>
              <w:spacing w:after="0"/>
              <w:rPr>
                <w:sz w:val="20"/>
                <w:szCs w:val="20"/>
                <w:color w:val="auto"/>
              </w:rPr>
            </w:pPr>
            <w:r>
              <w:rPr>
                <w:rFonts w:ascii="Arial" w:cs="Arial" w:eastAsia="Arial" w:hAnsi="Arial"/>
                <w:sz w:val="14"/>
                <w:szCs w:val="14"/>
                <w:color w:val="auto"/>
              </w:rPr>
              <w:t>7/24/2019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w w:val="91"/>
              </w:rPr>
              <w:t>11,775,000</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11,570,813</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11,775,000</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Censis Technologies, Inc. (g), (h)</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w w:val="98"/>
              </w:rPr>
              <w:t>Software as a Service</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Limited Partner Interests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999</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999,000</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988,011</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Community Investors, Inc. (g)</w:t>
            </w:r>
          </w:p>
        </w:tc>
        <w:tc>
          <w:tcPr>
            <w:tcW w:w="2040" w:type="dxa"/>
            <w:vAlign w:val="bottom"/>
          </w:tcPr>
          <w:p>
            <w:pPr>
              <w:ind w:left="680"/>
              <w:spacing w:after="0" w:line="149" w:lineRule="exact"/>
              <w:rPr>
                <w:sz w:val="20"/>
                <w:szCs w:val="20"/>
                <w:color w:val="auto"/>
              </w:rPr>
            </w:pPr>
            <w:r>
              <w:rPr>
                <w:rFonts w:ascii="Arial" w:cs="Arial" w:eastAsia="Arial" w:hAnsi="Arial"/>
                <w:sz w:val="14"/>
                <w:szCs w:val="14"/>
                <w:color w:val="auto"/>
                <w:w w:val="98"/>
              </w:rPr>
              <w:t>Software as a Service</w:t>
            </w:r>
          </w:p>
        </w:tc>
        <w:tc>
          <w:tcPr>
            <w:tcW w:w="2840" w:type="dxa"/>
            <w:vAlign w:val="bottom"/>
          </w:tcPr>
          <w:p>
            <w:pPr>
              <w:ind w:left="10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1,282</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1,282</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2,546</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Community Investors, Inc.</w:t>
            </w:r>
          </w:p>
        </w:tc>
        <w:tc>
          <w:tcPr>
            <w:tcW w:w="204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w w:val="98"/>
              </w:rPr>
              <w:t>Software as a Service</w:t>
            </w:r>
          </w:p>
        </w:tc>
        <w:tc>
          <w:tcPr>
            <w:tcW w:w="284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6"/>
              </w:rPr>
              <w:t>First Lien, Last Out Term Loan 11.73% Cash,</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9/30/2019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1"/>
              </w:rPr>
              <w:t>12,000,000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12,000,000</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6"/>
              </w:rPr>
              <w:t>12,000,000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tcPr>
          <w:p>
            <w:pPr>
              <w:spacing w:after="0" w:line="130" w:lineRule="exact"/>
              <w:rPr>
                <w:sz w:val="20"/>
                <w:szCs w:val="20"/>
                <w:color w:val="auto"/>
              </w:rPr>
            </w:pPr>
            <w:r>
              <w:rPr>
                <w:rFonts w:ascii="Arial" w:cs="Arial" w:eastAsia="Arial" w:hAnsi="Arial"/>
                <w:sz w:val="14"/>
                <w:szCs w:val="14"/>
                <w:color w:val="auto"/>
              </w:rPr>
              <w:t>Community Investors, Inc.</w:t>
            </w:r>
          </w:p>
        </w:tc>
        <w:tc>
          <w:tcPr>
            <w:tcW w:w="2040" w:type="dxa"/>
            <w:vAlign w:val="bottom"/>
          </w:tcPr>
          <w:p>
            <w:pPr>
              <w:ind w:left="680"/>
              <w:spacing w:after="0" w:line="130" w:lineRule="exact"/>
              <w:rPr>
                <w:sz w:val="20"/>
                <w:szCs w:val="20"/>
                <w:color w:val="auto"/>
              </w:rPr>
            </w:pPr>
            <w:r>
              <w:rPr>
                <w:rFonts w:ascii="Arial" w:cs="Arial" w:eastAsia="Arial" w:hAnsi="Arial"/>
                <w:sz w:val="14"/>
                <w:szCs w:val="14"/>
                <w:color w:val="auto"/>
                <w:w w:val="98"/>
              </w:rPr>
              <w:t>Software as a Service</w:t>
            </w:r>
          </w:p>
        </w:tc>
        <w:tc>
          <w:tcPr>
            <w:tcW w:w="2840" w:type="dxa"/>
            <w:vAlign w:val="bottom"/>
          </w:tcPr>
          <w:p>
            <w:pPr>
              <w:ind w:left="100"/>
              <w:spacing w:after="0" w:line="130" w:lineRule="exact"/>
              <w:rPr>
                <w:sz w:val="20"/>
                <w:szCs w:val="20"/>
                <w:color w:val="auto"/>
              </w:rPr>
            </w:pPr>
            <w:r>
              <w:rPr>
                <w:rFonts w:ascii="Arial" w:cs="Arial" w:eastAsia="Arial" w:hAnsi="Arial"/>
                <w:sz w:val="14"/>
                <w:szCs w:val="14"/>
                <w:color w:val="auto"/>
              </w:rPr>
              <w:t>First Lien Term Loan B 12.20% Cash,</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Pr>
          <w:p>
            <w:pPr>
              <w:ind w:left="100"/>
              <w:spacing w:after="0"/>
              <w:rPr>
                <w:sz w:val="20"/>
                <w:szCs w:val="20"/>
                <w:color w:val="auto"/>
              </w:rPr>
            </w:pPr>
            <w:r>
              <w:rPr>
                <w:rFonts w:ascii="Arial" w:cs="Arial" w:eastAsia="Arial" w:hAnsi="Arial"/>
                <w:sz w:val="14"/>
                <w:szCs w:val="14"/>
                <w:color w:val="auto"/>
              </w:rPr>
              <w:t>12/31/2020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2,500,000</w:t>
            </w:r>
          </w:p>
        </w:tc>
        <w:tc>
          <w:tcPr>
            <w:tcW w:w="700" w:type="dxa"/>
            <w:vAlign w:val="bottom"/>
          </w:tcPr>
          <w:p>
            <w:pPr>
              <w:jc w:val="right"/>
              <w:spacing w:after="0"/>
              <w:rPr>
                <w:sz w:val="20"/>
                <w:szCs w:val="20"/>
                <w:color w:val="auto"/>
              </w:rPr>
            </w:pPr>
            <w:r>
              <w:rPr>
                <w:rFonts w:ascii="Arial" w:cs="Arial" w:eastAsia="Arial" w:hAnsi="Arial"/>
                <w:sz w:val="14"/>
                <w:szCs w:val="14"/>
                <w:color w:val="auto"/>
              </w:rPr>
              <w:t>2,500,000</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2,500,000</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 (g)</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w w:val="98"/>
              </w:rPr>
              <w:t>Software as a Service</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63,463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149,138</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126,056</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Community Investors, Inc. (g)</w:t>
            </w:r>
          </w:p>
        </w:tc>
        <w:tc>
          <w:tcPr>
            <w:tcW w:w="2040" w:type="dxa"/>
            <w:vAlign w:val="bottom"/>
          </w:tcPr>
          <w:p>
            <w:pPr>
              <w:ind w:left="680"/>
              <w:spacing w:after="0" w:line="149" w:lineRule="exact"/>
              <w:rPr>
                <w:sz w:val="20"/>
                <w:szCs w:val="20"/>
                <w:color w:val="auto"/>
              </w:rPr>
            </w:pPr>
            <w:r>
              <w:rPr>
                <w:rFonts w:ascii="Arial" w:cs="Arial" w:eastAsia="Arial" w:hAnsi="Arial"/>
                <w:sz w:val="14"/>
                <w:szCs w:val="14"/>
                <w:color w:val="auto"/>
                <w:w w:val="98"/>
              </w:rPr>
              <w:t>Software as a Service</w:t>
            </w:r>
          </w:p>
        </w:tc>
        <w:tc>
          <w:tcPr>
            <w:tcW w:w="2840" w:type="dxa"/>
            <w:vAlign w:val="bottom"/>
          </w:tcPr>
          <w:p>
            <w:pPr>
              <w:ind w:left="100"/>
              <w:spacing w:after="0" w:line="149" w:lineRule="exact"/>
              <w:rPr>
                <w:sz w:val="20"/>
                <w:szCs w:val="20"/>
                <w:color w:val="auto"/>
              </w:rPr>
            </w:pPr>
            <w:r>
              <w:rPr>
                <w:rFonts w:ascii="Arial" w:cs="Arial" w:eastAsia="Arial" w:hAnsi="Arial"/>
                <w:sz w:val="14"/>
                <w:szCs w:val="14"/>
                <w:color w:val="auto"/>
              </w:rPr>
              <w:t>Preferred Stock - A Shares</w:t>
            </w:r>
          </w:p>
        </w:tc>
        <w:tc>
          <w:tcPr>
            <w:tcW w:w="12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135,584</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135,584</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269,309</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w w:val="98"/>
              </w:rPr>
              <w:t>Software as a Service</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Unsecured Note 10.00% PIK, 3/20/2020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100,853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100,853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100,853</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tcPr>
          <w:p>
            <w:pPr>
              <w:spacing w:after="0" w:line="130" w:lineRule="exact"/>
              <w:rPr>
                <w:sz w:val="20"/>
                <w:szCs w:val="20"/>
                <w:color w:val="auto"/>
              </w:rPr>
            </w:pPr>
            <w:r>
              <w:rPr>
                <w:rFonts w:ascii="Arial" w:cs="Arial" w:eastAsia="Arial" w:hAnsi="Arial"/>
                <w:sz w:val="14"/>
                <w:szCs w:val="14"/>
                <w:color w:val="auto"/>
              </w:rPr>
              <w:t>Finalsite Holdings, Inc.</w:t>
            </w:r>
          </w:p>
        </w:tc>
        <w:tc>
          <w:tcPr>
            <w:tcW w:w="2040" w:type="dxa"/>
            <w:vAlign w:val="bottom"/>
          </w:tcPr>
          <w:p>
            <w:pPr>
              <w:ind w:left="680"/>
              <w:spacing w:after="0" w:line="130" w:lineRule="exact"/>
              <w:rPr>
                <w:sz w:val="20"/>
                <w:szCs w:val="20"/>
                <w:color w:val="auto"/>
              </w:rPr>
            </w:pPr>
            <w:r>
              <w:rPr>
                <w:rFonts w:ascii="Arial" w:cs="Arial" w:eastAsia="Arial" w:hAnsi="Arial"/>
                <w:sz w:val="14"/>
                <w:szCs w:val="14"/>
                <w:color w:val="auto"/>
                <w:w w:val="98"/>
              </w:rPr>
              <w:t>Software as a Service</w:t>
            </w:r>
          </w:p>
        </w:tc>
        <w:tc>
          <w:tcPr>
            <w:tcW w:w="2840" w:type="dxa"/>
            <w:vAlign w:val="bottom"/>
          </w:tcPr>
          <w:p>
            <w:pPr>
              <w:ind w:left="100"/>
              <w:spacing w:after="0" w:line="130" w:lineRule="exact"/>
              <w:rPr>
                <w:sz w:val="20"/>
                <w:szCs w:val="20"/>
                <w:color w:val="auto"/>
              </w:rPr>
            </w:pPr>
            <w:r>
              <w:rPr>
                <w:rFonts w:ascii="Arial" w:cs="Arial" w:eastAsia="Arial" w:hAnsi="Arial"/>
                <w:sz w:val="14"/>
                <w:szCs w:val="14"/>
                <w:color w:val="auto"/>
              </w:rPr>
              <w:t>Second Lien Term Loan 10.25% Cash,</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Pr>
          <w:p>
            <w:pPr>
              <w:ind w:left="100"/>
              <w:spacing w:after="0"/>
              <w:rPr>
                <w:sz w:val="20"/>
                <w:szCs w:val="20"/>
                <w:color w:val="auto"/>
              </w:rPr>
            </w:pPr>
            <w:r>
              <w:rPr>
                <w:rFonts w:ascii="Arial" w:cs="Arial" w:eastAsia="Arial" w:hAnsi="Arial"/>
                <w:sz w:val="14"/>
                <w:szCs w:val="14"/>
                <w:color w:val="auto"/>
              </w:rPr>
              <w:t>11/21/2019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7,500,000</w:t>
            </w:r>
          </w:p>
        </w:tc>
        <w:tc>
          <w:tcPr>
            <w:tcW w:w="700" w:type="dxa"/>
            <w:vAlign w:val="bottom"/>
          </w:tcPr>
          <w:p>
            <w:pPr>
              <w:jc w:val="right"/>
              <w:spacing w:after="0"/>
              <w:rPr>
                <w:sz w:val="20"/>
                <w:szCs w:val="20"/>
                <w:color w:val="auto"/>
              </w:rPr>
            </w:pPr>
            <w:r>
              <w:rPr>
                <w:rFonts w:ascii="Arial" w:cs="Arial" w:eastAsia="Arial" w:hAnsi="Arial"/>
                <w:sz w:val="14"/>
                <w:szCs w:val="14"/>
                <w:color w:val="auto"/>
              </w:rPr>
              <w:t>7,435,282</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7,500,000</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w w:val="98"/>
              </w:rPr>
              <w:t>Software as a Service</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 Class A Units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232,616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232,616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227,964</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tcPr>
          <w:p>
            <w:pPr>
              <w:spacing w:after="0" w:line="130" w:lineRule="exact"/>
              <w:rPr>
                <w:sz w:val="20"/>
                <w:szCs w:val="20"/>
                <w:color w:val="auto"/>
              </w:rPr>
            </w:pPr>
            <w:r>
              <w:rPr>
                <w:rFonts w:ascii="Arial" w:cs="Arial" w:eastAsia="Arial" w:hAnsi="Arial"/>
                <w:sz w:val="14"/>
                <w:szCs w:val="14"/>
                <w:color w:val="auto"/>
              </w:rPr>
              <w:t>Identity Automation Systems</w:t>
            </w:r>
          </w:p>
        </w:tc>
        <w:tc>
          <w:tcPr>
            <w:tcW w:w="2040" w:type="dxa"/>
            <w:vAlign w:val="bottom"/>
          </w:tcPr>
          <w:p>
            <w:pPr>
              <w:ind w:left="680"/>
              <w:spacing w:after="0" w:line="130" w:lineRule="exact"/>
              <w:rPr>
                <w:sz w:val="20"/>
                <w:szCs w:val="20"/>
                <w:color w:val="auto"/>
              </w:rPr>
            </w:pPr>
            <w:r>
              <w:rPr>
                <w:rFonts w:ascii="Arial" w:cs="Arial" w:eastAsia="Arial" w:hAnsi="Arial"/>
                <w:sz w:val="14"/>
                <w:szCs w:val="14"/>
                <w:color w:val="auto"/>
                <w:w w:val="98"/>
              </w:rPr>
              <w:t>Software as a Service</w:t>
            </w:r>
          </w:p>
        </w:tc>
        <w:tc>
          <w:tcPr>
            <w:tcW w:w="2840" w:type="dxa"/>
            <w:vAlign w:val="bottom"/>
          </w:tcPr>
          <w:p>
            <w:pPr>
              <w:ind w:left="100"/>
              <w:spacing w:after="0" w:line="130" w:lineRule="exact"/>
              <w:rPr>
                <w:sz w:val="20"/>
                <w:szCs w:val="20"/>
                <w:color w:val="auto"/>
              </w:rPr>
            </w:pPr>
            <w:r>
              <w:rPr>
                <w:rFonts w:ascii="Arial" w:cs="Arial" w:eastAsia="Arial" w:hAnsi="Arial"/>
                <w:sz w:val="14"/>
                <w:szCs w:val="14"/>
                <w:color w:val="auto"/>
              </w:rPr>
              <w:t>First Lien Term Loan 10.25% Cash,</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Pr>
          <w:p>
            <w:pPr>
              <w:ind w:left="100"/>
              <w:spacing w:after="0"/>
              <w:rPr>
                <w:sz w:val="20"/>
                <w:szCs w:val="20"/>
                <w:color w:val="auto"/>
              </w:rPr>
            </w:pPr>
            <w:r>
              <w:rPr>
                <w:rFonts w:ascii="Arial" w:cs="Arial" w:eastAsia="Arial" w:hAnsi="Arial"/>
                <w:sz w:val="14"/>
                <w:szCs w:val="14"/>
                <w:color w:val="auto"/>
              </w:rPr>
              <w:t>8/25/2019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4,450,000</w:t>
            </w:r>
          </w:p>
        </w:tc>
        <w:tc>
          <w:tcPr>
            <w:tcW w:w="700" w:type="dxa"/>
            <w:vAlign w:val="bottom"/>
          </w:tcPr>
          <w:p>
            <w:pPr>
              <w:jc w:val="right"/>
              <w:spacing w:after="0"/>
              <w:rPr>
                <w:sz w:val="20"/>
                <w:szCs w:val="20"/>
                <w:color w:val="auto"/>
              </w:rPr>
            </w:pPr>
            <w:r>
              <w:rPr>
                <w:rFonts w:ascii="Arial" w:cs="Arial" w:eastAsia="Arial" w:hAnsi="Arial"/>
                <w:sz w:val="14"/>
                <w:szCs w:val="14"/>
                <w:color w:val="auto"/>
              </w:rPr>
              <w:t>4,410,898</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4,450,000</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Mercury Network, LLC</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w w:val="98"/>
              </w:rPr>
              <w:t>Software as a Service</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First Lien Term Loan</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40" w:type="dxa"/>
            <w:vAlign w:val="bottom"/>
          </w:tcPr>
          <w:p>
            <w:pPr>
              <w:ind w:left="100"/>
              <w:spacing w:after="0" w:line="149" w:lineRule="exact"/>
              <w:rPr>
                <w:sz w:val="20"/>
                <w:szCs w:val="20"/>
                <w:color w:val="auto"/>
              </w:rPr>
            </w:pPr>
            <w:r>
              <w:rPr>
                <w:rFonts w:ascii="Arial" w:cs="Arial" w:eastAsia="Arial" w:hAnsi="Arial"/>
                <w:sz w:val="14"/>
                <w:szCs w:val="14"/>
                <w:color w:val="auto"/>
              </w:rPr>
              <w:t>10.25% Cash, 4/20/2020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9,086,957</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8,998,663</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9,086,957</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Mercury Network, LLC (g)</w:t>
            </w:r>
          </w:p>
        </w:tc>
        <w:tc>
          <w:tcPr>
            <w:tcW w:w="20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w w:val="98"/>
              </w:rPr>
              <w:t>Software as a Service</w:t>
            </w:r>
          </w:p>
        </w:tc>
        <w:tc>
          <w:tcPr>
            <w:tcW w:w="2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413,043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413,043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413,043</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tcPr>
          <w:p>
            <w:pPr>
              <w:spacing w:after="0" w:line="130" w:lineRule="exact"/>
              <w:rPr>
                <w:sz w:val="20"/>
                <w:szCs w:val="20"/>
                <w:color w:val="auto"/>
              </w:rPr>
            </w:pPr>
            <w:r>
              <w:rPr>
                <w:rFonts w:ascii="Arial" w:cs="Arial" w:eastAsia="Arial" w:hAnsi="Arial"/>
                <w:sz w:val="14"/>
                <w:szCs w:val="14"/>
                <w:color w:val="auto"/>
              </w:rPr>
              <w:t>Pen-Link, Ltd. (d)</w:t>
            </w:r>
          </w:p>
        </w:tc>
        <w:tc>
          <w:tcPr>
            <w:tcW w:w="2040" w:type="dxa"/>
            <w:vAlign w:val="bottom"/>
          </w:tcPr>
          <w:p>
            <w:pPr>
              <w:ind w:left="680"/>
              <w:spacing w:after="0" w:line="130" w:lineRule="exact"/>
              <w:rPr>
                <w:sz w:val="20"/>
                <w:szCs w:val="20"/>
                <w:color w:val="auto"/>
              </w:rPr>
            </w:pPr>
            <w:r>
              <w:rPr>
                <w:rFonts w:ascii="Arial" w:cs="Arial" w:eastAsia="Arial" w:hAnsi="Arial"/>
                <w:sz w:val="14"/>
                <w:szCs w:val="14"/>
                <w:color w:val="auto"/>
                <w:w w:val="98"/>
              </w:rPr>
              <w:t>Software as a Service</w:t>
            </w:r>
          </w:p>
        </w:tc>
        <w:tc>
          <w:tcPr>
            <w:tcW w:w="2840" w:type="dxa"/>
            <w:vAlign w:val="bottom"/>
          </w:tcPr>
          <w:p>
            <w:pPr>
              <w:ind w:left="100"/>
              <w:spacing w:after="0" w:line="130" w:lineRule="exact"/>
              <w:rPr>
                <w:sz w:val="20"/>
                <w:szCs w:val="20"/>
                <w:color w:val="auto"/>
              </w:rPr>
            </w:pPr>
            <w:r>
              <w:rPr>
                <w:rFonts w:ascii="Arial" w:cs="Arial" w:eastAsia="Arial" w:hAnsi="Arial"/>
                <w:sz w:val="14"/>
                <w:szCs w:val="14"/>
                <w:color w:val="auto"/>
              </w:rPr>
              <w:t>Second Lien Term Loan 12.50% Cash,</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Pr>
          <w:p>
            <w:pPr>
              <w:ind w:left="100"/>
              <w:spacing w:after="0"/>
              <w:rPr>
                <w:sz w:val="20"/>
                <w:szCs w:val="20"/>
                <w:color w:val="auto"/>
              </w:rPr>
            </w:pPr>
            <w:r>
              <w:rPr>
                <w:rFonts w:ascii="Arial" w:cs="Arial" w:eastAsia="Arial" w:hAnsi="Arial"/>
                <w:sz w:val="14"/>
                <w:szCs w:val="14"/>
                <w:color w:val="auto"/>
              </w:rPr>
              <w:t>5/26/2019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w w:val="91"/>
              </w:rPr>
              <w:t>10,500,000</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10,334,109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10,500,000</w:t>
            </w:r>
          </w:p>
        </w:tc>
        <w:tc>
          <w:tcPr>
            <w:tcW w:w="1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Software as a Service</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59,281,281</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59,939,739</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Advanced Air &amp; Heat of Florida, LLC</w:t>
            </w:r>
          </w:p>
        </w:tc>
        <w:tc>
          <w:tcPr>
            <w:tcW w:w="11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Utilities</w:t>
            </w:r>
          </w:p>
        </w:tc>
        <w:tc>
          <w:tcPr>
            <w:tcW w:w="2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First Lien Term Loan 10.00% Cash,</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1/31/2019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5,955,441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5,885,574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5,955,441</w:t>
            </w: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20" w:type="dxa"/>
            <w:vAlign w:val="bottom"/>
          </w:tcPr>
          <w:p>
            <w:pPr>
              <w:ind w:left="1960"/>
              <w:spacing w:after="0"/>
              <w:rPr>
                <w:sz w:val="20"/>
                <w:szCs w:val="20"/>
                <w:color w:val="auto"/>
              </w:rPr>
            </w:pPr>
            <w:r>
              <w:rPr>
                <w:rFonts w:ascii="Arial" w:cs="Arial" w:eastAsia="Arial" w:hAnsi="Arial"/>
                <w:sz w:val="14"/>
                <w:szCs w:val="14"/>
                <w:color w:val="auto"/>
              </w:rPr>
              <w:t>Total Utilities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5,885,574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5,955,441</w:t>
            </w:r>
          </w:p>
        </w:tc>
        <w:tc>
          <w:tcPr>
            <w:tcW w:w="1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Non-control/Non-affiliated investments</w:t>
            </w:r>
          </w:p>
        </w:tc>
        <w:tc>
          <w:tcPr>
            <w:tcW w:w="114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239,950,830</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245,883,731</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199.1%</w:t>
            </w: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Control investments - 13.7% (b)</w:t>
            </w:r>
          </w:p>
        </w:tc>
        <w:tc>
          <w:tcPr>
            <w:tcW w:w="11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Saratoga Investment Corp. CLO 2013-1, Ltd. (a), (d), (e), (f)</w:t>
            </w:r>
          </w:p>
        </w:tc>
        <w:tc>
          <w:tcPr>
            <w:tcW w:w="11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Structured</w:t>
            </w:r>
          </w:p>
        </w:tc>
        <w:tc>
          <w:tcPr>
            <w:tcW w:w="28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Other/Structured Finance Securities 16.21%,</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1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Finance</w:t>
            </w:r>
          </w:p>
        </w:tc>
        <w:tc>
          <w:tcPr>
            <w:tcW w:w="28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10/17/2023</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20" w:type="dxa"/>
            <w:vAlign w:val="bottom"/>
            <w:shd w:val="clear" w:color="auto" w:fill="CCEEFF"/>
          </w:tcPr>
          <w:p>
            <w:pPr>
              <w:spacing w:after="0"/>
              <w:rPr>
                <w:sz w:val="14"/>
                <w:szCs w:val="14"/>
                <w:color w:val="auto"/>
              </w:rPr>
            </w:pPr>
          </w:p>
        </w:tc>
        <w:tc>
          <w:tcPr>
            <w:tcW w:w="11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Securities</w:t>
            </w: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1"/>
              </w:rPr>
              <w:t>30,000,000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15,172,837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16,860,256</w:t>
            </w: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 Total Control investments</w:t>
            </w: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15,172,837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16,860,256</w:t>
            </w:r>
          </w:p>
        </w:tc>
        <w:tc>
          <w:tcPr>
            <w:tcW w:w="1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- 212.8% (b)</w:t>
            </w:r>
          </w:p>
        </w:tc>
        <w:tc>
          <w:tcPr>
            <w:tcW w:w="114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 xml:space="preserve"> 255,123,667</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 xml:space="preserve"> 262,743,987</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212.8%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right="26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 non-qualifying investment as defined under Section 55 (a) of the Investment Company Act of 1940, as amended. Non-qualifying assets represent 6.8% of the Company’s portfolio at fair value. As a BDC, the Company can only invest 30% of its portfolio in non-qualifying assets.</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$123,491,324 as of May 31, 2015.</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40" w:hanging="452"/>
        <w:spacing w:after="0" w:line="28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16.21% interest rate in the table above represents the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Redemptions</w:t>
            </w:r>
          </w:p>
        </w:tc>
        <w:tc>
          <w:tcPr>
            <w:tcW w:w="36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7"/>
              </w:rPr>
              <w:t>Sales</w:t>
            </w: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3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Management</w:t>
            </w:r>
          </w:p>
        </w:tc>
        <w:tc>
          <w:tcPr>
            <w:tcW w:w="1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Net Realized</w:t>
            </w:r>
          </w:p>
        </w:tc>
        <w:tc>
          <w:tcPr>
            <w:tcW w:w="3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410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3"/>
              </w:rPr>
              <w:t>(cost)</w:t>
            </w: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3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fee income</w:t>
            </w:r>
          </w:p>
        </w:tc>
        <w:tc>
          <w:tcPr>
            <w:tcW w:w="1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3"/>
              </w:rPr>
              <w:t>gains/(losses)</w:t>
            </w:r>
          </w:p>
        </w:tc>
        <w:tc>
          <w:tcPr>
            <w:tcW w:w="3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gains</w:t>
            </w:r>
          </w:p>
        </w:tc>
        <w:tc>
          <w:tcPr>
            <w:tcW w:w="0" w:type="dxa"/>
            <w:vAlign w:val="bottom"/>
          </w:tcPr>
          <w:p>
            <w:pPr>
              <w:spacing w:after="0"/>
              <w:rPr>
                <w:sz w:val="1"/>
                <w:szCs w:val="1"/>
                <w:color w:val="auto"/>
              </w:rPr>
            </w:pPr>
          </w:p>
        </w:tc>
      </w:tr>
      <w:tr>
        <w:trPr>
          <w:trHeight w:val="182"/>
        </w:trPr>
        <w:tc>
          <w:tcPr>
            <w:tcW w:w="6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Saratoga</w:t>
            </w:r>
          </w:p>
        </w:tc>
        <w:tc>
          <w:tcPr>
            <w:tcW w:w="3500" w:type="dxa"/>
            <w:vAlign w:val="bottom"/>
            <w:tcBorders>
              <w:top w:val="single" w:sz="8" w:color="CCEEFF"/>
            </w:tcBorders>
            <w:shd w:val="clear" w:color="auto" w:fill="CCEEFF"/>
          </w:tcPr>
          <w:p>
            <w:pPr>
              <w:ind w:left="80"/>
              <w:spacing w:after="0" w:line="182" w:lineRule="exact"/>
              <w:rPr>
                <w:sz w:val="20"/>
                <w:szCs w:val="20"/>
                <w:color w:val="auto"/>
              </w:rPr>
            </w:pPr>
            <w:r>
              <w:rPr>
                <w:rFonts w:ascii="Arial" w:cs="Arial" w:eastAsia="Arial" w:hAnsi="Arial"/>
                <w:sz w:val="18"/>
                <w:szCs w:val="18"/>
                <w:color w:val="auto"/>
              </w:rPr>
              <w:t>Investment Corp. CLO</w:t>
            </w:r>
          </w:p>
        </w:tc>
        <w:tc>
          <w:tcPr>
            <w:tcW w:w="2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2013-1, Ltd.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590,990</w:t>
            </w:r>
          </w:p>
        </w:tc>
        <w:tc>
          <w:tcPr>
            <w:tcW w:w="136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96"/>
              </w:rPr>
              <w:t>$  378,746</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1"/>
              </w:rPr>
              <w:t>$  1,687,419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Non-income producing at May 31, 2015.</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Non-U.S. company. The principal place of business for Polar Holding Company, Ltd. is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an unfunded commitment as of May 31, 2015 (See note 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an analysis of the fair value of any unfunded loan commitments.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entire commitment was unfunded at May 31, 2015. As such, no interest is being earned on this investment.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was on non-accrual status as of May 31, 2015.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Investment Interest Rate /</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Principal/</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5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(c)</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00" w:type="dxa"/>
            <w:vAlign w:val="bottom"/>
            <w:gridSpan w:val="3"/>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jc w:val="right"/>
              <w:ind w:right="1008"/>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of Shares</w:t>
            </w: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Non-control/Non-affiliated investments - 182.3% (b)</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National Truck Protection Co., Inc. (d), (g)</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Automotive Aftermarket</w:t>
            </w:r>
          </w:p>
        </w:tc>
        <w:tc>
          <w:tcPr>
            <w:tcW w:w="2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1,000,000</w:t>
            </w:r>
          </w:p>
        </w:tc>
        <w:tc>
          <w:tcPr>
            <w:tcW w:w="20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1,769,432</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National Truck Protection Co., Inc. (d)</w:t>
            </w:r>
          </w:p>
        </w:tc>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Automotive Aftermarket</w:t>
            </w:r>
          </w:p>
        </w:tc>
        <w:tc>
          <w:tcPr>
            <w:tcW w:w="272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15.50%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7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9/13/2018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7,737,848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7,737,848</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7,737,848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Take 5 Oil Change, L.L.C. (d), (g)</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Automotive Aftermarket</w:t>
            </w:r>
          </w:p>
        </w:tc>
        <w:tc>
          <w:tcPr>
            <w:tcW w:w="2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7,128</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480,535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1,472,502</w:t>
            </w:r>
          </w:p>
        </w:tc>
        <w:tc>
          <w:tcPr>
            <w:tcW w:w="1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Automotive Aftermarket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9,218,383</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10,979,782</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
        </w:trPr>
        <w:tc>
          <w:tcPr>
            <w:tcW w:w="3500" w:type="dxa"/>
            <w:vAlign w:val="bottom"/>
            <w:gridSpan w:val="3"/>
            <w:vMerge w:val="restart"/>
          </w:tcPr>
          <w:p>
            <w:pPr>
              <w:spacing w:after="0"/>
              <w:rPr>
                <w:sz w:val="20"/>
                <w:szCs w:val="20"/>
                <w:color w:val="auto"/>
              </w:rPr>
            </w:pPr>
            <w:r>
              <w:rPr>
                <w:rFonts w:ascii="Arial" w:cs="Arial" w:eastAsia="Arial" w:hAnsi="Arial"/>
                <w:sz w:val="14"/>
                <w:szCs w:val="14"/>
                <w:color w:val="auto"/>
              </w:rPr>
              <w:t>Legacy Cabinets Holdings (d), (g)</w:t>
            </w:r>
          </w:p>
        </w:tc>
        <w:tc>
          <w:tcPr>
            <w:tcW w:w="1540" w:type="dxa"/>
            <w:vAlign w:val="bottom"/>
            <w:vMerge w:val="restart"/>
          </w:tcPr>
          <w:p>
            <w:pPr>
              <w:spacing w:after="0"/>
              <w:rPr>
                <w:sz w:val="20"/>
                <w:szCs w:val="20"/>
                <w:color w:val="auto"/>
              </w:rPr>
            </w:pPr>
            <w:r>
              <w:rPr>
                <w:rFonts w:ascii="Arial" w:cs="Arial" w:eastAsia="Arial" w:hAnsi="Arial"/>
                <w:sz w:val="14"/>
                <w:szCs w:val="14"/>
                <w:color w:val="auto"/>
              </w:rPr>
              <w:t>Building Products</w:t>
            </w:r>
          </w:p>
        </w:tc>
        <w:tc>
          <w:tcPr>
            <w:tcW w:w="2720" w:type="dxa"/>
            <w:vAlign w:val="bottom"/>
            <w:gridSpan w:val="2"/>
            <w:vMerge w:val="restart"/>
          </w:tcPr>
          <w:p>
            <w:pPr>
              <w:ind w:left="100"/>
              <w:spacing w:after="0"/>
              <w:rPr>
                <w:sz w:val="20"/>
                <w:szCs w:val="20"/>
                <w:color w:val="auto"/>
              </w:rPr>
            </w:pPr>
            <w:r>
              <w:rPr>
                <w:rFonts w:ascii="Arial" w:cs="Arial" w:eastAsia="Arial" w:hAnsi="Arial"/>
                <w:sz w:val="14"/>
                <w:szCs w:val="14"/>
                <w:color w:val="auto"/>
              </w:rPr>
              <w:t>Common Stock Voting A-1</w:t>
            </w: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2,535</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00" w:type="dxa"/>
            <w:vAlign w:val="bottom"/>
            <w:gridSpan w:val="3"/>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220,900</w:t>
            </w:r>
          </w:p>
        </w:tc>
        <w:tc>
          <w:tcPr>
            <w:tcW w:w="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1,493,470</w:t>
            </w:r>
          </w:p>
        </w:tc>
        <w:tc>
          <w:tcPr>
            <w:tcW w:w="1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Products</w:t>
            </w:r>
          </w:p>
        </w:tc>
        <w:tc>
          <w:tcPr>
            <w:tcW w:w="27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 Voting B-1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139,424</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942,624</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tcPr>
          <w:p>
            <w:pPr>
              <w:spacing w:after="0" w:line="130" w:lineRule="exact"/>
              <w:rPr>
                <w:sz w:val="20"/>
                <w:szCs w:val="20"/>
                <w:color w:val="auto"/>
              </w:rPr>
            </w:pPr>
            <w:r>
              <w:rPr>
                <w:rFonts w:ascii="Arial" w:cs="Arial" w:eastAsia="Arial" w:hAnsi="Arial"/>
                <w:sz w:val="14"/>
                <w:szCs w:val="14"/>
                <w:color w:val="auto"/>
              </w:rPr>
              <w:t>Polar Holding Company, Ltd. (a), (i)</w:t>
            </w:r>
          </w:p>
        </w:tc>
        <w:tc>
          <w:tcPr>
            <w:tcW w:w="1540" w:type="dxa"/>
            <w:vAlign w:val="bottom"/>
          </w:tcPr>
          <w:p>
            <w:pPr>
              <w:spacing w:after="0" w:line="130" w:lineRule="exact"/>
              <w:rPr>
                <w:sz w:val="20"/>
                <w:szCs w:val="20"/>
                <w:color w:val="auto"/>
              </w:rPr>
            </w:pPr>
            <w:r>
              <w:rPr>
                <w:rFonts w:ascii="Arial" w:cs="Arial" w:eastAsia="Arial" w:hAnsi="Arial"/>
                <w:sz w:val="14"/>
                <w:szCs w:val="14"/>
                <w:color w:val="auto"/>
              </w:rPr>
              <w:t>Building Products</w:t>
            </w:r>
          </w:p>
        </w:tc>
        <w:tc>
          <w:tcPr>
            <w:tcW w:w="272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20" w:type="dxa"/>
            <w:vAlign w:val="bottom"/>
            <w:gridSpan w:val="2"/>
          </w:tcPr>
          <w:p>
            <w:pPr>
              <w:ind w:left="100"/>
              <w:spacing w:after="0"/>
              <w:rPr>
                <w:sz w:val="20"/>
                <w:szCs w:val="20"/>
                <w:color w:val="auto"/>
              </w:rPr>
            </w:pPr>
            <w:r>
              <w:rPr>
                <w:rFonts w:ascii="Arial" w:cs="Arial" w:eastAsia="Arial" w:hAnsi="Arial"/>
                <w:sz w:val="14"/>
                <w:szCs w:val="14"/>
                <w:color w:val="auto"/>
              </w:rPr>
              <w:t>8/13/2016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1,000,000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1,000,000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1,000,000</w:t>
            </w:r>
          </w:p>
        </w:tc>
        <w:tc>
          <w:tcPr>
            <w:tcW w:w="1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Building Products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1,360,324</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3,436,094</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7"/>
        </w:trPr>
        <w:tc>
          <w:tcPr>
            <w:tcW w:w="3500" w:type="dxa"/>
            <w:vAlign w:val="bottom"/>
            <w:gridSpan w:val="3"/>
          </w:tcPr>
          <w:p>
            <w:pPr>
              <w:spacing w:after="0" w:line="137" w:lineRule="exact"/>
              <w:rPr>
                <w:sz w:val="20"/>
                <w:szCs w:val="20"/>
                <w:color w:val="auto"/>
              </w:rPr>
            </w:pPr>
            <w:r>
              <w:rPr>
                <w:rFonts w:ascii="Arial" w:cs="Arial" w:eastAsia="Arial" w:hAnsi="Arial"/>
                <w:sz w:val="14"/>
                <w:szCs w:val="14"/>
                <w:color w:val="auto"/>
              </w:rPr>
              <w:t>BMC Software, Inc. (d)</w:t>
            </w:r>
          </w:p>
        </w:tc>
        <w:tc>
          <w:tcPr>
            <w:tcW w:w="1540" w:type="dxa"/>
            <w:vAlign w:val="bottom"/>
          </w:tcPr>
          <w:p>
            <w:pPr>
              <w:spacing w:after="0" w:line="137"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ind w:left="100"/>
              <w:spacing w:after="0" w:line="137" w:lineRule="exact"/>
              <w:rPr>
                <w:sz w:val="20"/>
                <w:szCs w:val="20"/>
                <w:color w:val="auto"/>
              </w:rPr>
            </w:pPr>
            <w:r>
              <w:rPr>
                <w:rFonts w:ascii="Arial" w:cs="Arial" w:eastAsia="Arial" w:hAnsi="Arial"/>
                <w:sz w:val="14"/>
                <w:szCs w:val="14"/>
                <w:color w:val="auto"/>
              </w:rPr>
              <w:t>First Lien Term Loan 5.00%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20" w:type="dxa"/>
            <w:vAlign w:val="bottom"/>
            <w:gridSpan w:val="2"/>
          </w:tcPr>
          <w:p>
            <w:pPr>
              <w:ind w:left="100"/>
              <w:spacing w:after="0"/>
              <w:rPr>
                <w:sz w:val="20"/>
                <w:szCs w:val="20"/>
                <w:color w:val="auto"/>
              </w:rPr>
            </w:pPr>
            <w:r>
              <w:rPr>
                <w:rFonts w:ascii="Arial" w:cs="Arial" w:eastAsia="Arial" w:hAnsi="Arial"/>
                <w:sz w:val="14"/>
                <w:szCs w:val="14"/>
                <w:color w:val="auto"/>
              </w:rPr>
              <w:t>9/10/2020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5,731,667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5,686,622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5,478,327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Dispensing Dynamics International (d)</w:t>
            </w:r>
          </w:p>
        </w:tc>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Note 12.50%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7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1/1/2018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7,000,000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6,910,112</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7,350,000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tcPr>
          <w:p>
            <w:pPr>
              <w:spacing w:after="0" w:line="130" w:lineRule="exact"/>
              <w:rPr>
                <w:sz w:val="20"/>
                <w:szCs w:val="20"/>
                <w:color w:val="auto"/>
              </w:rPr>
            </w:pPr>
            <w:r>
              <w:rPr>
                <w:rFonts w:ascii="Arial" w:cs="Arial" w:eastAsia="Arial" w:hAnsi="Arial"/>
                <w:sz w:val="14"/>
                <w:szCs w:val="14"/>
                <w:color w:val="auto"/>
              </w:rPr>
              <w:t>Easy Ice, LLC (d)</w:t>
            </w:r>
          </w:p>
        </w:tc>
        <w:tc>
          <w:tcPr>
            <w:tcW w:w="154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First Lien Term Loan 9.50%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20" w:type="dxa"/>
            <w:vAlign w:val="bottom"/>
            <w:gridSpan w:val="2"/>
          </w:tcPr>
          <w:p>
            <w:pPr>
              <w:ind w:left="100"/>
              <w:spacing w:after="0"/>
              <w:rPr>
                <w:sz w:val="20"/>
                <w:szCs w:val="20"/>
                <w:color w:val="auto"/>
              </w:rPr>
            </w:pPr>
            <w:r>
              <w:rPr>
                <w:rFonts w:ascii="Arial" w:cs="Arial" w:eastAsia="Arial" w:hAnsi="Arial"/>
                <w:sz w:val="14"/>
                <w:szCs w:val="14"/>
                <w:color w:val="auto"/>
              </w:rPr>
              <w:t>1/15/2020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12,000,000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11,872,639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12,000,000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Note 10.00%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7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1/23/2020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8,400,000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8,260,787</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8,400,000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Emily Street Enterprises, L.L.C. (g)</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Warrant Membership Interests</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49,318</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391,584</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Help/Systems Holdings, Inc.(Help/Systems, LLC) (d)</w:t>
            </w:r>
          </w:p>
        </w:tc>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5.50%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7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6/28/2019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1,955,051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1,941,417</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1,925,725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tcPr>
          <w:p>
            <w:pPr>
              <w:spacing w:after="0" w:line="130" w:lineRule="exact"/>
              <w:rPr>
                <w:sz w:val="20"/>
                <w:szCs w:val="20"/>
                <w:color w:val="auto"/>
              </w:rPr>
            </w:pPr>
            <w:r>
              <w:rPr>
                <w:rFonts w:ascii="Arial" w:cs="Arial" w:eastAsia="Arial" w:hAnsi="Arial"/>
                <w:sz w:val="14"/>
                <w:szCs w:val="14"/>
                <w:color w:val="auto"/>
              </w:rPr>
              <w:t>Help/Systems Holdings, Inc.(Help/Systems, LLC) (d)</w:t>
            </w:r>
          </w:p>
        </w:tc>
        <w:tc>
          <w:tcPr>
            <w:tcW w:w="154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Second Lien Term Loan 9.50%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20" w:type="dxa"/>
            <w:vAlign w:val="bottom"/>
            <w:gridSpan w:val="2"/>
          </w:tcPr>
          <w:p>
            <w:pPr>
              <w:ind w:left="100"/>
              <w:spacing w:after="0"/>
              <w:rPr>
                <w:sz w:val="20"/>
                <w:szCs w:val="20"/>
                <w:color w:val="auto"/>
              </w:rPr>
            </w:pPr>
            <w:r>
              <w:rPr>
                <w:rFonts w:ascii="Arial" w:cs="Arial" w:eastAsia="Arial" w:hAnsi="Arial"/>
                <w:sz w:val="14"/>
                <w:szCs w:val="14"/>
                <w:color w:val="auto"/>
              </w:rPr>
              <w:t>6/28/2020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2,000,000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1,975,767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1,965,000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11.00%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7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11/29/2017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5,259,171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5,205,142</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5,259,171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tcPr>
          <w:p>
            <w:pPr>
              <w:spacing w:after="0" w:line="130" w:lineRule="exact"/>
              <w:rPr>
                <w:sz w:val="20"/>
                <w:szCs w:val="20"/>
                <w:color w:val="auto"/>
              </w:rPr>
            </w:pPr>
            <w:r>
              <w:rPr>
                <w:rFonts w:ascii="Arial" w:cs="Arial" w:eastAsia="Arial" w:hAnsi="Arial"/>
                <w:sz w:val="14"/>
                <w:szCs w:val="14"/>
                <w:color w:val="auto"/>
              </w:rPr>
              <w:t>Knowland Technology Holdings, L.L.C. (j), (k), (l)</w:t>
            </w:r>
          </w:p>
        </w:tc>
        <w:tc>
          <w:tcPr>
            <w:tcW w:w="154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Delayed Draw Term Loan 11.00%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20" w:type="dxa"/>
            <w:vAlign w:val="bottom"/>
            <w:gridSpan w:val="2"/>
          </w:tcPr>
          <w:p>
            <w:pPr>
              <w:ind w:left="100"/>
              <w:spacing w:after="0"/>
              <w:rPr>
                <w:sz w:val="20"/>
                <w:szCs w:val="20"/>
                <w:color w:val="auto"/>
              </w:rPr>
            </w:pPr>
            <w:r>
              <w:rPr>
                <w:rFonts w:ascii="Arial" w:cs="Arial" w:eastAsia="Arial" w:hAnsi="Arial"/>
                <w:sz w:val="14"/>
                <w:szCs w:val="14"/>
                <w:color w:val="auto"/>
              </w:rPr>
              <w:t>11/29/2017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14.00% (12.00%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7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Cash/2.00% PIK), 3/6/2018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9,436,991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9,312,095</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9,295,437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54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72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20" w:type="dxa"/>
            <w:vAlign w:val="bottom"/>
            <w:gridSpan w:val="2"/>
          </w:tcPr>
          <w:p>
            <w:pPr>
              <w:ind w:left="100"/>
              <w:spacing w:after="0"/>
              <w:rPr>
                <w:sz w:val="20"/>
                <w:szCs w:val="20"/>
                <w:color w:val="auto"/>
              </w:rPr>
            </w:pPr>
            <w:r>
              <w:rPr>
                <w:rFonts w:ascii="Arial" w:cs="Arial" w:eastAsia="Arial" w:hAnsi="Arial"/>
                <w:sz w:val="14"/>
                <w:szCs w:val="14"/>
                <w:color w:val="auto"/>
              </w:rPr>
              <w:t>Company Interests</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4"/>
                <w:szCs w:val="14"/>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62,341</w:t>
            </w:r>
          </w:p>
        </w:tc>
        <w:tc>
          <w:tcPr>
            <w:tcW w:w="1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Business Services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51,564,581</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52,127,585</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37"/>
        </w:trPr>
        <w:tc>
          <w:tcPr>
            <w:tcW w:w="3500" w:type="dxa"/>
            <w:vAlign w:val="bottom"/>
            <w:gridSpan w:val="3"/>
          </w:tcPr>
          <w:p>
            <w:pPr>
              <w:spacing w:after="0" w:line="137" w:lineRule="exact"/>
              <w:rPr>
                <w:sz w:val="20"/>
                <w:szCs w:val="20"/>
                <w:color w:val="auto"/>
              </w:rPr>
            </w:pPr>
            <w:r>
              <w:rPr>
                <w:rFonts w:ascii="Arial" w:cs="Arial" w:eastAsia="Arial" w:hAnsi="Arial"/>
                <w:sz w:val="14"/>
                <w:szCs w:val="14"/>
                <w:color w:val="auto"/>
              </w:rPr>
              <w:t>Targus Group International, Inc. (d)</w:t>
            </w:r>
          </w:p>
        </w:tc>
        <w:tc>
          <w:tcPr>
            <w:tcW w:w="1540" w:type="dxa"/>
            <w:vAlign w:val="bottom"/>
          </w:tcPr>
          <w:p>
            <w:pPr>
              <w:spacing w:after="0" w:line="137" w:lineRule="exact"/>
              <w:rPr>
                <w:sz w:val="20"/>
                <w:szCs w:val="20"/>
                <w:color w:val="auto"/>
              </w:rPr>
            </w:pPr>
            <w:r>
              <w:rPr>
                <w:rFonts w:ascii="Arial" w:cs="Arial" w:eastAsia="Arial" w:hAnsi="Arial"/>
                <w:sz w:val="14"/>
                <w:szCs w:val="14"/>
                <w:color w:val="auto"/>
              </w:rPr>
              <w:t>Consumer Products</w:t>
            </w:r>
          </w:p>
        </w:tc>
        <w:tc>
          <w:tcPr>
            <w:tcW w:w="2720" w:type="dxa"/>
            <w:vAlign w:val="bottom"/>
            <w:gridSpan w:val="2"/>
          </w:tcPr>
          <w:p>
            <w:pPr>
              <w:ind w:left="100"/>
              <w:spacing w:after="0" w:line="137" w:lineRule="exact"/>
              <w:rPr>
                <w:sz w:val="20"/>
                <w:szCs w:val="20"/>
                <w:color w:val="auto"/>
              </w:rPr>
            </w:pPr>
            <w:r>
              <w:rPr>
                <w:rFonts w:ascii="Arial" w:cs="Arial" w:eastAsia="Arial" w:hAnsi="Arial"/>
                <w:sz w:val="14"/>
                <w:szCs w:val="14"/>
                <w:color w:val="auto"/>
              </w:rPr>
              <w:t>First Lien Term Loan, 12.00% (11.00%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20" w:type="dxa"/>
            <w:vAlign w:val="bottom"/>
            <w:gridSpan w:val="2"/>
          </w:tcPr>
          <w:p>
            <w:pPr>
              <w:ind w:left="100"/>
              <w:spacing w:after="0"/>
              <w:rPr>
                <w:sz w:val="20"/>
                <w:szCs w:val="20"/>
                <w:color w:val="auto"/>
              </w:rPr>
            </w:pPr>
            <w:r>
              <w:rPr>
                <w:rFonts w:ascii="Arial" w:cs="Arial" w:eastAsia="Arial" w:hAnsi="Arial"/>
                <w:sz w:val="14"/>
                <w:szCs w:val="14"/>
                <w:color w:val="auto"/>
              </w:rPr>
              <w:t>Cash/1.00% PIK), 5/24/2016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3,569,127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3,537,732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3,283,597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(g)</w:t>
            </w: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7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62,413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566,765</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Targus Holdings, Inc. (d), (g)</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2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Unsecured Note 10.00% PIK, 6/14/2019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2,054,158</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2,054,158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(g)</w:t>
            </w: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7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Unsecured Note 16.00% PIK, 10/26/2018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429,797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425,227</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2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Consumer Products</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6,583,882</w:t>
            </w:r>
          </w:p>
        </w:tc>
        <w:tc>
          <w:tcPr>
            <w:tcW w:w="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3,283,597</w:t>
            </w:r>
          </w:p>
        </w:tc>
        <w:tc>
          <w:tcPr>
            <w:tcW w:w="1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Avionte Holdings, LLC (g)</w:t>
            </w: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27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163,000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tcPr>
          <w:p>
            <w:pPr>
              <w:spacing w:after="0" w:line="130" w:lineRule="exact"/>
              <w:rPr>
                <w:sz w:val="20"/>
                <w:szCs w:val="20"/>
                <w:color w:val="auto"/>
              </w:rPr>
            </w:pPr>
            <w:r>
              <w:rPr>
                <w:rFonts w:ascii="Arial" w:cs="Arial" w:eastAsia="Arial" w:hAnsi="Arial"/>
                <w:sz w:val="14"/>
                <w:szCs w:val="14"/>
                <w:color w:val="auto"/>
              </w:rPr>
              <w:t>Avionte Holdings, LLC</w:t>
            </w:r>
          </w:p>
        </w:tc>
        <w:tc>
          <w:tcPr>
            <w:tcW w:w="1540" w:type="dxa"/>
            <w:vAlign w:val="bottom"/>
          </w:tcPr>
          <w:p>
            <w:pPr>
              <w:spacing w:after="0" w:line="130" w:lineRule="exact"/>
              <w:rPr>
                <w:sz w:val="20"/>
                <w:szCs w:val="20"/>
                <w:color w:val="auto"/>
              </w:rPr>
            </w:pPr>
            <w:r>
              <w:rPr>
                <w:rFonts w:ascii="Arial" w:cs="Arial" w:eastAsia="Arial" w:hAnsi="Arial"/>
                <w:sz w:val="14"/>
                <w:szCs w:val="14"/>
                <w:color w:val="auto"/>
              </w:rPr>
              <w:t>Consumer Services</w:t>
            </w:r>
          </w:p>
        </w:tc>
        <w:tc>
          <w:tcPr>
            <w:tcW w:w="272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First Lien Term Loan 9.75%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20" w:type="dxa"/>
            <w:vAlign w:val="bottom"/>
            <w:gridSpan w:val="2"/>
          </w:tcPr>
          <w:p>
            <w:pPr>
              <w:ind w:left="100"/>
              <w:spacing w:after="0"/>
              <w:rPr>
                <w:sz w:val="20"/>
                <w:szCs w:val="20"/>
                <w:color w:val="auto"/>
              </w:rPr>
            </w:pPr>
            <w:r>
              <w:rPr>
                <w:rFonts w:ascii="Arial" w:cs="Arial" w:eastAsia="Arial" w:hAnsi="Arial"/>
                <w:sz w:val="14"/>
                <w:szCs w:val="14"/>
                <w:color w:val="auto"/>
              </w:rPr>
              <w:t>1/8/2019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3,000,000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2,951,759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3,000,000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Avionte Holdings, LLC (j), (l)</w:t>
            </w:r>
          </w:p>
        </w:tc>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72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Delayed Draw Term Loan A 9.75%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7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1/8/2019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tcPr>
          <w:p>
            <w:pPr>
              <w:spacing w:after="0" w:line="130" w:lineRule="exact"/>
              <w:rPr>
                <w:sz w:val="20"/>
                <w:szCs w:val="20"/>
                <w:color w:val="auto"/>
              </w:rPr>
            </w:pPr>
            <w:r>
              <w:rPr>
                <w:rFonts w:ascii="Arial" w:cs="Arial" w:eastAsia="Arial" w:hAnsi="Arial"/>
                <w:sz w:val="14"/>
                <w:szCs w:val="14"/>
                <w:color w:val="auto"/>
              </w:rPr>
              <w:t>CFF Acquisition L.L.C. (d)</w:t>
            </w:r>
          </w:p>
        </w:tc>
        <w:tc>
          <w:tcPr>
            <w:tcW w:w="1540" w:type="dxa"/>
            <w:vAlign w:val="bottom"/>
          </w:tcPr>
          <w:p>
            <w:pPr>
              <w:spacing w:after="0" w:line="130" w:lineRule="exact"/>
              <w:rPr>
                <w:sz w:val="20"/>
                <w:szCs w:val="20"/>
                <w:color w:val="auto"/>
              </w:rPr>
            </w:pPr>
            <w:r>
              <w:rPr>
                <w:rFonts w:ascii="Arial" w:cs="Arial" w:eastAsia="Arial" w:hAnsi="Arial"/>
                <w:sz w:val="14"/>
                <w:szCs w:val="14"/>
                <w:color w:val="auto"/>
              </w:rPr>
              <w:t>Consumer Services</w:t>
            </w:r>
          </w:p>
        </w:tc>
        <w:tc>
          <w:tcPr>
            <w:tcW w:w="272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First Lien Term Loan 7.50%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20" w:type="dxa"/>
            <w:vAlign w:val="bottom"/>
            <w:gridSpan w:val="2"/>
          </w:tcPr>
          <w:p>
            <w:pPr>
              <w:ind w:left="100"/>
              <w:spacing w:after="0"/>
              <w:rPr>
                <w:sz w:val="20"/>
                <w:szCs w:val="20"/>
                <w:color w:val="auto"/>
              </w:rPr>
            </w:pPr>
            <w:r>
              <w:rPr>
                <w:rFonts w:ascii="Arial" w:cs="Arial" w:eastAsia="Arial" w:hAnsi="Arial"/>
                <w:sz w:val="14"/>
                <w:szCs w:val="14"/>
                <w:color w:val="auto"/>
              </w:rPr>
              <w:t>7/31/2015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716,179</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714,270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716,179</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Expedited Travel L.L.C. (g)</w:t>
            </w: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27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1,000,000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1,000,000</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1,069,157</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tcPr>
          <w:p>
            <w:pPr>
              <w:spacing w:after="0" w:line="130" w:lineRule="exact"/>
              <w:rPr>
                <w:sz w:val="20"/>
                <w:szCs w:val="20"/>
                <w:color w:val="auto"/>
              </w:rPr>
            </w:pPr>
            <w:r>
              <w:rPr>
                <w:rFonts w:ascii="Arial" w:cs="Arial" w:eastAsia="Arial" w:hAnsi="Arial"/>
                <w:sz w:val="14"/>
                <w:szCs w:val="14"/>
                <w:color w:val="auto"/>
              </w:rPr>
              <w:t>Expedited Travel L.L.C.</w:t>
            </w:r>
          </w:p>
        </w:tc>
        <w:tc>
          <w:tcPr>
            <w:tcW w:w="1540" w:type="dxa"/>
            <w:vAlign w:val="bottom"/>
          </w:tcPr>
          <w:p>
            <w:pPr>
              <w:spacing w:after="0" w:line="130" w:lineRule="exact"/>
              <w:rPr>
                <w:sz w:val="20"/>
                <w:szCs w:val="20"/>
                <w:color w:val="auto"/>
              </w:rPr>
            </w:pPr>
            <w:r>
              <w:rPr>
                <w:rFonts w:ascii="Arial" w:cs="Arial" w:eastAsia="Arial" w:hAnsi="Arial"/>
                <w:sz w:val="14"/>
                <w:szCs w:val="14"/>
                <w:color w:val="auto"/>
              </w:rPr>
              <w:t>Consumer Services</w:t>
            </w:r>
          </w:p>
        </w:tc>
        <w:tc>
          <w:tcPr>
            <w:tcW w:w="272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20" w:type="dxa"/>
            <w:vAlign w:val="bottom"/>
            <w:gridSpan w:val="2"/>
          </w:tcPr>
          <w:p>
            <w:pPr>
              <w:ind w:left="100"/>
              <w:spacing w:after="0"/>
              <w:rPr>
                <w:sz w:val="20"/>
                <w:szCs w:val="20"/>
                <w:color w:val="auto"/>
              </w:rPr>
            </w:pPr>
            <w:r>
              <w:rPr>
                <w:rFonts w:ascii="Arial" w:cs="Arial" w:eastAsia="Arial" w:hAnsi="Arial"/>
                <w:sz w:val="14"/>
                <w:szCs w:val="14"/>
                <w:color w:val="auto"/>
              </w:rPr>
              <w:t>10/10/2019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13,750,000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13,609,579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13,750,000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72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6.25%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7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7/1/2019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3,709,677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3,680,863</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3,652,919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540" w:type="dxa"/>
            <w:vAlign w:val="bottom"/>
          </w:tcPr>
          <w:p>
            <w:pPr>
              <w:spacing w:after="0" w:line="130" w:lineRule="exact"/>
              <w:rPr>
                <w:sz w:val="20"/>
                <w:szCs w:val="20"/>
                <w:color w:val="auto"/>
              </w:rPr>
            </w:pPr>
            <w:r>
              <w:rPr>
                <w:rFonts w:ascii="Arial" w:cs="Arial" w:eastAsia="Arial" w:hAnsi="Arial"/>
                <w:sz w:val="14"/>
                <w:szCs w:val="14"/>
                <w:color w:val="auto"/>
              </w:rPr>
              <w:t>Consumer Services</w:t>
            </w:r>
          </w:p>
        </w:tc>
        <w:tc>
          <w:tcPr>
            <w:tcW w:w="272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Second Lien Term Loan 9.75%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20" w:type="dxa"/>
            <w:vAlign w:val="bottom"/>
            <w:gridSpan w:val="2"/>
          </w:tcPr>
          <w:p>
            <w:pPr>
              <w:ind w:left="100"/>
              <w:spacing w:after="0"/>
              <w:rPr>
                <w:sz w:val="20"/>
                <w:szCs w:val="20"/>
                <w:color w:val="auto"/>
              </w:rPr>
            </w:pPr>
            <w:r>
              <w:rPr>
                <w:rFonts w:ascii="Arial" w:cs="Arial" w:eastAsia="Arial" w:hAnsi="Arial"/>
                <w:sz w:val="14"/>
                <w:szCs w:val="14"/>
                <w:color w:val="auto"/>
              </w:rPr>
              <w:t>7/1/2020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5,000,000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4,937,212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4,981,000</w:t>
            </w:r>
          </w:p>
        </w:tc>
        <w:tc>
          <w:tcPr>
            <w:tcW w:w="1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Consumer Services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26,993,683</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27,332,255</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0"/>
        </w:trPr>
        <w:tc>
          <w:tcPr>
            <w:tcW w:w="3500" w:type="dxa"/>
            <w:vAlign w:val="bottom"/>
            <w:gridSpan w:val="3"/>
            <w:vMerge w:val="restart"/>
          </w:tcPr>
          <w:p>
            <w:pPr>
              <w:spacing w:after="0"/>
              <w:rPr>
                <w:sz w:val="20"/>
                <w:szCs w:val="20"/>
                <w:color w:val="auto"/>
              </w:rPr>
            </w:pPr>
            <w:r>
              <w:rPr>
                <w:rFonts w:ascii="Arial" w:cs="Arial" w:eastAsia="Arial" w:hAnsi="Arial"/>
                <w:sz w:val="14"/>
                <w:szCs w:val="14"/>
                <w:color w:val="auto"/>
              </w:rPr>
              <w:t>M/C Acquisition Corp., L.L.C. (d), (g)</w:t>
            </w:r>
          </w:p>
        </w:tc>
        <w:tc>
          <w:tcPr>
            <w:tcW w:w="1540" w:type="dxa"/>
            <w:vAlign w:val="bottom"/>
            <w:vMerge w:val="restart"/>
          </w:tcPr>
          <w:p>
            <w:pPr>
              <w:spacing w:after="0"/>
              <w:rPr>
                <w:sz w:val="20"/>
                <w:szCs w:val="20"/>
                <w:color w:val="auto"/>
              </w:rPr>
            </w:pPr>
            <w:r>
              <w:rPr>
                <w:rFonts w:ascii="Arial" w:cs="Arial" w:eastAsia="Arial" w:hAnsi="Arial"/>
                <w:sz w:val="14"/>
                <w:szCs w:val="14"/>
                <w:color w:val="auto"/>
              </w:rPr>
              <w:t>Education</w:t>
            </w:r>
          </w:p>
        </w:tc>
        <w:tc>
          <w:tcPr>
            <w:tcW w:w="2720" w:type="dxa"/>
            <w:vAlign w:val="bottom"/>
            <w:gridSpan w:val="2"/>
            <w:vMerge w:val="restart"/>
          </w:tcPr>
          <w:p>
            <w:pPr>
              <w:ind w:left="100"/>
              <w:spacing w:after="0"/>
              <w:rPr>
                <w:sz w:val="20"/>
                <w:szCs w:val="20"/>
                <w:color w:val="auto"/>
              </w:rPr>
            </w:pPr>
            <w:r>
              <w:rPr>
                <w:rFonts w:ascii="Arial" w:cs="Arial" w:eastAsia="Arial" w:hAnsi="Arial"/>
                <w:sz w:val="14"/>
                <w:szCs w:val="14"/>
                <w:color w:val="auto"/>
              </w:rPr>
              <w:t>Class A Common Stock</w:t>
            </w: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544,761</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00" w:type="dxa"/>
            <w:vAlign w:val="bottom"/>
            <w:gridSpan w:val="3"/>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30,241</w:t>
            </w:r>
          </w:p>
        </w:tc>
        <w:tc>
          <w:tcPr>
            <w:tcW w:w="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ind w:left="500"/>
              <w:spacing w:after="0" w:line="155"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Acquisition Corp., L.L.C. (d)</w:t>
            </w:r>
          </w:p>
        </w:tc>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Education</w:t>
            </w:r>
          </w:p>
        </w:tc>
        <w:tc>
          <w:tcPr>
            <w:tcW w:w="272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7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3/31/2015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2,362,978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1,235,695</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100,951</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2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Education</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1,265,936</w:t>
            </w: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100,951</w:t>
            </w:r>
          </w:p>
        </w:tc>
        <w:tc>
          <w:tcPr>
            <w:tcW w:w="180" w:type="dxa"/>
            <w:vAlign w:val="bottom"/>
            <w:vMerge w:val="continue"/>
          </w:tcPr>
          <w:p>
            <w:pPr>
              <w:spacing w:after="0"/>
              <w:rPr>
                <w:sz w:val="14"/>
                <w:szCs w:val="14"/>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Group Dekko, Inc. (d)</w:t>
            </w:r>
          </w:p>
        </w:tc>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Electronics</w:t>
            </w:r>
          </w:p>
        </w:tc>
        <w:tc>
          <w:tcPr>
            <w:tcW w:w="272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Second Lien Term Loan 11.00% (10.00%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7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Cash/1.00% PIK), 5/1/2016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6,950,048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6,950,048</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6,667,181</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2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Electronics</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6,950,048</w:t>
            </w:r>
          </w:p>
        </w:tc>
        <w:tc>
          <w:tcPr>
            <w:tcW w:w="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6,667,181</w:t>
            </w:r>
          </w:p>
        </w:tc>
        <w:tc>
          <w:tcPr>
            <w:tcW w:w="1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TB Corp. (d)</w:t>
            </w:r>
          </w:p>
        </w:tc>
        <w:tc>
          <w:tcPr>
            <w:tcW w:w="1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Food and Beverage</w:t>
            </w:r>
          </w:p>
        </w:tc>
        <w:tc>
          <w:tcPr>
            <w:tcW w:w="30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8"/>
              </w:rPr>
              <w:t>First Lien Term Loan 5.76% Cash, 6/19/2018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5,050,436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5,038,131</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5,037,810</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Pr>
          <w:p>
            <w:pPr>
              <w:spacing w:after="0" w:line="130" w:lineRule="exact"/>
              <w:rPr>
                <w:sz w:val="20"/>
                <w:szCs w:val="20"/>
                <w:color w:val="auto"/>
              </w:rPr>
            </w:pPr>
            <w:r>
              <w:rPr>
                <w:rFonts w:ascii="Arial" w:cs="Arial" w:eastAsia="Arial" w:hAnsi="Arial"/>
                <w:sz w:val="14"/>
                <w:szCs w:val="14"/>
                <w:color w:val="auto"/>
              </w:rPr>
              <w:t>TB Corp. (d)</w:t>
            </w:r>
          </w:p>
        </w:tc>
        <w:tc>
          <w:tcPr>
            <w:tcW w:w="1720" w:type="dxa"/>
            <w:vAlign w:val="bottom"/>
          </w:tcPr>
          <w:p>
            <w:pPr>
              <w:ind w:left="220"/>
              <w:spacing w:after="0" w:line="130" w:lineRule="exact"/>
              <w:rPr>
                <w:sz w:val="20"/>
                <w:szCs w:val="20"/>
                <w:color w:val="auto"/>
              </w:rPr>
            </w:pPr>
            <w:r>
              <w:rPr>
                <w:rFonts w:ascii="Arial" w:cs="Arial" w:eastAsia="Arial" w:hAnsi="Arial"/>
                <w:sz w:val="14"/>
                <w:szCs w:val="14"/>
                <w:color w:val="auto"/>
              </w:rPr>
              <w:t>Food and Beverage</w:t>
            </w:r>
          </w:p>
        </w:tc>
        <w:tc>
          <w:tcPr>
            <w:tcW w:w="3000" w:type="dxa"/>
            <w:vAlign w:val="bottom"/>
          </w:tcPr>
          <w:p>
            <w:pPr>
              <w:ind w:left="240"/>
              <w:spacing w:after="0" w:line="130" w:lineRule="exact"/>
              <w:rPr>
                <w:sz w:val="20"/>
                <w:szCs w:val="20"/>
                <w:color w:val="auto"/>
              </w:rPr>
            </w:pPr>
            <w:r>
              <w:rPr>
                <w:rFonts w:ascii="Arial" w:cs="Arial" w:eastAsia="Arial" w:hAnsi="Arial"/>
                <w:sz w:val="14"/>
                <w:szCs w:val="14"/>
                <w:color w:val="auto"/>
                <w:w w:val="94"/>
              </w:rPr>
              <w:t>Unsecured Note 13.50% (12.00% Cash/1.50%</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tcPr>
          <w:p>
            <w:pPr>
              <w:ind w:left="240"/>
              <w:spacing w:after="0"/>
              <w:rPr>
                <w:sz w:val="20"/>
                <w:szCs w:val="20"/>
                <w:color w:val="auto"/>
              </w:rPr>
            </w:pPr>
            <w:r>
              <w:rPr>
                <w:rFonts w:ascii="Arial" w:cs="Arial" w:eastAsia="Arial" w:hAnsi="Arial"/>
                <w:sz w:val="14"/>
                <w:szCs w:val="14"/>
                <w:color w:val="auto"/>
              </w:rPr>
              <w:t>PIK), 12/20/2018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2,546,121</w:t>
            </w:r>
          </w:p>
        </w:tc>
        <w:tc>
          <w:tcPr>
            <w:tcW w:w="780" w:type="dxa"/>
            <w:vAlign w:val="bottom"/>
          </w:tcPr>
          <w:p>
            <w:pPr>
              <w:jc w:val="right"/>
              <w:spacing w:after="0"/>
              <w:rPr>
                <w:sz w:val="20"/>
                <w:szCs w:val="20"/>
                <w:color w:val="auto"/>
              </w:rPr>
            </w:pPr>
            <w:r>
              <w:rPr>
                <w:rFonts w:ascii="Arial" w:cs="Arial" w:eastAsia="Arial" w:hAnsi="Arial"/>
                <w:sz w:val="14"/>
                <w:szCs w:val="14"/>
                <w:color w:val="auto"/>
              </w:rPr>
              <w:t>2,512,732</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2,546,121</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TM Restaurant Group L.L.C.</w:t>
            </w:r>
          </w:p>
        </w:tc>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Food and Beverage</w:t>
            </w:r>
          </w:p>
        </w:tc>
        <w:tc>
          <w:tcPr>
            <w:tcW w:w="3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8"/>
              </w:rPr>
              <w:t>First Lien Term Loan 7.75% Cash, 7/16/2017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2,791,595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2,791,595</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2,763,679</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0" w:type="dxa"/>
            <w:vAlign w:val="bottom"/>
            <w:vMerge w:val="restart"/>
          </w:tcPr>
          <w:p>
            <w:pPr>
              <w:jc w:val="right"/>
              <w:spacing w:after="0"/>
              <w:rPr>
                <w:sz w:val="20"/>
                <w:szCs w:val="20"/>
                <w:color w:val="auto"/>
              </w:rPr>
            </w:pPr>
            <w:r>
              <w:rPr>
                <w:rFonts w:ascii="Arial" w:cs="Arial" w:eastAsia="Arial" w:hAnsi="Arial"/>
                <w:sz w:val="14"/>
                <w:szCs w:val="14"/>
                <w:color w:val="auto"/>
              </w:rPr>
              <w:t>Total Food and Beverage</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10,342,458</w:t>
            </w:r>
          </w:p>
        </w:tc>
        <w:tc>
          <w:tcPr>
            <w:tcW w:w="18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10,347,610</w:t>
            </w:r>
          </w:p>
        </w:tc>
        <w:tc>
          <w:tcPr>
            <w:tcW w:w="200" w:type="dxa"/>
            <w:vAlign w:val="bottom"/>
            <w:vMerge w:val="continue"/>
          </w:tcPr>
          <w:p>
            <w:pPr>
              <w:spacing w:after="0"/>
              <w:rPr>
                <w:sz w:val="14"/>
                <w:szCs w:val="14"/>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Bristol Hospice, LLC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Healthcare Services</w:t>
            </w:r>
          </w:p>
        </w:tc>
        <w:tc>
          <w:tcPr>
            <w:tcW w:w="3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Senior Secured Note 11.00% (10.00%</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Cash/1.00% PIK), 11/29/2018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5,459,134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5,374,249</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5,459,134</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Pr>
          <w:p>
            <w:pPr>
              <w:spacing w:after="0" w:line="130" w:lineRule="exact"/>
              <w:rPr>
                <w:sz w:val="20"/>
                <w:szCs w:val="20"/>
                <w:color w:val="auto"/>
              </w:rPr>
            </w:pPr>
            <w:r>
              <w:rPr>
                <w:rFonts w:ascii="Arial" w:cs="Arial" w:eastAsia="Arial" w:hAnsi="Arial"/>
                <w:sz w:val="14"/>
                <w:szCs w:val="14"/>
                <w:color w:val="auto"/>
              </w:rPr>
              <w:t>Bristol Hospice, LLC (j), (l)</w:t>
            </w:r>
          </w:p>
        </w:tc>
        <w:tc>
          <w:tcPr>
            <w:tcW w:w="1720" w:type="dxa"/>
            <w:vAlign w:val="bottom"/>
          </w:tcPr>
          <w:p>
            <w:pPr>
              <w:ind w:left="220"/>
              <w:spacing w:after="0" w:line="130" w:lineRule="exact"/>
              <w:rPr>
                <w:sz w:val="20"/>
                <w:szCs w:val="20"/>
                <w:color w:val="auto"/>
              </w:rPr>
            </w:pPr>
            <w:r>
              <w:rPr>
                <w:rFonts w:ascii="Arial" w:cs="Arial" w:eastAsia="Arial" w:hAnsi="Arial"/>
                <w:sz w:val="14"/>
                <w:szCs w:val="14"/>
                <w:color w:val="auto"/>
              </w:rPr>
              <w:t>Healthcare Services</w:t>
            </w:r>
          </w:p>
        </w:tc>
        <w:tc>
          <w:tcPr>
            <w:tcW w:w="3000" w:type="dxa"/>
            <w:vAlign w:val="bottom"/>
          </w:tcPr>
          <w:p>
            <w:pPr>
              <w:ind w:left="240"/>
              <w:spacing w:after="0" w:line="130" w:lineRule="exact"/>
              <w:rPr>
                <w:sz w:val="20"/>
                <w:szCs w:val="20"/>
                <w:color w:val="auto"/>
              </w:rPr>
            </w:pPr>
            <w:r>
              <w:rPr>
                <w:rFonts w:ascii="Arial" w:cs="Arial" w:eastAsia="Arial" w:hAnsi="Arial"/>
                <w:sz w:val="14"/>
                <w:szCs w:val="14"/>
                <w:color w:val="auto"/>
              </w:rPr>
              <w:t>Delayed Draw Term Loan 11.00% (10.00%</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tcPr>
          <w:p>
            <w:pPr>
              <w:ind w:left="240"/>
              <w:spacing w:after="0"/>
              <w:rPr>
                <w:sz w:val="20"/>
                <w:szCs w:val="20"/>
                <w:color w:val="auto"/>
              </w:rPr>
            </w:pPr>
            <w:r>
              <w:rPr>
                <w:rFonts w:ascii="Arial" w:cs="Arial" w:eastAsia="Arial" w:hAnsi="Arial"/>
                <w:sz w:val="14"/>
                <w:szCs w:val="14"/>
                <w:color w:val="auto"/>
              </w:rPr>
              <w:t>Cash/1.00% PIK), 11/29/2018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Roscoe Medical, Inc. (d), (g)</w:t>
            </w:r>
          </w:p>
        </w:tc>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Healthcare Services</w:t>
            </w:r>
          </w:p>
        </w:tc>
        <w:tc>
          <w:tcPr>
            <w:tcW w:w="3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5,000</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294,500</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Pr>
          <w:p>
            <w:pPr>
              <w:spacing w:after="0" w:line="130" w:lineRule="exact"/>
              <w:rPr>
                <w:sz w:val="20"/>
                <w:szCs w:val="20"/>
                <w:color w:val="auto"/>
              </w:rPr>
            </w:pPr>
            <w:r>
              <w:rPr>
                <w:rFonts w:ascii="Arial" w:cs="Arial" w:eastAsia="Arial" w:hAnsi="Arial"/>
                <w:sz w:val="14"/>
                <w:szCs w:val="14"/>
                <w:color w:val="auto"/>
              </w:rPr>
              <w:t>Roscoe Medical, Inc.</w:t>
            </w:r>
          </w:p>
        </w:tc>
        <w:tc>
          <w:tcPr>
            <w:tcW w:w="1720" w:type="dxa"/>
            <w:vAlign w:val="bottom"/>
          </w:tcPr>
          <w:p>
            <w:pPr>
              <w:ind w:left="220"/>
              <w:spacing w:after="0" w:line="130" w:lineRule="exact"/>
              <w:rPr>
                <w:sz w:val="20"/>
                <w:szCs w:val="20"/>
                <w:color w:val="auto"/>
              </w:rPr>
            </w:pPr>
            <w:r>
              <w:rPr>
                <w:rFonts w:ascii="Arial" w:cs="Arial" w:eastAsia="Arial" w:hAnsi="Arial"/>
                <w:sz w:val="14"/>
                <w:szCs w:val="14"/>
                <w:color w:val="auto"/>
              </w:rPr>
              <w:t>Healthcare Services</w:t>
            </w:r>
          </w:p>
        </w:tc>
        <w:tc>
          <w:tcPr>
            <w:tcW w:w="3000" w:type="dxa"/>
            <w:vAlign w:val="bottom"/>
          </w:tcPr>
          <w:p>
            <w:pPr>
              <w:ind w:left="240"/>
              <w:spacing w:after="0" w:line="130" w:lineRule="exact"/>
              <w:rPr>
                <w:sz w:val="20"/>
                <w:szCs w:val="20"/>
                <w:color w:val="auto"/>
              </w:rPr>
            </w:pPr>
            <w:r>
              <w:rPr>
                <w:rFonts w:ascii="Arial" w:cs="Arial" w:eastAsia="Arial" w:hAnsi="Arial"/>
                <w:sz w:val="14"/>
                <w:szCs w:val="14"/>
                <w:color w:val="auto"/>
              </w:rPr>
              <w:t>Second Lien Term Loan 11.25% Cash,</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tcPr>
          <w:p>
            <w:pPr>
              <w:ind w:left="240"/>
              <w:spacing w:after="0"/>
              <w:rPr>
                <w:sz w:val="20"/>
                <w:szCs w:val="20"/>
                <w:color w:val="auto"/>
              </w:rPr>
            </w:pPr>
            <w:r>
              <w:rPr>
                <w:rFonts w:ascii="Arial" w:cs="Arial" w:eastAsia="Arial" w:hAnsi="Arial"/>
                <w:sz w:val="14"/>
                <w:szCs w:val="14"/>
                <w:color w:val="auto"/>
              </w:rPr>
              <w:t>9/26/2019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4,200,000</w:t>
            </w:r>
          </w:p>
        </w:tc>
        <w:tc>
          <w:tcPr>
            <w:tcW w:w="780" w:type="dxa"/>
            <w:vAlign w:val="bottom"/>
          </w:tcPr>
          <w:p>
            <w:pPr>
              <w:jc w:val="right"/>
              <w:spacing w:after="0"/>
              <w:rPr>
                <w:sz w:val="20"/>
                <w:szCs w:val="20"/>
                <w:color w:val="auto"/>
              </w:rPr>
            </w:pPr>
            <w:r>
              <w:rPr>
                <w:rFonts w:ascii="Arial" w:cs="Arial" w:eastAsia="Arial" w:hAnsi="Arial"/>
                <w:sz w:val="14"/>
                <w:szCs w:val="14"/>
                <w:color w:val="auto"/>
              </w:rPr>
              <w:t>4,129,704</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3,990,000</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Smile Brands Group Inc. (d)</w:t>
            </w:r>
          </w:p>
        </w:tc>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Healthcare Services</w:t>
            </w:r>
          </w:p>
        </w:tc>
        <w:tc>
          <w:tcPr>
            <w:tcW w:w="3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8"/>
              </w:rPr>
              <w:t>First Lien Term Loan 7.50% Cash, 8/16/2019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4,443,750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4,373,369</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4,159,350</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Surgical Specialties Corporation (US), Inc. (d)</w:t>
            </w:r>
          </w:p>
        </w:tc>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Healthcare Services</w:t>
            </w:r>
          </w:p>
        </w:tc>
        <w:tc>
          <w:tcPr>
            <w:tcW w:w="3000" w:type="dxa"/>
            <w:vAlign w:val="bottom"/>
          </w:tcPr>
          <w:p>
            <w:pPr>
              <w:ind w:left="240"/>
              <w:spacing w:after="0" w:line="149" w:lineRule="exact"/>
              <w:rPr>
                <w:sz w:val="20"/>
                <w:szCs w:val="20"/>
                <w:color w:val="auto"/>
              </w:rPr>
            </w:pPr>
            <w:r>
              <w:rPr>
                <w:rFonts w:ascii="Arial" w:cs="Arial" w:eastAsia="Arial" w:hAnsi="Arial"/>
                <w:sz w:val="14"/>
                <w:szCs w:val="14"/>
                <w:color w:val="auto"/>
                <w:w w:val="98"/>
              </w:rPr>
              <w:t>First Lien Term Loan 7.25% Cash, 8/22/2018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2,312,500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2,295,234</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2,277,813</w:t>
            </w:r>
          </w:p>
        </w:tc>
        <w:tc>
          <w:tcPr>
            <w:tcW w:w="2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Zest Holdings, LLC (d)</w:t>
            </w:r>
          </w:p>
        </w:tc>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Healthcare Services</w:t>
            </w:r>
          </w:p>
        </w:tc>
        <w:tc>
          <w:tcPr>
            <w:tcW w:w="3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8"/>
              </w:rPr>
              <w:t>First Lien Term Loan 5.25% Cash, 8/16/2020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4,443,919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4,361,438</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4,460,806</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0" w:type="dxa"/>
            <w:vAlign w:val="bottom"/>
            <w:vMerge w:val="restart"/>
          </w:tcPr>
          <w:p>
            <w:pPr>
              <w:jc w:val="right"/>
              <w:spacing w:after="0"/>
              <w:rPr>
                <w:sz w:val="20"/>
                <w:szCs w:val="20"/>
                <w:color w:val="auto"/>
              </w:rPr>
            </w:pPr>
            <w:r>
              <w:rPr>
                <w:rFonts w:ascii="Arial" w:cs="Arial" w:eastAsia="Arial" w:hAnsi="Arial"/>
                <w:sz w:val="14"/>
                <w:szCs w:val="14"/>
                <w:color w:val="auto"/>
              </w:rPr>
              <w:t>Total Healthcare Services</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21,033,994</w:t>
            </w:r>
          </w:p>
        </w:tc>
        <w:tc>
          <w:tcPr>
            <w:tcW w:w="18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20,641,603</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Media</w:t>
            </w:r>
          </w:p>
        </w:tc>
        <w:tc>
          <w:tcPr>
            <w:tcW w:w="3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14.00% (12.00%</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Cash/2.00% PIK), 5/16/2019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9,368,327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9,206,438</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9,579,115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HMN Holdco, LLC</w:t>
            </w:r>
          </w:p>
        </w:tc>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Media</w:t>
            </w:r>
          </w:p>
        </w:tc>
        <w:tc>
          <w:tcPr>
            <w:tcW w:w="3000" w:type="dxa"/>
            <w:vAlign w:val="bottom"/>
          </w:tcPr>
          <w:p>
            <w:pPr>
              <w:ind w:left="240"/>
              <w:spacing w:after="0" w:line="149" w:lineRule="exact"/>
              <w:rPr>
                <w:sz w:val="20"/>
                <w:szCs w:val="20"/>
                <w:color w:val="auto"/>
              </w:rPr>
            </w:pPr>
            <w:r>
              <w:rPr>
                <w:rFonts w:ascii="Arial" w:cs="Arial" w:eastAsia="Arial" w:hAnsi="Arial"/>
                <w:sz w:val="14"/>
                <w:szCs w:val="14"/>
                <w:color w:val="auto"/>
                <w:w w:val="95"/>
              </w:rPr>
              <w:t>First Lien Term Loan 12.00% Cash, 5/16/2020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1,600,000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1,569,149</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1,576,000</w:t>
            </w:r>
          </w:p>
        </w:tc>
        <w:tc>
          <w:tcPr>
            <w:tcW w:w="2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(j), (k)</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Media</w:t>
            </w:r>
          </w:p>
        </w:tc>
        <w:tc>
          <w:tcPr>
            <w:tcW w:w="3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Deferred Draw Term Loan 12.00% Cash,</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5/16/2020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(36,000)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HMN Holdco, LLC (g)</w:t>
            </w:r>
          </w:p>
        </w:tc>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Media</w:t>
            </w:r>
          </w:p>
        </w:tc>
        <w:tc>
          <w:tcPr>
            <w:tcW w:w="3000" w:type="dxa"/>
            <w:vAlign w:val="bottom"/>
          </w:tcPr>
          <w:p>
            <w:pPr>
              <w:ind w:left="240"/>
              <w:spacing w:after="0" w:line="149" w:lineRule="exact"/>
              <w:rPr>
                <w:sz w:val="20"/>
                <w:szCs w:val="20"/>
                <w:color w:val="auto"/>
              </w:rPr>
            </w:pPr>
            <w:r>
              <w:rPr>
                <w:rFonts w:ascii="Arial" w:cs="Arial" w:eastAsia="Arial" w:hAnsi="Arial"/>
                <w:sz w:val="14"/>
                <w:szCs w:val="14"/>
                <w:color w:val="auto"/>
              </w:rPr>
              <w:t>Class A Series</w:t>
            </w:r>
          </w:p>
        </w:tc>
        <w:tc>
          <w:tcPr>
            <w:tcW w:w="14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4,264</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61,647</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223,604</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HMN Holdco, LLC (g)</w:t>
            </w:r>
          </w:p>
        </w:tc>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Media</w:t>
            </w:r>
          </w:p>
        </w:tc>
        <w:tc>
          <w:tcPr>
            <w:tcW w:w="3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Class A Warrant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30,320</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438,353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1,247,365</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1720" w:type="dxa"/>
            <w:vAlign w:val="bottom"/>
          </w:tcPr>
          <w:p>
            <w:pPr>
              <w:ind w:left="220"/>
              <w:spacing w:after="0" w:line="130" w:lineRule="exact"/>
              <w:rPr>
                <w:sz w:val="20"/>
                <w:szCs w:val="20"/>
                <w:color w:val="auto"/>
              </w:rPr>
            </w:pPr>
            <w:r>
              <w:rPr>
                <w:rFonts w:ascii="Arial" w:cs="Arial" w:eastAsia="Arial" w:hAnsi="Arial"/>
                <w:sz w:val="14"/>
                <w:szCs w:val="14"/>
                <w:color w:val="auto"/>
              </w:rPr>
              <w:t>Media</w:t>
            </w:r>
          </w:p>
        </w:tc>
        <w:tc>
          <w:tcPr>
            <w:tcW w:w="3000" w:type="dxa"/>
            <w:vAlign w:val="bottom"/>
          </w:tcPr>
          <w:p>
            <w:pPr>
              <w:ind w:left="240"/>
              <w:spacing w:after="0" w:line="130" w:lineRule="exact"/>
              <w:rPr>
                <w:sz w:val="20"/>
                <w:szCs w:val="20"/>
                <w:color w:val="auto"/>
              </w:rPr>
            </w:pPr>
            <w:r>
              <w:rPr>
                <w:rFonts w:ascii="Arial" w:cs="Arial" w:eastAsia="Arial" w:hAnsi="Arial"/>
                <w:sz w:val="14"/>
                <w:szCs w:val="14"/>
                <w:color w:val="auto"/>
              </w:rPr>
              <w:t>Warrants to Purchase Limited Liability</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tcPr>
          <w:p>
            <w:pPr>
              <w:ind w:left="240"/>
              <w:spacing w:after="0"/>
              <w:rPr>
                <w:sz w:val="20"/>
                <w:szCs w:val="20"/>
                <w:color w:val="auto"/>
              </w:rPr>
            </w:pPr>
            <w:r>
              <w:rPr>
                <w:rFonts w:ascii="Arial" w:cs="Arial" w:eastAsia="Arial" w:hAnsi="Arial"/>
                <w:sz w:val="14"/>
                <w:szCs w:val="14"/>
                <w:color w:val="auto"/>
              </w:rPr>
              <w:t>Company Interests (Common)</w:t>
            </w:r>
          </w:p>
        </w:tc>
        <w:tc>
          <w:tcPr>
            <w:tcW w:w="14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57,872</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2,085,128</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Media</w:t>
            </w:r>
          </w:p>
        </w:tc>
        <w:tc>
          <w:tcPr>
            <w:tcW w:w="3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Warrants to Purchase Limited Liability</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Company Interests</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8,139</w:t>
            </w: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350,464</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0" w:type="dxa"/>
            <w:vAlign w:val="bottom"/>
            <w:vMerge w:val="restart"/>
          </w:tcPr>
          <w:p>
            <w:pPr>
              <w:jc w:val="right"/>
              <w:spacing w:after="0"/>
              <w:rPr>
                <w:sz w:val="20"/>
                <w:szCs w:val="20"/>
                <w:color w:val="auto"/>
              </w:rPr>
            </w:pPr>
            <w:r>
              <w:rPr>
                <w:rFonts w:ascii="Arial" w:cs="Arial" w:eastAsia="Arial" w:hAnsi="Arial"/>
                <w:sz w:val="14"/>
                <w:szCs w:val="14"/>
                <w:color w:val="auto"/>
              </w:rPr>
              <w:t>Total Media</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11,275,587</w:t>
            </w:r>
          </w:p>
        </w:tc>
        <w:tc>
          <w:tcPr>
            <w:tcW w:w="18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15,025,676</w:t>
            </w:r>
          </w:p>
        </w:tc>
        <w:tc>
          <w:tcPr>
            <w:tcW w:w="200" w:type="dxa"/>
            <w:vAlign w:val="bottom"/>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Elyria Foundry Company, L.L.C. (d), (g)</w:t>
            </w:r>
          </w:p>
        </w:tc>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Metals</w:t>
            </w:r>
          </w:p>
        </w:tc>
        <w:tc>
          <w:tcPr>
            <w:tcW w:w="3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35,000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9,217,563</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6,762,000</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Elyria Foundry Company, L.L.C. (d)</w:t>
            </w:r>
          </w:p>
        </w:tc>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Metals</w:t>
            </w:r>
          </w:p>
        </w:tc>
        <w:tc>
          <w:tcPr>
            <w:tcW w:w="3000" w:type="dxa"/>
            <w:vAlign w:val="bottom"/>
          </w:tcPr>
          <w:p>
            <w:pPr>
              <w:ind w:left="240"/>
              <w:spacing w:after="0" w:line="149" w:lineRule="exact"/>
              <w:rPr>
                <w:sz w:val="20"/>
                <w:szCs w:val="20"/>
                <w:color w:val="auto"/>
              </w:rPr>
            </w:pPr>
            <w:r>
              <w:rPr>
                <w:rFonts w:ascii="Arial" w:cs="Arial" w:eastAsia="Arial" w:hAnsi="Arial"/>
                <w:sz w:val="14"/>
                <w:szCs w:val="14"/>
                <w:color w:val="auto"/>
              </w:rPr>
              <w:t>Revolver 9.00% Cash, 12/31/2020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8,500,000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8,500,000</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8,500,000</w:t>
            </w:r>
          </w:p>
        </w:tc>
        <w:tc>
          <w:tcPr>
            <w:tcW w:w="2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3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Metals</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17,717,563</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15,262,000</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4"/>
                <w:szCs w:val="14"/>
                <w:color w:val="auto"/>
              </w:rPr>
              <w:t>Network Communications, Inc. (d), (g)</w:t>
            </w:r>
          </w:p>
        </w:tc>
        <w:tc>
          <w:tcPr>
            <w:tcW w:w="1720" w:type="dxa"/>
            <w:vAlign w:val="bottom"/>
            <w:vMerge w:val="restart"/>
          </w:tcPr>
          <w:p>
            <w:pPr>
              <w:ind w:left="220"/>
              <w:spacing w:after="0"/>
              <w:rPr>
                <w:sz w:val="20"/>
                <w:szCs w:val="20"/>
                <w:color w:val="auto"/>
              </w:rPr>
            </w:pPr>
            <w:r>
              <w:rPr>
                <w:rFonts w:ascii="Arial" w:cs="Arial" w:eastAsia="Arial" w:hAnsi="Arial"/>
                <w:sz w:val="14"/>
                <w:szCs w:val="14"/>
                <w:color w:val="auto"/>
              </w:rPr>
              <w:t>Publishing</w:t>
            </w:r>
          </w:p>
        </w:tc>
        <w:tc>
          <w:tcPr>
            <w:tcW w:w="3000" w:type="dxa"/>
            <w:vAlign w:val="bottom"/>
            <w:vMerge w:val="restart"/>
          </w:tcPr>
          <w:p>
            <w:pPr>
              <w:ind w:left="24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line="20" w:lineRule="exact"/>
              <w:rPr>
                <w:sz w:val="1"/>
                <w:szCs w:val="1"/>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380,572</w:t>
            </w: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6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3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780" w:type="dxa"/>
            <w:vAlign w:val="bottom"/>
          </w:tcPr>
          <w:p>
            <w:pPr>
              <w:ind w:left="560"/>
              <w:spacing w:after="0" w:line="155"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300,652</w:t>
            </w:r>
          </w:p>
        </w:tc>
        <w:tc>
          <w:tcPr>
            <w:tcW w:w="200" w:type="dxa"/>
            <w:vAlign w:val="bottom"/>
            <w:vMerge w:val="continue"/>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Network Communications, Inc. (d)</w:t>
            </w:r>
          </w:p>
        </w:tc>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Publishing</w:t>
            </w:r>
          </w:p>
        </w:tc>
        <w:tc>
          <w:tcPr>
            <w:tcW w:w="3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Unsecured Notes 8.60% PIK, 1/14/2020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2,732,976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2,374,260</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1,684,118</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0" w:type="dxa"/>
            <w:vAlign w:val="bottom"/>
            <w:vMerge w:val="restart"/>
          </w:tcPr>
          <w:p>
            <w:pPr>
              <w:jc w:val="right"/>
              <w:spacing w:after="0"/>
              <w:rPr>
                <w:sz w:val="20"/>
                <w:szCs w:val="20"/>
                <w:color w:val="auto"/>
              </w:rPr>
            </w:pPr>
            <w:r>
              <w:rPr>
                <w:rFonts w:ascii="Arial" w:cs="Arial" w:eastAsia="Arial" w:hAnsi="Arial"/>
                <w:sz w:val="14"/>
                <w:szCs w:val="14"/>
                <w:color w:val="auto"/>
              </w:rPr>
              <w:t>Total Publishing</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2,374,260</w:t>
            </w:r>
          </w:p>
        </w:tc>
        <w:tc>
          <w:tcPr>
            <w:tcW w:w="18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1,984,770</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Censis Technologies, Inc.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Software as a Service</w:t>
            </w:r>
          </w:p>
        </w:tc>
        <w:tc>
          <w:tcPr>
            <w:tcW w:w="3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B 11.00% Cash,</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7/24/2019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1"/>
              </w:rPr>
              <w:t>11,850,000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11,634,939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11,850,000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Censis Technologies, Inc. (g), (h)</w:t>
            </w:r>
          </w:p>
        </w:tc>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Software as a Service</w:t>
            </w:r>
          </w:p>
        </w:tc>
        <w:tc>
          <w:tcPr>
            <w:tcW w:w="3000" w:type="dxa"/>
            <w:vAlign w:val="bottom"/>
          </w:tcPr>
          <w:p>
            <w:pPr>
              <w:ind w:left="240"/>
              <w:spacing w:after="0" w:line="149" w:lineRule="exact"/>
              <w:rPr>
                <w:sz w:val="20"/>
                <w:szCs w:val="20"/>
                <w:color w:val="auto"/>
              </w:rPr>
            </w:pPr>
            <w:r>
              <w:rPr>
                <w:rFonts w:ascii="Arial" w:cs="Arial" w:eastAsia="Arial" w:hAnsi="Arial"/>
                <w:sz w:val="14"/>
                <w:szCs w:val="14"/>
                <w:color w:val="auto"/>
              </w:rPr>
              <w:t>Limited Partner Interests</w:t>
            </w:r>
          </w:p>
        </w:tc>
        <w:tc>
          <w:tcPr>
            <w:tcW w:w="14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999</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999,000</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981,627</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 (g)</w:t>
            </w:r>
          </w:p>
        </w:tc>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Software as a Service</w:t>
            </w:r>
          </w:p>
        </w:tc>
        <w:tc>
          <w:tcPr>
            <w:tcW w:w="3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1,282</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1,282</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1,769</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Pr>
          <w:p>
            <w:pPr>
              <w:spacing w:after="0" w:line="130" w:lineRule="exact"/>
              <w:rPr>
                <w:sz w:val="20"/>
                <w:szCs w:val="20"/>
                <w:color w:val="auto"/>
              </w:rPr>
            </w:pPr>
            <w:r>
              <w:rPr>
                <w:rFonts w:ascii="Arial" w:cs="Arial" w:eastAsia="Arial" w:hAnsi="Arial"/>
                <w:sz w:val="14"/>
                <w:szCs w:val="14"/>
                <w:color w:val="auto"/>
              </w:rPr>
              <w:t>Community Investors, Inc.</w:t>
            </w:r>
          </w:p>
        </w:tc>
        <w:tc>
          <w:tcPr>
            <w:tcW w:w="1720" w:type="dxa"/>
            <w:vAlign w:val="bottom"/>
          </w:tcPr>
          <w:p>
            <w:pPr>
              <w:ind w:left="220"/>
              <w:spacing w:after="0" w:line="130" w:lineRule="exact"/>
              <w:rPr>
                <w:sz w:val="20"/>
                <w:szCs w:val="20"/>
                <w:color w:val="auto"/>
              </w:rPr>
            </w:pPr>
            <w:r>
              <w:rPr>
                <w:rFonts w:ascii="Arial" w:cs="Arial" w:eastAsia="Arial" w:hAnsi="Arial"/>
                <w:sz w:val="14"/>
                <w:szCs w:val="14"/>
                <w:color w:val="auto"/>
              </w:rPr>
              <w:t>Software as a Service</w:t>
            </w:r>
          </w:p>
        </w:tc>
        <w:tc>
          <w:tcPr>
            <w:tcW w:w="3000" w:type="dxa"/>
            <w:vAlign w:val="bottom"/>
          </w:tcPr>
          <w:p>
            <w:pPr>
              <w:ind w:left="240"/>
              <w:spacing w:after="0" w:line="130" w:lineRule="exact"/>
              <w:rPr>
                <w:sz w:val="20"/>
                <w:szCs w:val="20"/>
                <w:color w:val="auto"/>
              </w:rPr>
            </w:pPr>
            <w:r>
              <w:rPr>
                <w:rFonts w:ascii="Arial" w:cs="Arial" w:eastAsia="Arial" w:hAnsi="Arial"/>
                <w:sz w:val="14"/>
                <w:szCs w:val="14"/>
                <w:color w:val="auto"/>
                <w:w w:val="97"/>
              </w:rPr>
              <w:t>First Lien, Last Out Term Loan 11.78% Cash,</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tcPr>
          <w:p>
            <w:pPr>
              <w:ind w:left="240"/>
              <w:spacing w:after="0"/>
              <w:rPr>
                <w:sz w:val="20"/>
                <w:szCs w:val="20"/>
                <w:color w:val="auto"/>
              </w:rPr>
            </w:pPr>
            <w:r>
              <w:rPr>
                <w:rFonts w:ascii="Arial" w:cs="Arial" w:eastAsia="Arial" w:hAnsi="Arial"/>
                <w:sz w:val="14"/>
                <w:szCs w:val="14"/>
                <w:color w:val="auto"/>
              </w:rPr>
              <w:t>9/30/2019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w w:val="91"/>
              </w:rPr>
              <w:t>12,000,000</w:t>
            </w:r>
          </w:p>
        </w:tc>
        <w:tc>
          <w:tcPr>
            <w:tcW w:w="780" w:type="dxa"/>
            <w:vAlign w:val="bottom"/>
          </w:tcPr>
          <w:p>
            <w:pPr>
              <w:jc w:val="right"/>
              <w:spacing w:after="0"/>
              <w:rPr>
                <w:sz w:val="20"/>
                <w:szCs w:val="20"/>
                <w:color w:val="auto"/>
              </w:rPr>
            </w:pPr>
            <w:r>
              <w:rPr>
                <w:rFonts w:ascii="Arial" w:cs="Arial" w:eastAsia="Arial" w:hAnsi="Arial"/>
                <w:sz w:val="14"/>
                <w:szCs w:val="14"/>
                <w:color w:val="auto"/>
              </w:rPr>
              <w:t>12,000,000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12,000,000</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Community Investors, Inc.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Software as a Service</w:t>
            </w:r>
          </w:p>
        </w:tc>
        <w:tc>
          <w:tcPr>
            <w:tcW w:w="3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B 12.25% Cash,</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12/31/2020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2,500,000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Community Investors, Inc. (g)</w:t>
            </w:r>
          </w:p>
        </w:tc>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Software as a Service</w:t>
            </w:r>
          </w:p>
        </w:tc>
        <w:tc>
          <w:tcPr>
            <w:tcW w:w="3000" w:type="dxa"/>
            <w:vAlign w:val="bottom"/>
          </w:tcPr>
          <w:p>
            <w:pPr>
              <w:ind w:left="240"/>
              <w:spacing w:after="0" w:line="149" w:lineRule="exact"/>
              <w:rPr>
                <w:sz w:val="20"/>
                <w:szCs w:val="20"/>
                <w:color w:val="auto"/>
              </w:rPr>
            </w:pPr>
            <w:r>
              <w:rPr>
                <w:rFonts w:ascii="Arial" w:cs="Arial" w:eastAsia="Arial" w:hAnsi="Arial"/>
                <w:sz w:val="14"/>
                <w:szCs w:val="14"/>
                <w:color w:val="auto"/>
              </w:rPr>
              <w:t>Preferred Stock</w:t>
            </w:r>
          </w:p>
        </w:tc>
        <w:tc>
          <w:tcPr>
            <w:tcW w:w="14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63,463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149,138</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87,579</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w:t>
            </w:r>
          </w:p>
        </w:tc>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Software as a Service</w:t>
            </w:r>
          </w:p>
        </w:tc>
        <w:tc>
          <w:tcPr>
            <w:tcW w:w="3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 Stock - A2</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38,641</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100,853</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53,325</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Community Investors, Inc. (g)</w:t>
            </w:r>
          </w:p>
        </w:tc>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Software as a Service</w:t>
            </w:r>
          </w:p>
        </w:tc>
        <w:tc>
          <w:tcPr>
            <w:tcW w:w="3000" w:type="dxa"/>
            <w:vAlign w:val="bottom"/>
          </w:tcPr>
          <w:p>
            <w:pPr>
              <w:ind w:left="240"/>
              <w:spacing w:after="0" w:line="149" w:lineRule="exact"/>
              <w:rPr>
                <w:sz w:val="20"/>
                <w:szCs w:val="20"/>
                <w:color w:val="auto"/>
              </w:rPr>
            </w:pPr>
            <w:r>
              <w:rPr>
                <w:rFonts w:ascii="Arial" w:cs="Arial" w:eastAsia="Arial" w:hAnsi="Arial"/>
                <w:sz w:val="14"/>
                <w:szCs w:val="14"/>
                <w:color w:val="auto"/>
              </w:rPr>
              <w:t>Preferred Stock - A Shares</w:t>
            </w:r>
          </w:p>
        </w:tc>
        <w:tc>
          <w:tcPr>
            <w:tcW w:w="14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135,584</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135,584</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187,106</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Finalsite Holdings, Inc.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Software as a Service</w:t>
            </w:r>
          </w:p>
        </w:tc>
        <w:tc>
          <w:tcPr>
            <w:tcW w:w="3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Second Lien Term Loan 10.25% Cash,</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11/21/2019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7,500,000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7,429,305</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Software as a Service</w:t>
            </w:r>
          </w:p>
        </w:tc>
        <w:tc>
          <w:tcPr>
            <w:tcW w:w="3000" w:type="dxa"/>
            <w:vAlign w:val="bottom"/>
          </w:tcPr>
          <w:p>
            <w:pPr>
              <w:ind w:left="240"/>
              <w:spacing w:after="0" w:line="149" w:lineRule="exact"/>
              <w:rPr>
                <w:sz w:val="20"/>
                <w:szCs w:val="20"/>
                <w:color w:val="auto"/>
              </w:rPr>
            </w:pPr>
            <w:r>
              <w:rPr>
                <w:rFonts w:ascii="Arial" w:cs="Arial" w:eastAsia="Arial" w:hAnsi="Arial"/>
                <w:sz w:val="14"/>
                <w:szCs w:val="14"/>
                <w:color w:val="auto"/>
              </w:rPr>
              <w:t>Common Stock Class A Units</w:t>
            </w:r>
          </w:p>
        </w:tc>
        <w:tc>
          <w:tcPr>
            <w:tcW w:w="14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232,616</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232,616</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225,638</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Identity Automation Systems</w:t>
            </w:r>
          </w:p>
        </w:tc>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Software as a Service</w:t>
            </w:r>
          </w:p>
        </w:tc>
        <w:tc>
          <w:tcPr>
            <w:tcW w:w="3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5"/>
              </w:rPr>
              <w:t>First Lien Term Loan 10.25% Cash, 8/25/2019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4,475,000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4,433,897</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4,475,000</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tcPr>
          <w:p>
            <w:pPr>
              <w:spacing w:after="0" w:line="130" w:lineRule="exact"/>
              <w:rPr>
                <w:sz w:val="20"/>
                <w:szCs w:val="20"/>
                <w:color w:val="auto"/>
              </w:rPr>
            </w:pPr>
            <w:r>
              <w:rPr>
                <w:rFonts w:ascii="Arial" w:cs="Arial" w:eastAsia="Arial" w:hAnsi="Arial"/>
                <w:sz w:val="14"/>
                <w:szCs w:val="14"/>
                <w:color w:val="auto"/>
              </w:rPr>
              <w:t>Pen-Link, Ltd. (d)</w:t>
            </w:r>
          </w:p>
        </w:tc>
        <w:tc>
          <w:tcPr>
            <w:tcW w:w="1720" w:type="dxa"/>
            <w:vAlign w:val="bottom"/>
          </w:tcPr>
          <w:p>
            <w:pPr>
              <w:ind w:left="220"/>
              <w:spacing w:after="0" w:line="130" w:lineRule="exact"/>
              <w:rPr>
                <w:sz w:val="20"/>
                <w:szCs w:val="20"/>
                <w:color w:val="auto"/>
              </w:rPr>
            </w:pPr>
            <w:r>
              <w:rPr>
                <w:rFonts w:ascii="Arial" w:cs="Arial" w:eastAsia="Arial" w:hAnsi="Arial"/>
                <w:sz w:val="14"/>
                <w:szCs w:val="14"/>
                <w:color w:val="auto"/>
              </w:rPr>
              <w:t>Software as a Service</w:t>
            </w:r>
          </w:p>
        </w:tc>
        <w:tc>
          <w:tcPr>
            <w:tcW w:w="3000" w:type="dxa"/>
            <w:vAlign w:val="bottom"/>
          </w:tcPr>
          <w:p>
            <w:pPr>
              <w:ind w:left="240"/>
              <w:spacing w:after="0" w:line="130" w:lineRule="exact"/>
              <w:rPr>
                <w:sz w:val="20"/>
                <w:szCs w:val="20"/>
                <w:color w:val="auto"/>
              </w:rPr>
            </w:pPr>
            <w:r>
              <w:rPr>
                <w:rFonts w:ascii="Arial" w:cs="Arial" w:eastAsia="Arial" w:hAnsi="Arial"/>
                <w:sz w:val="14"/>
                <w:szCs w:val="14"/>
                <w:color w:val="auto"/>
              </w:rPr>
              <w:t>Second Lien Term Loan 12.50% Cash,</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tcPr>
          <w:p>
            <w:pPr>
              <w:ind w:left="240"/>
              <w:spacing w:after="0"/>
              <w:rPr>
                <w:sz w:val="20"/>
                <w:szCs w:val="20"/>
                <w:color w:val="auto"/>
              </w:rPr>
            </w:pPr>
            <w:r>
              <w:rPr>
                <w:rFonts w:ascii="Arial" w:cs="Arial" w:eastAsia="Arial" w:hAnsi="Arial"/>
                <w:sz w:val="14"/>
                <w:szCs w:val="14"/>
                <w:color w:val="auto"/>
              </w:rPr>
              <w:t>5/26/2019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w w:val="91"/>
              </w:rPr>
              <w:t>10,500,000</w:t>
            </w:r>
          </w:p>
        </w:tc>
        <w:tc>
          <w:tcPr>
            <w:tcW w:w="780" w:type="dxa"/>
            <w:vAlign w:val="bottom"/>
          </w:tcPr>
          <w:p>
            <w:pPr>
              <w:jc w:val="right"/>
              <w:spacing w:after="0"/>
              <w:rPr>
                <w:sz w:val="20"/>
                <w:szCs w:val="20"/>
                <w:color w:val="auto"/>
              </w:rPr>
            </w:pPr>
            <w:r>
              <w:rPr>
                <w:rFonts w:ascii="Arial" w:cs="Arial" w:eastAsia="Arial" w:hAnsi="Arial"/>
                <w:sz w:val="14"/>
                <w:szCs w:val="14"/>
                <w:color w:val="auto"/>
              </w:rPr>
              <w:t>10,326,376</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10,500,000</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3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Software as a Service</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49,942,990</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50,362,044</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4"/>
                <w:szCs w:val="14"/>
                <w:color w:val="auto"/>
              </w:rPr>
              <w:t>Advanced Air &amp; Heat of Florida, LLC</w:t>
            </w:r>
          </w:p>
        </w:tc>
        <w:tc>
          <w:tcPr>
            <w:tcW w:w="1720" w:type="dxa"/>
            <w:vAlign w:val="bottom"/>
            <w:vMerge w:val="restart"/>
          </w:tcPr>
          <w:p>
            <w:pPr>
              <w:ind w:left="220"/>
              <w:spacing w:after="0"/>
              <w:rPr>
                <w:sz w:val="20"/>
                <w:szCs w:val="20"/>
                <w:color w:val="auto"/>
              </w:rPr>
            </w:pPr>
            <w:r>
              <w:rPr>
                <w:rFonts w:ascii="Arial" w:cs="Arial" w:eastAsia="Arial" w:hAnsi="Arial"/>
                <w:sz w:val="14"/>
                <w:szCs w:val="14"/>
                <w:color w:val="auto"/>
              </w:rPr>
              <w:t>Utilities</w:t>
            </w:r>
          </w:p>
        </w:tc>
        <w:tc>
          <w:tcPr>
            <w:tcW w:w="3000" w:type="dxa"/>
            <w:vAlign w:val="bottom"/>
            <w:vMerge w:val="restart"/>
          </w:tcPr>
          <w:p>
            <w:pPr>
              <w:ind w:left="240"/>
              <w:spacing w:after="0"/>
              <w:rPr>
                <w:sz w:val="20"/>
                <w:szCs w:val="20"/>
                <w:color w:val="auto"/>
              </w:rPr>
            </w:pPr>
            <w:r>
              <w:rPr>
                <w:rFonts w:ascii="Arial" w:cs="Arial" w:eastAsia="Arial" w:hAnsi="Arial"/>
                <w:sz w:val="14"/>
                <w:szCs w:val="14"/>
                <w:color w:val="auto"/>
                <w:w w:val="95"/>
              </w:rPr>
              <w:t>First Lien Term Loan 10.00% Cash, 1/31/2019</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5,955,441</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6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30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5,881,694</w:t>
            </w: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5,955,441</w:t>
            </w:r>
          </w:p>
        </w:tc>
        <w:tc>
          <w:tcPr>
            <w:tcW w:w="200" w:type="dxa"/>
            <w:vAlign w:val="bottom"/>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3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Utilities</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5,881,694</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5,955,441</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Sub Total Non-control/Non-affiliated investments</w:t>
            </w:r>
          </w:p>
        </w:tc>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60" w:type="dxa"/>
            <w:vAlign w:val="bottom"/>
            <w:gridSpan w:val="2"/>
            <w:vMerge w:val="continue"/>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w w:val="97"/>
              </w:rPr>
              <w:t>222,505,383</w:t>
            </w:r>
          </w:p>
        </w:tc>
        <w:tc>
          <w:tcPr>
            <w:tcW w:w="18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w w:val="97"/>
              </w:rPr>
              <w:t>223,506,589</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6"/>
              </w:rPr>
              <w:t>182.3%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- 13.9% (b)</w:t>
            </w:r>
          </w:p>
        </w:tc>
        <w:tc>
          <w:tcPr>
            <w:tcW w:w="17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w w:val="95"/>
              </w:rPr>
              <w:t>Saratoga Investment Corp. CLO 2013-1, Ltd. (a), (d), (e),</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Structured Finance</w:t>
            </w:r>
          </w:p>
        </w:tc>
        <w:tc>
          <w:tcPr>
            <w:tcW w:w="29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5"/>
              </w:rPr>
              <w:t>Other/Structured Finance Securities 14.32%,</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Securities</w:t>
            </w:r>
          </w:p>
        </w:tc>
        <w:tc>
          <w:tcPr>
            <w:tcW w:w="2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10/17/2023</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$30,000,000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15,953,001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17,031,146</w:t>
            </w: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 Total Control investments</w:t>
            </w:r>
          </w:p>
        </w:tc>
        <w:tc>
          <w:tcPr>
            <w:tcW w:w="1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15,953,001</w:t>
            </w:r>
          </w:p>
        </w:tc>
        <w:tc>
          <w:tcPr>
            <w:tcW w:w="1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17,031,146</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- 196.2% (b)</w:t>
            </w:r>
          </w:p>
        </w:tc>
        <w:tc>
          <w:tcPr>
            <w:tcW w:w="14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238,458,384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240,537,735</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0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non-qualifyng investment as defined under Section 55 (a) of the Investment Company Act of 1940, as amended. Non-qualifying assets represent 7.5% of the Company’s portfolio at fair value. As a BDC, the Company can only invest 30% of its portfolio in non-qualifying assets.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Percentages are based on net assets of $122,598,742, as of February 28, 2015.</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4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14.32% interest rate in the table above represents the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Purchases</w:t>
            </w:r>
          </w:p>
        </w:tc>
        <w:tc>
          <w:tcPr>
            <w:tcW w:w="3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Redemptions</w:t>
            </w:r>
          </w:p>
        </w:tc>
        <w:tc>
          <w:tcPr>
            <w:tcW w:w="38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Interest</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Management</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Net Realized</w:t>
            </w:r>
          </w:p>
        </w:tc>
        <w:tc>
          <w:tcPr>
            <w:tcW w:w="3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(cost)</w:t>
            </w:r>
          </w:p>
        </w:tc>
        <w:tc>
          <w:tcPr>
            <w:tcW w:w="3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fee income</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3"/>
              </w:rPr>
              <w:t>gains/(losses)</w:t>
            </w:r>
          </w:p>
        </w:tc>
        <w:tc>
          <w:tcPr>
            <w:tcW w:w="3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gains</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Saratoga</w:t>
            </w:r>
          </w:p>
        </w:tc>
        <w:tc>
          <w:tcPr>
            <w:tcW w:w="33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 Corp. CLO 2013-1, Ltd.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2,707,230</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1,520,205</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1,078,145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Non-income producing at February 28, 2015.</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Non-U.S. company. The principal place of business for Polar Holding Company, Ltd. is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an unfunded commitment as of February 28, 2015 (See note 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an analysis of the value of any unfunded loan commitments.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entire commitment was unfunded at February 28, 2015. As such, no interest is being earned on this investment.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May 31, 2015</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FROM OPERATIONS:</w:t>
            </w:r>
          </w:p>
        </w:tc>
        <w:tc>
          <w:tcPr>
            <w:tcW w:w="17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204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1,770,690</w:t>
            </w:r>
          </w:p>
        </w:tc>
        <w:tc>
          <w:tcPr>
            <w:tcW w:w="7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2,062,906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from investments</w:t>
            </w: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73,246</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5,540,969</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(384,697)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net assets from operations</w:t>
            </w:r>
          </w:p>
        </w:tc>
        <w:tc>
          <w:tcPr>
            <w:tcW w:w="17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7,384,905</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DECREASE FROM SHAREHOLDER DISTRIBUTIONS:</w:t>
            </w: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declared</w:t>
            </w: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(6,894,523)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700"/>
              <w:spacing w:after="0"/>
              <w:rPr>
                <w:sz w:val="20"/>
                <w:szCs w:val="20"/>
                <w:color w:val="auto"/>
              </w:rPr>
            </w:pPr>
            <w:r>
              <w:rPr>
                <w:rFonts w:ascii="Arial" w:cs="Arial" w:eastAsia="Arial" w:hAnsi="Arial"/>
                <w:sz w:val="18"/>
                <w:szCs w:val="18"/>
                <w:color w:val="auto"/>
                <w:w w:val="97"/>
              </w:rPr>
              <w:t>Net decrease in net assets from shareholder distributions</w:t>
            </w:r>
          </w:p>
        </w:tc>
        <w:tc>
          <w:tcPr>
            <w:tcW w:w="17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(6,894,523)</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CAPITAL SHARE TRANSACTIONS:</w:t>
            </w: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Stock dividend distribution</w:t>
            </w:r>
          </w:p>
        </w:tc>
        <w:tc>
          <w:tcPr>
            <w:tcW w:w="1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402,200</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7"/>
              </w:rPr>
              <w:t>Net increase in net assets from capital share transactions</w:t>
            </w: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402,200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700"/>
              <w:spacing w:after="0"/>
              <w:rPr>
                <w:sz w:val="20"/>
                <w:szCs w:val="20"/>
                <w:color w:val="auto"/>
              </w:rPr>
            </w:pPr>
            <w:r>
              <w:rPr>
                <w:rFonts w:ascii="Arial" w:cs="Arial" w:eastAsia="Arial" w:hAnsi="Arial"/>
                <w:sz w:val="18"/>
                <w:szCs w:val="18"/>
                <w:color w:val="auto"/>
              </w:rPr>
              <w:t>Total increase in net assets</w:t>
            </w:r>
          </w:p>
        </w:tc>
        <w:tc>
          <w:tcPr>
            <w:tcW w:w="17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892,582</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1,759,889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122,598,742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113,427,929</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Net assets at end of period</w:t>
            </w:r>
          </w:p>
        </w:tc>
        <w:tc>
          <w:tcPr>
            <w:tcW w:w="17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123,491,324</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115,187,818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20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22.75</w:t>
            </w:r>
          </w:p>
        </w:tc>
        <w:tc>
          <w:tcPr>
            <w:tcW w:w="7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Common shares outstanding at end of period</w:t>
            </w: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5,428,758</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5,379,616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20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(29,029,436)</w:t>
            </w:r>
          </w:p>
        </w:tc>
        <w:tc>
          <w:tcPr>
            <w:tcW w:w="7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(29,060,761)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60" w:type="dxa"/>
            <w:vAlign w:val="bottom"/>
            <w:gridSpan w:val="5"/>
          </w:tcPr>
          <w:p>
            <w:pPr>
              <w:jc w:val="center"/>
              <w:ind w:left="21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780" w:type="dxa"/>
            <w:vAlign w:val="bottom"/>
          </w:tcPr>
          <w:p>
            <w:pPr>
              <w:jc w:val="right"/>
              <w:ind w:right="109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May 31, 2015</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7,384,905</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1,759,889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INCREASE IN NET ASSETS FROM</w:t>
            </w: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TO NET CASH USED BY OPERATING ACTIVITIES:</w:t>
            </w: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Arial" w:cs="Arial" w:eastAsia="Arial" w:hAnsi="Arial"/>
                <w:sz w:val="18"/>
                <w:szCs w:val="18"/>
                <w:color w:val="auto"/>
              </w:rPr>
              <w:t>Paid-in-kind interest income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(597,336)</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(110,592)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on investments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(143,205)</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Arial" w:cs="Arial" w:eastAsia="Arial" w:hAnsi="Arial"/>
                <w:sz w:val="18"/>
                <w:szCs w:val="18"/>
                <w:color w:val="auto"/>
              </w:rPr>
              <w:t>Amortization of deferred debt financing costs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217,658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252,299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from investments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(73,246)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Arial" w:cs="Arial" w:eastAsia="Arial" w:hAnsi="Arial"/>
                <w:sz w:val="18"/>
                <w:szCs w:val="18"/>
                <w:color w:val="auto"/>
              </w:rPr>
              <w:t>Net unrealized (appreciation) depreciation on investments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(5,540,969)</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384,697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sale and redemption of investments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7,323,338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Arial" w:cs="Arial" w:eastAsia="Arial" w:hAnsi="Arial"/>
                <w:sz w:val="18"/>
                <w:szCs w:val="18"/>
                <w:color w:val="auto"/>
              </w:rPr>
              <w:t>Purchase of investments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(23,174,833)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(21,574,435)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operating assets: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60"/>
              <w:spacing w:after="0"/>
              <w:rPr>
                <w:sz w:val="20"/>
                <w:szCs w:val="20"/>
                <w:color w:val="auto"/>
              </w:rPr>
            </w:pPr>
            <w:r>
              <w:rPr>
                <w:rFonts w:ascii="Arial" w:cs="Arial" w:eastAsia="Arial" w:hAnsi="Arial"/>
                <w:sz w:val="18"/>
                <w:szCs w:val="18"/>
                <w:color w:val="auto"/>
              </w:rPr>
              <w:t>Cash and cash equivalents, reserve accounts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12,311,321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(6,432,500)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receivable</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(324,128)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60"/>
              <w:spacing w:after="0"/>
              <w:rPr>
                <w:sz w:val="20"/>
                <w:szCs w:val="20"/>
                <w:color w:val="auto"/>
              </w:rPr>
            </w:pPr>
            <w:r>
              <w:rPr>
                <w:rFonts w:ascii="Arial" w:cs="Arial" w:eastAsia="Arial" w:hAnsi="Arial"/>
                <w:sz w:val="18"/>
                <w:szCs w:val="18"/>
                <w:color w:val="auto"/>
              </w:rPr>
              <w:t>Management fee receivable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(2,614)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(16,770)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(4,847)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Arial" w:cs="Arial" w:eastAsia="Arial" w:hAnsi="Arial"/>
                <w:sz w:val="18"/>
                <w:szCs w:val="18"/>
                <w:color w:val="auto"/>
              </w:rPr>
              <w:t>Increase (decrease) in operating liabilities: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Management and incentive fees payable</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929,376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(159,806)</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and debt fees payable</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(492,838)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60"/>
              <w:spacing w:after="0"/>
              <w:rPr>
                <w:sz w:val="20"/>
                <w:szCs w:val="20"/>
                <w:color w:val="auto"/>
              </w:rPr>
            </w:pPr>
            <w:r>
              <w:rPr>
                <w:rFonts w:ascii="Arial" w:cs="Arial" w:eastAsia="Arial" w:hAnsi="Arial"/>
                <w:sz w:val="18"/>
                <w:szCs w:val="18"/>
                <w:color w:val="auto"/>
              </w:rPr>
              <w:t>Due to manager</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OPERATING ACTIVITIES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(2,337,224)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(18,650,847)</w:t>
            </w:r>
          </w:p>
        </w:tc>
        <w:tc>
          <w:tcPr>
            <w:tcW w:w="0" w:type="dxa"/>
            <w:vAlign w:val="bottom"/>
          </w:tcPr>
          <w:p>
            <w:pPr>
              <w:spacing w:after="0"/>
              <w:rPr>
                <w:sz w:val="1"/>
                <w:szCs w:val="1"/>
                <w:color w:val="auto"/>
              </w:rPr>
            </w:pPr>
          </w:p>
        </w:tc>
      </w:tr>
      <w:tr>
        <w:trPr>
          <w:trHeight w:val="291"/>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debt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3,200,000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Paydowns on debt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(1,000,000)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Debt financing cost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(152,773)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Payments of cash dividends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(899,034)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1,148,193</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18,331,060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3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(1,189,031)</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(319,787)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1,888,158</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3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699,127</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2,974,111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Interest paid during the period</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2,239,045</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1,750,155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information: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Paid-in-kind interest income</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597,336</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110,592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143,205</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217,658</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252,299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dividend distribution</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402,200</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May 31, 2015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Saratoga Investment Corp. (the “Company”, “we”, “our” and “us”) is a non-diversified closed end management investment company incorporated in Maryland that has elected to be treated and is regulated as a business development company (“BDC”) under the Investment Company Act of 1940 (the “1940 Act”). We commenced operations on March 23, 2007 as GSC Investment Corp. and completed our initial public offering (“IPO”) on March 28, 2007. We have elected to be treated as a regulated investment company (“RIC”) under subchapter M of the Internal Revenue Code (the “Code”). We expect to continue to qualify and to elect to be treated for tax purposes as a RIC. Our investment objective is to generate current income and, to a lesser extent, capital appreciation from our investments.</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GSC Investment, LLC (the “LLC”) was organized in May 2006 as a Maryland limited liability company. As of February 28, 2007, the LLC had not yet commenced its operations and investment activities.</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30, 2010, the Company changed its name from “GSC Investment Corp.” to “Saratoga Investment Corp.”.</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are externally managed and advised by our investment adviser, Saratoga Investment Advisors, LLC (the “Manager”), pursuant to the Management Agreement. Prior to July 30, 2010, we were managed and advised by GSCP (NJ), L.P.</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$75 million of additional SBA-guaranteed debentures in addition to the $150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accompanying consolidated financial statements have been prepared on the accrual basis of accounting in conformity with U.S. generally accepted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accounting principles (“U.S. GAAP”) and include the accounts of the Company and its special purpose financing subsidiary, Saratoga Investment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Funding, LLC (previously known as GSC Investment Funding LLC). All intercompany accounts and transactions have been eliminated in consolidation.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references made to the “Company,” “we,” and “us” herein include Saratoga Investment Corp. and its consolidated subsidiary, except as stated otherwise.</w:t>
      </w:r>
    </w:p>
    <w:p>
      <w:pPr>
        <w:spacing w:after="0" w:line="23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Company and SBIC are both considered to be investment companies for financial reporting purposes and have applied the guidance in Topic 946, “Financial Services — Investment Companies”. There have been no changes to the Company or SBIC’s status as investment companies during the three months ended May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8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own more than 3.0% of the total outstanding voting stock of the money market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hold securities in the money market fund having an aggregate value in excess of 5.0% of the value of our total assets; or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hold securities in money market funds and other registered investment companies and BDCs having an aggregate value in excess of 10.0% of the value of our total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Reserve Accounts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our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classifies its investments in accordance with the requirements of the 1940 Act. Under the 1940 Act, “Control Investments” are defined as investments in companies in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900" w:right="6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our Manager and preliminary valuation conclusions are documented and discussed with the senior management of our Manager; and</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each preliminary valuation and our Manager and independent valuation firm (if applicable) will supplement the preliminary valuation to reflect any comments provided by the audit committee; and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Manager, independent valuation firm (to the extent applicable) and the audit committee of our board of directors.</w:t>
      </w:r>
    </w:p>
    <w:p>
      <w:pPr>
        <w:spacing w:after="0" w:line="17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66"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We account for derivative financial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recognizing all derivative instruments as either assets or liabilities on the consolidated statements of assets and liabilities at fair value. The Company values derivative contracts at the closing fair value provided by the counterparty. Changes in the values of derivative contracts are included in the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 and Income Recognition</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income on our investment in Saratoga CLO is recorded using the effective interest method in accordance with the provisions of ASC</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(“ASC 325-40”), based on the anticipated yield and the estimated cash flows over the projected life of the investment. Yields are revised when there are changes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includes dividends received, origination fees, structuring fees and advisory fees, and is recorded in income when earned.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Paid-in-Kind Interest</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Financing Costs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Financing costs incurred in connection with our credit facility are deferred and amortized using the straight line method over the life of their respective facilities. Financing costs incurred in connection with our SBA debentures are deferred and amortized using the effective yield method over the life of the debentures.</w:t>
      </w:r>
    </w:p>
    <w:p>
      <w:pPr>
        <w:spacing w:after="0" w:line="18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April 2015, the FASB issued Accounting Standards Update (“ASU”) No. 2015-03, </w:t>
      </w:r>
      <w:r>
        <w:rPr>
          <w:rFonts w:ascii="Arial" w:cs="Arial" w:eastAsia="Arial" w:hAnsi="Arial"/>
          <w:sz w:val="16"/>
          <w:szCs w:val="16"/>
          <w:i w:val="1"/>
          <w:iCs w:val="1"/>
          <w:color w:val="auto"/>
        </w:rPr>
        <w:t>Interest—Imputation of Interest (Subtopic 835-30): Simplifying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Presentation of Debt Issuance Costs </w:t>
      </w:r>
      <w:r>
        <w:rPr>
          <w:rFonts w:ascii="Arial" w:cs="Arial" w:eastAsia="Arial" w:hAnsi="Arial"/>
          <w:sz w:val="16"/>
          <w:szCs w:val="16"/>
          <w:color w:val="auto"/>
        </w:rPr>
        <w:t>(“ASU 2015-03”). The amendments in this ASU require that debt issuance costs related to a recognized debt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be presented in the balance sheet as a direct deduction from the carrying amount of that debt liability, consistent with debt discounts. The recognition and measurement guidance for debt issuance costs are not affected by the amendments in this ASU. The guidance is effective for fiscal years, and interim periods within those fiscal years, beginning after December 15, 2015, and early adoption is allowed, and is to be applied on a retrospective basis. The Company has adopted the provisions of ASU 2015-03 as of February 28, 2015, by reclassifying deferred debt financing costs from within total assets to within total liabilities as a contra-liability. The adoption of the provisions of ASU 2015-03 did not materially impact the Company’s consolidated financial position or results of operations. Prior period amounts were reclassified to conform to the current period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has filed an election to be treated for tax purposes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During the fiscal year ended February 28, 2015, the Company did not incur any interest or penalties. Although we file federal and state tax returns, our major tax jurisdiction is federal. The 2012, 2013 and 2014 federal tax years for the Company remain subject to examination by the IRS. As of May 31, 2015 and May 31, 2014, there were no uncertain tax positions.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2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records an expense accrual on the consolidated statements of operations, relating to the capital gains incentive fee payable on the consolidated statements of assets and liabilities, by the Company to its investment adviser when the net realized and unrealized gain on its investments exceed all net realized and unrealized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net of realized and unrealized losses for the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Consolidation (ASC Topic 810): Amendments to the Consolidation Analysis</w:t>
      </w:r>
      <w:r>
        <w:rPr>
          <w:rFonts w:ascii="Arial" w:cs="Arial" w:eastAsia="Arial" w:hAnsi="Arial"/>
          <w:sz w:val="18"/>
          <w:szCs w:val="18"/>
          <w:color w:val="auto"/>
        </w:rPr>
        <w:t xml:space="preserve"> (“ASU 2015-02”). ASU 2015-02 significantly changes the consolidation analysis required under GAAP and ends the deferral granted to investment companies from applying the variable interest entity guidance. ASU 2015-02 is effective for interim and annual reporting periods in fiscal years that begin after December 15, 2015 and early adoption is permitted. Management is currently evaluating the impact these changes will have on the Company’s consolidated financial statements and disclosures.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is currently evaluating the impact of adopting this new accounting guidance update on the company’s consolidated financial statement.</w:t>
      </w:r>
    </w:p>
    <w:p>
      <w:pPr>
        <w:spacing w:after="0" w:line="16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w:t>
      </w:r>
      <w:r>
        <w:rPr>
          <w:rFonts w:ascii="Arial" w:cs="Arial" w:eastAsia="Arial" w:hAnsi="Arial"/>
          <w:sz w:val="18"/>
          <w:szCs w:val="18"/>
          <w:i w:val="1"/>
          <w:iCs w:val="1"/>
          <w:color w:val="auto"/>
        </w:rPr>
        <w:t>2014-09, 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 (Topic 606)</w:t>
      </w:r>
      <w:r>
        <w:rPr>
          <w:rFonts w:ascii="Arial" w:cs="Arial" w:eastAsia="Arial" w:hAnsi="Arial"/>
          <w:sz w:val="18"/>
          <w:szCs w:val="18"/>
          <w:color w:val="auto"/>
        </w:rPr>
        <w:t>, which supersedes the revenue recognition requirements in Revenue Recognition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(Topic 605). Under the new guidance, an entity 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The Company is currently evaluating the impact this ASU will have on its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130"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asset, assuming no additional corroborating evidence.</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of directors that is consistent with ASC 820 and the 1940 Act (see Note 2). Consistent with our Company’s valuation policy, we evaluate the source of inputs, including any markets in which our investments are trading, in determining fair value.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May 31, 2015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Fair Value Measurements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4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3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6"/>
              </w:rPr>
              <w:t>$ —</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First lien term loans</w:t>
            </w:r>
          </w:p>
        </w:tc>
        <w:tc>
          <w:tcPr>
            <w:tcW w:w="238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157,072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157,072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Unsecured notes</w:t>
            </w:r>
          </w:p>
        </w:tc>
        <w:tc>
          <w:tcPr>
            <w:tcW w:w="238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5,861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 interest</w:t>
            </w:r>
          </w:p>
        </w:tc>
        <w:tc>
          <w:tcPr>
            <w:tcW w:w="238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24,606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24,606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262,744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262,744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28, 2015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Fair Value Measurements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4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3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6"/>
              </w:rPr>
              <w:t>$ —</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First lien term loans</w:t>
            </w:r>
          </w:p>
        </w:tc>
        <w:tc>
          <w:tcPr>
            <w:tcW w:w="238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145,207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145,207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Unsecured notes</w:t>
            </w:r>
          </w:p>
        </w:tc>
        <w:tc>
          <w:tcPr>
            <w:tcW w:w="238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 interest</w:t>
            </w:r>
          </w:p>
        </w:tc>
        <w:tc>
          <w:tcPr>
            <w:tcW w:w="238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20,165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240,538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240,538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31, 2015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Syndicated</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Unsecured</w:t>
            </w:r>
          </w:p>
        </w:tc>
        <w:tc>
          <w:tcPr>
            <w:tcW w:w="1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lien</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finance</w:t>
            </w: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stock/</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loans</w:t>
            </w: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term loans</w:t>
            </w: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term loans</w:t>
            </w:r>
          </w:p>
        </w:tc>
        <w:tc>
          <w:tcPr>
            <w:tcW w:w="14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notes</w:t>
            </w:r>
          </w:p>
        </w:tc>
        <w:tc>
          <w:tcPr>
            <w:tcW w:w="14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equities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2015</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18,302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$145,207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$ 35,603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$20,165</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$240,538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unrealized gains (losses)</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29</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609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4,129</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17,941</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5,056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Sales and redemptions</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(6,174)</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Transfers in/out</w:t>
            </w:r>
          </w:p>
        </w:tc>
        <w:tc>
          <w:tcPr>
            <w:tcW w:w="1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(101)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8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May 31, 2015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17,794</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157,072</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$ 40,551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16,860</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24,606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262,744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net change in unrealized gain/(loss) for the three months ended May 31, 2015 on investments held as of May 31, 2015 is $5,493,439 and is included in net unrealized appreciation (depreciation) on investments in the consolidated statements of operations.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31, 2014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Syndicated</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Unsecured</w:t>
            </w:r>
          </w:p>
        </w:tc>
        <w:tc>
          <w:tcPr>
            <w:tcW w:w="1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16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lien</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finance</w:t>
            </w:r>
          </w:p>
        </w:tc>
        <w:tc>
          <w:tcPr>
            <w:tcW w:w="16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stock/</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2"/>
              </w:rPr>
              <w:t>loans</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term loans</w:t>
            </w: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term loans</w:t>
            </w:r>
          </w:p>
        </w:tc>
        <w:tc>
          <w:tcPr>
            <w:tcW w:w="14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notes</w:t>
            </w:r>
          </w:p>
        </w:tc>
        <w:tc>
          <w:tcPr>
            <w:tcW w:w="1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equities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32,390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$110,278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$ 27,804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19,570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$10,332</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$205,845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Net unrealized gains (losses)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(181)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549</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(209)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Sales and redemptions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(106)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(2,584)</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(6,000)</w:t>
            </w: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from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80" w:type="dxa"/>
            <w:vAlign w:val="bottom"/>
          </w:tcPr>
          <w:p>
            <w:pPr>
              <w:spacing w:after="0"/>
              <w:rPr>
                <w:sz w:val="20"/>
                <w:szCs w:val="20"/>
                <w:color w:val="auto"/>
              </w:rPr>
            </w:pPr>
            <w:r>
              <w:rPr>
                <w:rFonts w:ascii="Arial" w:cs="Arial" w:eastAsia="Arial" w:hAnsi="Arial"/>
                <w:sz w:val="18"/>
                <w:szCs w:val="18"/>
                <w:color w:val="auto"/>
              </w:rPr>
              <w:t>Balance as of May 31, 2014</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32,120</w:t>
            </w:r>
          </w:p>
        </w:tc>
        <w:tc>
          <w:tcPr>
            <w:tcW w:w="26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116,992</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$ 32,774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5,555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20,119</w:t>
            </w: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11,154</w:t>
            </w:r>
          </w:p>
        </w:tc>
        <w:tc>
          <w:tcPr>
            <w:tcW w:w="3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218,714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net change in unrealized gain/(loss) for the three months ended May 31, 2014 on investments held as of May 31, 2014 is ($319,092) and is included in net unrealized appreciation (depreciation) on investments in the consolidated statements of operations.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May 31, 2015 were as follows (dollars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ind w:left="220"/>
              <w:spacing w:after="0"/>
              <w:rPr>
                <w:sz w:val="20"/>
                <w:szCs w:val="20"/>
                <w:color w:val="auto"/>
              </w:rPr>
            </w:pPr>
            <w:r>
              <w:rPr>
                <w:rFonts w:ascii="Arial" w:cs="Arial" w:eastAsia="Arial" w:hAnsi="Arial"/>
                <w:sz w:val="14"/>
                <w:szCs w:val="14"/>
                <w:b w:val="1"/>
                <w:bCs w:val="1"/>
                <w:color w:val="auto"/>
              </w:rPr>
              <w:t>Valuation Technique</w:t>
            </w:r>
          </w:p>
        </w:tc>
        <w:tc>
          <w:tcPr>
            <w:tcW w:w="320" w:type="dxa"/>
            <w:vAlign w:val="bottom"/>
          </w:tcPr>
          <w:p>
            <w:pPr>
              <w:spacing w:after="0"/>
              <w:rPr>
                <w:sz w:val="14"/>
                <w:szCs w:val="14"/>
                <w:color w:val="auto"/>
              </w:rPr>
            </w:pPr>
          </w:p>
        </w:tc>
        <w:tc>
          <w:tcPr>
            <w:tcW w:w="2000" w:type="dxa"/>
            <w:vAlign w:val="bottom"/>
            <w:gridSpan w:val="2"/>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220" w:type="dxa"/>
            <w:vAlign w:val="bottom"/>
            <w:gridSpan w:val="2"/>
          </w:tcPr>
          <w:p>
            <w:pPr>
              <w:ind w:left="420"/>
              <w:spacing w:after="0"/>
              <w:rPr>
                <w:sz w:val="20"/>
                <w:szCs w:val="20"/>
                <w:color w:val="auto"/>
              </w:rPr>
            </w:pPr>
            <w:r>
              <w:rPr>
                <w:rFonts w:ascii="Arial" w:cs="Arial" w:eastAsia="Arial" w:hAnsi="Arial"/>
                <w:sz w:val="14"/>
                <w:szCs w:val="14"/>
                <w:b w:val="1"/>
                <w:bCs w:val="1"/>
                <w:color w:val="auto"/>
              </w:rPr>
              <w:t>Range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17,794</w:t>
            </w:r>
          </w:p>
        </w:tc>
        <w:tc>
          <w:tcPr>
            <w:tcW w:w="4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3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84.5% -100.4%</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First lien term loans</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157,072</w:t>
            </w:r>
          </w:p>
        </w:tc>
        <w:tc>
          <w:tcPr>
            <w:tcW w:w="1700" w:type="dxa"/>
            <w:vAlign w:val="bottom"/>
          </w:tcPr>
          <w:p>
            <w:pPr>
              <w:spacing w:after="0"/>
              <w:rPr>
                <w:sz w:val="20"/>
                <w:szCs w:val="20"/>
                <w:color w:val="auto"/>
              </w:rPr>
            </w:pPr>
            <w:r>
              <w:rPr>
                <w:rFonts w:ascii="Arial" w:cs="Arial" w:eastAsia="Arial" w:hAnsi="Arial"/>
                <w:sz w:val="18"/>
                <w:szCs w:val="18"/>
                <w:color w:val="auto"/>
              </w:rPr>
              <w:t>Market Comparables</w:t>
            </w:r>
          </w:p>
        </w:tc>
        <w:tc>
          <w:tcPr>
            <w:tcW w:w="2320" w:type="dxa"/>
            <w:vAlign w:val="bottom"/>
            <w:gridSpan w:val="3"/>
          </w:tcPr>
          <w:p>
            <w:pPr>
              <w:ind w:left="320"/>
              <w:spacing w:after="0"/>
              <w:rPr>
                <w:sz w:val="20"/>
                <w:szCs w:val="20"/>
                <w:color w:val="auto"/>
              </w:rPr>
            </w:pPr>
            <w:r>
              <w:rPr>
                <w:rFonts w:ascii="Arial" w:cs="Arial" w:eastAsia="Arial" w:hAnsi="Arial"/>
                <w:sz w:val="18"/>
                <w:szCs w:val="18"/>
                <w:color w:val="auto"/>
              </w:rPr>
              <w:t>Market Yield (%)</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0"/>
              </w:rPr>
              <w:t>6.2% – 15.5%</w:t>
            </w:r>
          </w:p>
        </w:tc>
      </w:tr>
      <w:tr>
        <w:trPr>
          <w:trHeight w:val="216"/>
        </w:trPr>
        <w:tc>
          <w:tcPr>
            <w:tcW w:w="4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EBITDA Multiples (x)</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0.1x – 3.0x</w:t>
            </w:r>
          </w:p>
        </w:tc>
      </w:tr>
      <w:tr>
        <w:trPr>
          <w:trHeight w:val="216"/>
        </w:trPr>
        <w:tc>
          <w:tcPr>
            <w:tcW w:w="4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20" w:type="dxa"/>
            <w:vAlign w:val="bottom"/>
            <w:gridSpan w:val="3"/>
          </w:tcPr>
          <w:p>
            <w:pPr>
              <w:ind w:left="320"/>
              <w:spacing w:after="0"/>
              <w:rPr>
                <w:sz w:val="20"/>
                <w:szCs w:val="20"/>
                <w:color w:val="auto"/>
              </w:rPr>
            </w:pPr>
            <w:r>
              <w:rPr>
                <w:rFonts w:ascii="Arial" w:cs="Arial" w:eastAsia="Arial" w:hAnsi="Arial"/>
                <w:sz w:val="18"/>
                <w:szCs w:val="18"/>
                <w:color w:val="auto"/>
              </w:rPr>
              <w:t>Third-Party Bid</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81.5%</w:t>
            </w:r>
          </w:p>
        </w:tc>
        <w:tc>
          <w:tcPr>
            <w:tcW w:w="700" w:type="dxa"/>
            <w:vAlign w:val="bottom"/>
          </w:tcPr>
          <w:p>
            <w:pPr>
              <w:ind w:left="20"/>
              <w:spacing w:after="0"/>
              <w:rPr>
                <w:sz w:val="20"/>
                <w:szCs w:val="20"/>
                <w:color w:val="auto"/>
              </w:rPr>
            </w:pPr>
            <w:r>
              <w:rPr>
                <w:rFonts w:ascii="Arial" w:cs="Arial" w:eastAsia="Arial" w:hAnsi="Arial"/>
                <w:sz w:val="18"/>
                <w:szCs w:val="18"/>
                <w:color w:val="auto"/>
                <w:w w:val="91"/>
              </w:rPr>
              <w:t>- 105.0%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40,551</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Market Yield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- 16.9%</w:t>
            </w:r>
          </w:p>
        </w:tc>
      </w:tr>
      <w:tr>
        <w:trPr>
          <w:trHeight w:val="216"/>
        </w:trPr>
        <w:tc>
          <w:tcPr>
            <w:tcW w:w="4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20" w:type="dxa"/>
            <w:vAlign w:val="bottom"/>
            <w:gridSpan w:val="3"/>
          </w:tcPr>
          <w:p>
            <w:pPr>
              <w:ind w:left="320"/>
              <w:spacing w:after="0"/>
              <w:rPr>
                <w:sz w:val="20"/>
                <w:szCs w:val="20"/>
                <w:color w:val="auto"/>
              </w:rPr>
            </w:pPr>
            <w:r>
              <w:rPr>
                <w:rFonts w:ascii="Arial" w:cs="Arial" w:eastAsia="Arial" w:hAnsi="Arial"/>
                <w:sz w:val="18"/>
                <w:szCs w:val="18"/>
                <w:color w:val="auto"/>
              </w:rPr>
              <w:t>Third-Party Bid</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99.5%</w:t>
            </w:r>
          </w:p>
        </w:tc>
        <w:tc>
          <w:tcPr>
            <w:tcW w:w="700" w:type="dxa"/>
            <w:vAlign w:val="bottom"/>
          </w:tcPr>
          <w:p>
            <w:pPr>
              <w:ind w:left="20"/>
              <w:spacing w:after="0"/>
              <w:rPr>
                <w:sz w:val="20"/>
                <w:szCs w:val="20"/>
                <w:color w:val="auto"/>
              </w:rPr>
            </w:pPr>
            <w:r>
              <w:rPr>
                <w:rFonts w:ascii="Arial" w:cs="Arial" w:eastAsia="Arial" w:hAnsi="Arial"/>
                <w:sz w:val="18"/>
                <w:szCs w:val="18"/>
                <w:color w:val="auto"/>
                <w:w w:val="91"/>
              </w:rPr>
              <w:t>- 100.0%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5,861</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Market Yield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- 13.2%</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16,860</w:t>
            </w:r>
          </w:p>
        </w:tc>
        <w:tc>
          <w:tcPr>
            <w:tcW w:w="1700" w:type="dxa"/>
            <w:vAlign w:val="bottom"/>
          </w:tcPr>
          <w:p>
            <w:pPr>
              <w:spacing w:after="0"/>
              <w:rPr>
                <w:sz w:val="20"/>
                <w:szCs w:val="20"/>
                <w:color w:val="auto"/>
              </w:rPr>
            </w:pPr>
            <w:r>
              <w:rPr>
                <w:rFonts w:ascii="Arial" w:cs="Arial" w:eastAsia="Arial" w:hAnsi="Arial"/>
                <w:sz w:val="18"/>
                <w:szCs w:val="18"/>
                <w:color w:val="auto"/>
                <w:w w:val="93"/>
              </w:rPr>
              <w:t>Discounted Cash Flow</w:t>
            </w:r>
          </w:p>
        </w:tc>
        <w:tc>
          <w:tcPr>
            <w:tcW w:w="2320" w:type="dxa"/>
            <w:vAlign w:val="bottom"/>
            <w:gridSpan w:val="3"/>
          </w:tcPr>
          <w:p>
            <w:pPr>
              <w:ind w:left="320"/>
              <w:spacing w:after="0"/>
              <w:rPr>
                <w:sz w:val="20"/>
                <w:szCs w:val="20"/>
                <w:color w:val="auto"/>
              </w:rPr>
            </w:pPr>
            <w:r>
              <w:rPr>
                <w:rFonts w:ascii="Arial" w:cs="Arial" w:eastAsia="Arial" w:hAnsi="Arial"/>
                <w:sz w:val="18"/>
                <w:szCs w:val="18"/>
                <w:color w:val="auto"/>
              </w:rPr>
              <w:t>Discount Rate (%)</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0"/>
              </w:rPr>
              <w:t>11.0%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24,606</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EBITDA Multiples (x)</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5.0x – 11.0x</w:t>
            </w:r>
          </w:p>
        </w:tc>
      </w:tr>
    </w:tbl>
    <w:p>
      <w:pPr>
        <w:spacing w:after="0" w:line="20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28, 2015 were as follows (dollars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198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Valuation Technique</w:t>
            </w:r>
          </w:p>
        </w:tc>
        <w:tc>
          <w:tcPr>
            <w:tcW w:w="19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Unobservable Input</w:t>
            </w:r>
          </w:p>
        </w:tc>
        <w:tc>
          <w:tcPr>
            <w:tcW w:w="1180" w:type="dxa"/>
            <w:vAlign w:val="bottom"/>
            <w:gridSpan w:val="2"/>
          </w:tcPr>
          <w:p>
            <w:pPr>
              <w:ind w:left="400"/>
              <w:spacing w:after="0"/>
              <w:rPr>
                <w:sz w:val="20"/>
                <w:szCs w:val="20"/>
                <w:color w:val="auto"/>
              </w:rPr>
            </w:pPr>
            <w:r>
              <w:rPr>
                <w:rFonts w:ascii="Arial" w:cs="Arial" w:eastAsia="Arial" w:hAnsi="Arial"/>
                <w:sz w:val="14"/>
                <w:szCs w:val="14"/>
                <w:b w:val="1"/>
                <w:bCs w:val="1"/>
                <w:color w:val="auto"/>
              </w:rPr>
              <w:t>Range</w:t>
            </w: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Market Comparables</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3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93.6% -100.4%</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First lien term loans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145,207</w:t>
            </w:r>
          </w:p>
        </w:tc>
        <w:tc>
          <w:tcPr>
            <w:tcW w:w="2280" w:type="dxa"/>
            <w:vAlign w:val="bottom"/>
            <w:gridSpan w:val="3"/>
          </w:tcPr>
          <w:p>
            <w:pPr>
              <w:ind w:left="300"/>
              <w:spacing w:after="0"/>
              <w:rPr>
                <w:sz w:val="20"/>
                <w:szCs w:val="20"/>
                <w:color w:val="auto"/>
              </w:rPr>
            </w:pPr>
            <w:r>
              <w:rPr>
                <w:rFonts w:ascii="Arial" w:cs="Arial" w:eastAsia="Arial" w:hAnsi="Arial"/>
                <w:sz w:val="18"/>
                <w:szCs w:val="18"/>
                <w:color w:val="auto"/>
              </w:rPr>
              <w:t>Market Comparables</w:t>
            </w:r>
          </w:p>
        </w:tc>
        <w:tc>
          <w:tcPr>
            <w:tcW w:w="1980" w:type="dxa"/>
            <w:vAlign w:val="bottom"/>
            <w:gridSpan w:val="2"/>
          </w:tcPr>
          <w:p>
            <w:pPr>
              <w:spacing w:after="0"/>
              <w:rPr>
                <w:sz w:val="20"/>
                <w:szCs w:val="20"/>
                <w:color w:val="auto"/>
              </w:rPr>
            </w:pPr>
            <w:r>
              <w:rPr>
                <w:rFonts w:ascii="Arial" w:cs="Arial" w:eastAsia="Arial" w:hAnsi="Arial"/>
                <w:sz w:val="18"/>
                <w:szCs w:val="18"/>
                <w:color w:val="auto"/>
              </w:rPr>
              <w:t>Market Yield (%)</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680" w:type="dxa"/>
            <w:vAlign w:val="bottom"/>
          </w:tcPr>
          <w:p>
            <w:pPr>
              <w:ind w:left="20"/>
              <w:spacing w:after="0"/>
              <w:rPr>
                <w:sz w:val="20"/>
                <w:szCs w:val="20"/>
                <w:color w:val="auto"/>
              </w:rPr>
            </w:pPr>
            <w:r>
              <w:rPr>
                <w:rFonts w:ascii="Arial" w:cs="Arial" w:eastAsia="Arial" w:hAnsi="Arial"/>
                <w:sz w:val="18"/>
                <w:szCs w:val="18"/>
                <w:color w:val="auto"/>
              </w:rPr>
              <w:t>- 17.7%</w:t>
            </w:r>
          </w:p>
        </w:tc>
      </w:tr>
      <w:tr>
        <w:trPr>
          <w:trHeight w:val="216"/>
        </w:trPr>
        <w:tc>
          <w:tcPr>
            <w:tcW w:w="4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3.0x</w:t>
            </w:r>
          </w:p>
        </w:tc>
      </w:tr>
      <w:tr>
        <w:trPr>
          <w:trHeight w:val="216"/>
        </w:trPr>
        <w:tc>
          <w:tcPr>
            <w:tcW w:w="4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Third-Party Bid</w:t>
            </w:r>
          </w:p>
        </w:tc>
        <w:tc>
          <w:tcPr>
            <w:tcW w:w="500" w:type="dxa"/>
            <w:vAlign w:val="bottom"/>
          </w:tcPr>
          <w:p>
            <w:pPr>
              <w:jc w:val="right"/>
              <w:spacing w:after="0"/>
              <w:rPr>
                <w:sz w:val="20"/>
                <w:szCs w:val="20"/>
                <w:color w:val="auto"/>
              </w:rPr>
            </w:pPr>
            <w:r>
              <w:rPr>
                <w:rFonts w:ascii="Arial" w:cs="Arial" w:eastAsia="Arial" w:hAnsi="Arial"/>
                <w:sz w:val="18"/>
                <w:szCs w:val="18"/>
                <w:color w:val="auto"/>
              </w:rPr>
              <w:t>79.3</w:t>
            </w:r>
          </w:p>
        </w:tc>
        <w:tc>
          <w:tcPr>
            <w:tcW w:w="680" w:type="dxa"/>
            <w:vAlign w:val="bottom"/>
          </w:tcPr>
          <w:p>
            <w:pPr>
              <w:ind w:left="20"/>
              <w:spacing w:after="0"/>
              <w:rPr>
                <w:sz w:val="20"/>
                <w:szCs w:val="20"/>
                <w:color w:val="auto"/>
              </w:rPr>
            </w:pPr>
            <w:r>
              <w:rPr>
                <w:rFonts w:ascii="Arial" w:cs="Arial" w:eastAsia="Arial" w:hAnsi="Arial"/>
                <w:sz w:val="18"/>
                <w:szCs w:val="18"/>
                <w:color w:val="auto"/>
              </w:rPr>
              <w:t>- 105.0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35,603</w:t>
            </w: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Market Comparables</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- 15.0%</w:t>
            </w:r>
          </w:p>
        </w:tc>
      </w:tr>
      <w:tr>
        <w:trPr>
          <w:trHeight w:val="216"/>
        </w:trPr>
        <w:tc>
          <w:tcPr>
            <w:tcW w:w="4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Third-Party Bid</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1"/>
              </w:rPr>
              <w:t>98.3% - 98.3%</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4,230</w:t>
            </w: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Market Comparables</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13.2% - 20.3%</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17,031</w:t>
            </w:r>
          </w:p>
        </w:tc>
        <w:tc>
          <w:tcPr>
            <w:tcW w:w="2280" w:type="dxa"/>
            <w:vAlign w:val="bottom"/>
            <w:gridSpan w:val="3"/>
          </w:tcPr>
          <w:p>
            <w:pPr>
              <w:ind w:left="300"/>
              <w:spacing w:after="0"/>
              <w:rPr>
                <w:sz w:val="20"/>
                <w:szCs w:val="20"/>
                <w:color w:val="auto"/>
              </w:rPr>
            </w:pPr>
            <w:r>
              <w:rPr>
                <w:rFonts w:ascii="Arial" w:cs="Arial" w:eastAsia="Arial" w:hAnsi="Arial"/>
                <w:sz w:val="18"/>
                <w:szCs w:val="18"/>
                <w:color w:val="auto"/>
              </w:rPr>
              <w:t>Discounted Cash Flow</w:t>
            </w:r>
          </w:p>
        </w:tc>
        <w:tc>
          <w:tcPr>
            <w:tcW w:w="1980" w:type="dxa"/>
            <w:vAlign w:val="bottom"/>
            <w:gridSpan w:val="2"/>
          </w:tcPr>
          <w:p>
            <w:pPr>
              <w:spacing w:after="0"/>
              <w:rPr>
                <w:sz w:val="20"/>
                <w:szCs w:val="20"/>
                <w:color w:val="auto"/>
              </w:rPr>
            </w:pPr>
            <w:r>
              <w:rPr>
                <w:rFonts w:ascii="Arial" w:cs="Arial" w:eastAsia="Arial" w:hAnsi="Arial"/>
                <w:sz w:val="18"/>
                <w:szCs w:val="18"/>
                <w:color w:val="auto"/>
              </w:rPr>
              <w:t>Discount Rate (%)</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12.0%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20,165</w:t>
            </w: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Market Comparables</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5.0x</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- 12.1x</w:t>
            </w:r>
          </w:p>
        </w:tc>
      </w:tr>
      <w:tr>
        <w:trPr>
          <w:trHeight w:val="365"/>
        </w:trPr>
        <w:tc>
          <w:tcPr>
            <w:tcW w:w="4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89"/>
              </w:rPr>
              <w:t>20</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investments as of May 31, 2015, at amortized cost and fair value were as follows (dollars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8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w w:val="93"/>
              </w:rPr>
              <w:t>Investments at</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Amortized Cost</w:t>
            </w:r>
          </w:p>
        </w:tc>
        <w:tc>
          <w:tcPr>
            <w:tcW w:w="32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3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0"/>
              </w:rPr>
              <w:t>Amortized Cost</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Total Portfolio</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Fair Value</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72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17,794</w:t>
            </w:r>
          </w:p>
        </w:tc>
        <w:tc>
          <w:tcPr>
            <w:tcW w:w="4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First lien term loans</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156,795</w:t>
            </w:r>
          </w:p>
        </w:tc>
        <w:tc>
          <w:tcPr>
            <w:tcW w:w="7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61.4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157,072</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40,718</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40,551</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Unsecured notes</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7,962</w:t>
            </w:r>
          </w:p>
        </w:tc>
        <w:tc>
          <w:tcPr>
            <w:tcW w:w="7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5,861</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15,173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16,860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Equity interest</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16,086</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24,606</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255,124</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262,744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investments as of February 28, 2015, at amortized cost and fair value were as follows (dollars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8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w w:val="93"/>
              </w:rPr>
              <w:t>Investments at</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Amortized Cost</w:t>
            </w:r>
          </w:p>
        </w:tc>
        <w:tc>
          <w:tcPr>
            <w:tcW w:w="32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3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0"/>
              </w:rPr>
              <w:t>Amortized Cost</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Total Portfolio</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Fair Value</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18,658</w:t>
            </w:r>
          </w:p>
        </w:tc>
        <w:tc>
          <w:tcPr>
            <w:tcW w:w="72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4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First lien term loans</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144,959</w:t>
            </w:r>
          </w:p>
        </w:tc>
        <w:tc>
          <w:tcPr>
            <w:tcW w:w="7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145,207</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35,748</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35,603</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Unsecured notes</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7,366</w:t>
            </w:r>
          </w:p>
        </w:tc>
        <w:tc>
          <w:tcPr>
            <w:tcW w:w="7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4,230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15,953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17,031</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Equity interest</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15,774</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20,165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238,458</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240,538</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equity securities of portfolio companies and partnership interests,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 investments may be based on, among other things: valuations of comparable public companies, recent sales of private and public comparable companies, discounting the forecasted cash flows of the portfolio company, third party valuations of the portfolio company, considering offers from third parties to buy the company, estimating the value to potential strategic buyers and considering 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9" w:lineRule="auto"/>
        <w:rPr>
          <w:sz w:val="20"/>
          <w:szCs w:val="20"/>
          <w:color w:val="auto"/>
        </w:rPr>
      </w:pPr>
      <w:r>
        <w:rPr>
          <w:rFonts w:ascii="Arial" w:cs="Arial" w:eastAsia="Arial" w:hAnsi="Arial"/>
          <w:sz w:val="17"/>
          <w:szCs w:val="17"/>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For the quarter ended November 30, 2013, in connection with the refinancing of the Saratoga CLO liabilities, we ran Intex models based on assumptions about the refinanced Saratoga CLO’s structure, including capital structure, cost of liabilities and reinvestment period. We use the output from the Intex models (i.e., the estimated cash flows) to perform a discounted cash flows analysis on expected future cash flows to determine a valuation for our investment in Saratoga CLO at May 31, 2015. The significant inputs for the valuation model include:</w:t>
      </w:r>
    </w:p>
    <w:p>
      <w:pPr>
        <w:spacing w:after="0" w:line="88"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rates: 2.0%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Recovery rates: 35-75%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Prepayment rate: 25.0%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Reinvestment rate / price: L+375bps / $99.75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Saratoga Investment Corp. CLO 2013-1, Ltd. (“Saratoga CLO”)</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January 22, 2008, we invested $30 million in all of the outstanding subordinated notes of GSC Investment Corp. CLO 2007, Ltd., a collateralized loan obligation fund managed by us that invests primarily in senior secured loans. Additionally, we entered into a collateral management agreement with GSC Investment Corp. CLO 2007, Ltd. pursuant to which we act as collateral manager to it. The Saratoga CLO was refinanced in October 2013 and its reinvestment period ends in October 2016. The Saratoga CLO remains 100% owned and managed by Saratoga Investment Corp. We receive a base management fee of 0.25% and a subordinated management fee of 0.25% of the Fee Basis Amount at the beginning of the Collection Period, paid quarterly to the extent of available proceeds. We are also entitled to an incentive management fee equal to 20.0% of the remaining interest proceeds and principal proceeds, if any, after the subordinated notes have realized the incentive management fee target return of 12.0%, in accordance with the Priority of Payments after making the prior distributions on the relevant payment date. For the three months ended May 31, 2015 and May 31, 2014, we accrued $0.4 million and $0.4 million in management fee income, respectively, and $0.6 million and $0.6 million in interest income, respectively, from Saratoga CLO. We did not accrue any amounts related to the incentive management fee as the 12.0% hurdle rate has not yet been achieved.</w:t>
      </w:r>
    </w:p>
    <w:p>
      <w:pPr>
        <w:spacing w:after="0" w:line="16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May 31, 2015, the Company determined that the fair value of its investment in the subordinated notes of Saratoga CLO was $16.9 million. The Company determines the fair value of its investment in the subordinated notes of Saratoga CLO based on the present value of the projected future cash flows of the subordinated notes over the life of Saratoga CLO. At May 31, 2015, Saratoga CLO had investments with a principal balance of $306.6 million and a weighted average spread over LIBOR of 4.2%, and had debt with a principal balance of $282.4 million with a weighted average spread over LIBOR of 1.8%. As a result, Saratoga CLO earns a “spread” between the interest income it receives on its investments and the interest expense it pays on its debt and other operating expenses, which is distributed quarterly to the Company as the holder of its subordinated notes. At May 31, 2015, the total “spread”, or projected future cash flows of the subordinated notes, over the life of Saratoga CLO was $17.1 million, which had a present value of approximately $16.9 million, using an 11.0% discount rate.</w:t>
      </w:r>
    </w:p>
    <w:p>
      <w:pPr>
        <w:spacing w:after="0" w:line="19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Below is certain financial information from the separate unaudited financial statements of Saratoga CLO as of May 31, 2015 and February 28, 2015 and for the three months ended May 31, 2015 and May 31,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8"/>
              <w:spacing w:after="0" w:line="142" w:lineRule="exact"/>
              <w:rPr>
                <w:sz w:val="20"/>
                <w:szCs w:val="20"/>
                <w:color w:val="auto"/>
              </w:rPr>
            </w:pPr>
            <w:r>
              <w:rPr>
                <w:rFonts w:ascii="Arial" w:cs="Arial" w:eastAsia="Arial" w:hAnsi="Arial"/>
                <w:sz w:val="14"/>
                <w:szCs w:val="14"/>
                <w:color w:val="auto"/>
                <w:w w:val="91"/>
              </w:rPr>
              <w:t>May 31, 2015</w:t>
            </w:r>
          </w:p>
        </w:tc>
        <w:tc>
          <w:tcPr>
            <w:tcW w:w="12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color w:val="auto"/>
                <w:w w:val="92"/>
              </w:rPr>
              <w:t>February 28,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Loans (amortized cost of $304,723,108, and $295,193,588, respectively)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304,192,066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294,621,817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6"/>
              </w:rPr>
              <w:t>Fair Value Other/Structured finance securities (amortized cost of $2,566,752 and $2,566,752, respectively)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490,890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investments at fair value (amortized cost of $307,289,860 and $297,760,340, respectively)</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304,682,956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295,239,268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2,565,671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5,831,797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open trades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745,005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1,361,040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309,354,672</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304,481,389</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644,098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Payable from open trades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9,759,881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5,214,331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Accrued base management fee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87,263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Accrued subordinated management fee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87,263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Class A-1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170,000,000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Discount on Class A-1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(1,451,425)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(1,495,802)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Class A-2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7"/>
              </w:rPr>
              <w:t>20,000,000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Discount on Class A-2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(150,450)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Class B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7"/>
              </w:rPr>
              <w:t>44,800,000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Discount on Class B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(977,323)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(1,007,205)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Class C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7"/>
              </w:rPr>
              <w:t>16,000,000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Discount on Class C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(608,487)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(627,091)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Class D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7"/>
              </w:rPr>
              <w:t>14,000,000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Discount on Class D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(789,863)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(814,013)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Class E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7"/>
              </w:rPr>
              <w:t>13,100,000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Discount on Class E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(1,489,121)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(1,534,650)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Class F Notes - SIC CLO 2013-1, Ltd.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Discount on Class F Notes - SIC CLO 2013-1, Ltd.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(541,620)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(558,180)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SIC CLO 2013-1, Ltd.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(1,885,333)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(1,941,595)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Subordinated Notes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w w:val="97"/>
              </w:rPr>
              <w:t>30,000,000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315,084,883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310,284,545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w w:val="93"/>
              </w:rPr>
              <w:t>Ordinary equity, par value $1.00, 250 ordinary shares authorized, 250 and 250 issued and outstanding, respectively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250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(5,803,406)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gain/(loss)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72,945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(2,459,918)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(5,730,211)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(5,803,156)</w:t>
            </w: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Total liabilities and net assets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309,354,672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304,481,389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ind w:left="56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May 31, 2015</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1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166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3,512,587</w:t>
            </w:r>
          </w:p>
        </w:tc>
        <w:tc>
          <w:tcPr>
            <w:tcW w:w="56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3,157,518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Other income</w:t>
            </w:r>
          </w:p>
        </w:tc>
        <w:tc>
          <w:tcPr>
            <w:tcW w:w="1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164,115</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 income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3,676,992</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3,256,717</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EXPENSES</w:t>
            </w:r>
          </w:p>
        </w:tc>
        <w:tc>
          <w:tcPr>
            <w:tcW w:w="1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2,846,636</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2,126,984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Professional fees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59,222</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70,218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 expense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4,925</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23,133</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Base management fee</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189,373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196,017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Subordinated management fee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189,373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196,017</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Trustee expenses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31,284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26,615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239,963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239,963</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14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3,560,776</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2,878,947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116,216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377,770</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REALIZED AND UNREALIZED GAIN (LOSS) ON INVESTMENTS:</w:t>
            </w:r>
          </w:p>
        </w:tc>
        <w:tc>
          <w:tcPr>
            <w:tcW w:w="1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42,561</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380,619</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right"/>
              <w:ind w:right="500"/>
              <w:spacing w:after="0"/>
              <w:rPr>
                <w:sz w:val="20"/>
                <w:szCs w:val="20"/>
                <w:color w:val="auto"/>
              </w:rPr>
            </w:pPr>
            <w:r>
              <w:rPr>
                <w:rFonts w:ascii="Arial" w:cs="Arial" w:eastAsia="Arial" w:hAnsi="Arial"/>
                <w:sz w:val="18"/>
                <w:szCs w:val="18"/>
                <w:color w:val="auto"/>
              </w:rPr>
              <w:t>(85,832)</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(1,453,349)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on investments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(43,271)</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(1,072,730)</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w w:val="97"/>
              </w:rPr>
              <w:t>NET INCREASE (DECREASE) IN NET ASSETS RESULTING FROM</w:t>
            </w:r>
          </w:p>
        </w:tc>
        <w:tc>
          <w:tcPr>
            <w:tcW w:w="1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66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72,945</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(694,960)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0" w:type="dxa"/>
            <w:vAlign w:val="bottom"/>
            <w:vMerge w:val="restart"/>
          </w:tcPr>
          <w:p>
            <w:pPr>
              <w:jc w:val="right"/>
              <w:ind w:right="970"/>
              <w:spacing w:after="0"/>
              <w:rPr>
                <w:sz w:val="20"/>
                <w:szCs w:val="20"/>
                <w:color w:val="auto"/>
              </w:rPr>
            </w:pPr>
            <w:r>
              <w:rPr>
                <w:rFonts w:ascii="Arial" w:cs="Arial" w:eastAsia="Arial" w:hAnsi="Arial"/>
                <w:sz w:val="18"/>
                <w:szCs w:val="18"/>
                <w:color w:val="auto"/>
              </w:rPr>
              <w:t>24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31,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780" w:type="dxa"/>
            <w:vAlign w:val="bottom"/>
            <w:gridSpan w:val="2"/>
            <w:vMerge w:val="restart"/>
          </w:tcPr>
          <w:p>
            <w:pPr>
              <w:jc w:val="right"/>
              <w:ind w:right="218"/>
              <w:spacing w:after="0"/>
              <w:rPr>
                <w:sz w:val="20"/>
                <w:szCs w:val="20"/>
                <w:color w:val="auto"/>
              </w:rPr>
            </w:pPr>
            <w:r>
              <w:rPr>
                <w:rFonts w:ascii="Arial" w:cs="Arial" w:eastAsia="Arial" w:hAnsi="Arial"/>
                <w:sz w:val="14"/>
                <w:szCs w:val="14"/>
                <w:b w:val="1"/>
                <w:bCs w:val="1"/>
                <w:color w:val="auto"/>
                <w:w w:val="94"/>
              </w:rPr>
              <w:t>Current</w:t>
            </w: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1"/>
              </w:rPr>
              <w:t>Issuer Name</w:t>
            </w:r>
          </w:p>
        </w:tc>
        <w:tc>
          <w:tcPr>
            <w:tcW w:w="138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2"/>
                <w:szCs w:val="12"/>
                <w:color w:val="auto"/>
              </w:rPr>
            </w:pPr>
          </w:p>
        </w:tc>
        <w:tc>
          <w:tcPr>
            <w:tcW w:w="21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Asset Name</w:t>
            </w:r>
          </w:p>
        </w:tc>
        <w:tc>
          <w:tcPr>
            <w:tcW w:w="100" w:type="dxa"/>
            <w:vAlign w:val="bottom"/>
            <w:vMerge w:val="restart"/>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3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Type</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Rate</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of Shares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Education Management II LLC</w:t>
            </w:r>
          </w:p>
        </w:tc>
        <w:tc>
          <w:tcPr>
            <w:tcW w:w="6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Leisure Goods/Activities/Movies</w:t>
            </w: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A-1 Preferred Shares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2"/>
              </w:rPr>
              <w:t>Equity</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0.00</w:t>
            </w: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74"/>
              </w:rPr>
              <w:t>%</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669,214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301,140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Education Management II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A-2 Preferred Shares</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Equity</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18,975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1,897,538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189,750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 Hour Holdings III LLC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5/28/2021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496,250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491,913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Acosta Holdco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Media</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B1</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9/27/2021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1,990,000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1,975,220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1,992,806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Aderant North America,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12/20/2018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3,260,898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3,260,898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3,260,898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Aspen Dental Management,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Initial</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4/27/2022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497,525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504,375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Advantage Sales &amp; Marketing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Delayed Draw 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7/25/2021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2,490,000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2,486,539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2,485,344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AECOM Technology Corporation</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10/15/2021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319,103</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317,635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320,900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0"/>
              </w:rPr>
              <w:t>Aegis Toxicology Science Corporation</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992,500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967,687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Akorn,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4/16/2021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497,500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495,530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498,276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Albertson’s LLC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B-4</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8/25/2021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3,410,000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3,390,923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3,427,971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w w:val="94"/>
              </w:rPr>
              <w:t>Alere Inc. (fka IM US Holdings,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Incremental B-1 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6/30/2017</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1,524,604</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1,524,604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1,526,830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Alvogen Pharma US,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497,572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502,915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American Tire Distributors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Automotive</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496,487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495,668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501,040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Food Products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LC-2 Facility</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3.74%</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7/26/2016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79,187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79,177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Food Products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LC-3 Facility</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3.74%</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7/26/2016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43,961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43,961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Food Products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U.S. Term F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3,174,472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3,174,472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3,170,504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ARG IH Corp</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Food Services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11/15/2020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483,163</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482,308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484,975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American Beacon Advisors,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4/30/2022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248,759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252,812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Asurion, LLC (fka Asurion</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Insurance</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w w:val="96"/>
              </w:rPr>
              <w:t>Incremental Tranche B-1 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5/24/2019</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5,397,939</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5,358,755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5,414,834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Corporation)</w:t>
            </w: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Avantor Performance Materials</w:t>
            </w:r>
          </w:p>
        </w:tc>
        <w:tc>
          <w:tcPr>
            <w:tcW w:w="23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Chemicals/Plastics</w:t>
            </w:r>
          </w:p>
        </w:tc>
        <w:tc>
          <w:tcPr>
            <w:tcW w:w="230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38"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6/24/2017</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w w:val="83"/>
              </w:rPr>
              <w:t>3,913,710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3,905,683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3,913,710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Holdings, Inc.</w:t>
            </w:r>
          </w:p>
        </w:tc>
        <w:tc>
          <w:tcPr>
            <w:tcW w:w="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Avast Software</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3/20/2020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1,898,425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1,911,077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AZ Chem US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6/12/2021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460,274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458,212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460,274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Bass Pro Group,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New 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11/20/2019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492,348</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491,947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492,348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Bass Pro Group, LLC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11/20/2019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1,007,652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1,005,133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1,007,652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Bayonne Energy Center</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Oil &amp; Gas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8/19/2021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533,481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531,096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536,148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Belmond Interfin Ltd.</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492,889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494,381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Berry Plastics Corporation</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E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1,814,499</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1,802,988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1,814,499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Biomet,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Dollar Term B-2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3.65%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7/25/2017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1,840,718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1,840,718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1,838,325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BJ’s Wholesale Club, Inc.</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Food/Drug Retailers</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w w:val="95"/>
              </w:rPr>
              <w:t>New 2013 (November) Replacement</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9/26/2019</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1,486,212</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1,485,225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1,489,304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30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Loan (First Lien)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Blue Coat Systems</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Technology</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5/19/2022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997,500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BMC Software</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Technology</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9/10/2020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1,994,950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1,933,227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1,948,407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9"/>
              </w:rPr>
              <w:t>Bombardier Recreational Products</w:t>
            </w:r>
          </w:p>
        </w:tc>
        <w:tc>
          <w:tcPr>
            <w:tcW w:w="23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38"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1/30/2019</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754,286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750,526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753,516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Brickman Group Holdings,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Brokers/Dealers/Investment Houses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Initial 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12/18/2020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1,487,481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1,475,540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1,484,699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Brock Holdings III,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3/16/2017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1,933,169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1,945,346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1,921,087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6"/>
              </w:rPr>
              <w:t>Burlington Coat Factory Warehouse</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Retailers (Except Food and Drugs)</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B-2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8/13/2021</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1,861,667</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1,853,261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1,865,800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Corporation</w:t>
            </w: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BWAY Holding Company</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8/14/2020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992,500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983,770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995,805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Caesars Entertainment Corp.</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B-7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9.75%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1/28/2018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989,683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900,167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1"/>
              </w:rPr>
              <w:t>Camp International Holding Company</w:t>
            </w:r>
          </w:p>
        </w:tc>
        <w:tc>
          <w:tcPr>
            <w:tcW w:w="23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Aerospace and Defense</w:t>
            </w:r>
          </w:p>
        </w:tc>
        <w:tc>
          <w:tcPr>
            <w:tcW w:w="230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w w:val="96"/>
              </w:rPr>
              <w:t>2013 Replacement Term Loan (First</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38"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5/31/2019</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w w:val="83"/>
              </w:rPr>
              <w:t>1,955,057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1,960,381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1,958,107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230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Lien)</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Capital Automotive L.P.</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Conglomerate</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Tranche B-1 Term Loan Facility</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4/10/2019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2,073,747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2,077,935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2,081,523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Catalent Pharma Solutions,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Drugs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Initial 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5/20/2021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496,250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494,094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497,804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Celanese US Holdings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Dollar Term C-2 Commitment</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2.49%</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10/31/2018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2,149,147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2,173,337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2,156,905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Cengage Learning Acquisitions,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Publishing</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2,724,987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2,753,442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2,730,328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5"/>
              </w:rPr>
              <w:t>Charter Communications Operating,</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Cable and Satellite Television</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F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3.00%</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1"/>
              </w:rPr>
              <w:t>12/31/2020</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2,649,005</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2,640,702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2,632,078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LLC</w:t>
            </w: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0"/>
              </w:rPr>
              <w:t>CHS/Community Health Systems,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F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12/31/2018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1,097,819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1,077,865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1,099,653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w w:val="90"/>
              </w:rPr>
              <w:t>CHS/Community Health Systems,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G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12/31/2019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1,027,707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1,000,275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1,029,568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0"/>
              </w:rPr>
              <w:t>CHS/Community Health Systems,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H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1/27/2021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1,890,955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1,840,450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1,894,377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Cinedigm Digital Funding I,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2/28/2018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490,397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487,081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490,397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CITGO Petroleum Corporation</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Oil &amp; Gas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7/29/2021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991,770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997,070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ClubCorp Club Operations,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7/24/2020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496,250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501,125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Communications Sales &amp; Leasing,</w:t>
            </w:r>
          </w:p>
        </w:tc>
        <w:tc>
          <w:tcPr>
            <w:tcW w:w="23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Telecommunications</w:t>
            </w:r>
          </w:p>
        </w:tc>
        <w:tc>
          <w:tcPr>
            <w:tcW w:w="230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38"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w w:val="91"/>
              </w:rPr>
              <w:t>10/24/2022</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w w:val="83"/>
              </w:rPr>
              <w:t>2,000,000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1,987,560</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1,990,500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CommScope,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5/27/2022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498,750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500,625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Concordia Healthcare Corp</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4/21/2022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248,764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CPI International Acquisition, Inc.</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Electronics/Electric</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B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1"/>
              </w:rPr>
              <w:t>11/17/2017</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3,586,275</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3,586,275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3,568,344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(f/k/a Catalyst Holdings, Inc.)</w:t>
            </w: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Crosby US Acquisition Corp.</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Initial 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11/23/2020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740,625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739,888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700,816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Crown Castle Operating Company</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Telecommunications/Cellular</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Extended Incremental Tranche B-2</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3.00%</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1/31/2021</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2,429,443</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2,427,500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2,424,536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30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Term Loan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2"/>
              </w:rPr>
              <w:t>CT Technologies Intermediate Hldgs,</w:t>
            </w:r>
          </w:p>
        </w:tc>
        <w:tc>
          <w:tcPr>
            <w:tcW w:w="23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38" w:lineRule="exact"/>
              <w:rPr>
                <w:sz w:val="20"/>
                <w:szCs w:val="20"/>
                <w:color w:val="auto"/>
              </w:rPr>
            </w:pPr>
            <w:r>
              <w:rPr>
                <w:rFonts w:ascii="Arial" w:cs="Arial" w:eastAsia="Arial" w:hAnsi="Arial"/>
                <w:sz w:val="14"/>
                <w:szCs w:val="14"/>
                <w:color w:val="auto"/>
              </w:rPr>
              <w:t>6.00%</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12/1/2021</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w w:val="83"/>
              </w:rPr>
              <w:t>1,496,250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1,482,153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1,499,362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Conglomerate</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Dollar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12/19/2017</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777,637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738,020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764,029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Conglomerate</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Dollar Loan (Second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9.50%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6/19/2018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783,162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742,154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744,333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Cumulus Media Holdings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Broadcast Radio and Television</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12/23/2020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470,093</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466,256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445,413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1"/>
              </w:rPr>
              <w:t>Custom Sensors &amp; Technologies,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9/30/2021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496,476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4"/>
              </w:rPr>
              <w:t>DaVita HealthCare Partners Inc. (fka</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Tranche B 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3.50%</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6/24/2021</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496,250</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494,065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496,994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DaVita Inc.)</w:t>
            </w: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3,231,044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3,210,653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3,191,432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Dealertrack Technologies,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3.25%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2/26/2021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477,011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476,070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476,214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Dell International LLC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4/29/2020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2,926,941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2,915,287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2,928,170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Delos Finance SARL</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3.50%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497,909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Delta 2 (Lux) S.a.r.l.</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B-3</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7/30/2021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995,563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999,310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2"/>
              </w:rPr>
              <w:t>Deluxe Entertainment Service Group,</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2/28/2020</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1,882,982</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1,884,624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1,835,908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Inc.</w:t>
            </w: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Devix US,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247,779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Devix US,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(Second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8.00%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496,250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494,151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497,024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926,971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922,892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926,971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DJO Finance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497,921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500,750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Dollar Tree Stores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Retail</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 (3950MM)</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1,009,030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DPX Holdings B.V.</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2015 Incr Dollar</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3/11/2021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2,977,500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2,971,293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2,959,814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Drew Marine Group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11/19/2020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1,472,161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1,477,822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1,469,408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Education Management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A</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501,970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482,966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422,910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Education Management LLC</w:t>
            </w: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Leisure Goods/Activities/Movies</w:t>
            </w:r>
          </w:p>
        </w:tc>
        <w:tc>
          <w:tcPr>
            <w:tcW w:w="23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7/2/2020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850,514</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820,457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634,696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78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25" w:name="page26"/>
    <w:bookmarkEnd w:id="2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(2.00%</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49"/>
        </w:trPr>
        <w:tc>
          <w:tcPr>
            <w:tcW w:w="21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Cash/</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9"/>
        </w:trPr>
        <w:tc>
          <w:tcPr>
            <w:tcW w:w="21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73"/>
        </w:trPr>
        <w:tc>
          <w:tcPr>
            <w:tcW w:w="21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PIK)</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w w:val="92"/>
              </w:rPr>
              <w:t>Emerald Performance Materials,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495,276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498,122</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Emerald Performance Materials,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(Second Lien)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497,728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498,440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w w:val="92"/>
              </w:rPr>
              <w:t>Emerald Performance Materials,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B1A</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7/30/2021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990,354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988,330</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EnergySolutions,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Oil &amp; Gas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5/29/2020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937,857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921,782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941,374</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Evergreen Acqco 1 LP</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New 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7/9/2019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972,562</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970,551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948,248</w:t>
            </w: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EWT Holdings III Corp. (fka WTG</w:t>
            </w:r>
          </w:p>
        </w:tc>
        <w:tc>
          <w:tcPr>
            <w:tcW w:w="22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Industrial Equipment</w:t>
            </w:r>
          </w:p>
        </w:tc>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Term Loan (First Lien)</w:t>
            </w:r>
          </w:p>
        </w:tc>
        <w:tc>
          <w:tcPr>
            <w:tcW w:w="5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1/15/2021</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w w:val="83"/>
              </w:rPr>
              <w:t>1,982,462</w:t>
            </w:r>
          </w:p>
        </w:tc>
        <w:tc>
          <w:tcPr>
            <w:tcW w:w="9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1,977,634</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1,979,984</w:t>
            </w: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Holdings III Corp.)</w:t>
            </w:r>
          </w:p>
        </w:tc>
        <w:tc>
          <w:tcPr>
            <w:tcW w:w="22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Federal-Mogul Corporation</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Automotive</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Tranche C 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4/15/2021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2,977,500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2,964,818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2,966,811</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 Data Corporation</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1"/>
              </w:rPr>
              <w:t>2017 Second New Dollar Term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3.74%</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3/23/2018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2,790,451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2,734,063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2,788,944</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First Data Corporation</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2018 Dollar 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4.24%</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3/24/2021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2,111,028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2,024,645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2,116,833</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Fitness International,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1,488,750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1,479,155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1,455,253</w:t>
            </w: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8"/>
              </w:rPr>
              <w:t>FMG Resources (August 2006) Pty</w:t>
            </w:r>
          </w:p>
        </w:tc>
        <w:tc>
          <w:tcPr>
            <w:tcW w:w="2240" w:type="dxa"/>
            <w:vAlign w:val="bottom"/>
          </w:tcPr>
          <w:p>
            <w:pPr>
              <w:ind w:left="60"/>
              <w:spacing w:after="0" w:line="138" w:lineRule="exact"/>
              <w:rPr>
                <w:sz w:val="20"/>
                <w:szCs w:val="20"/>
                <w:color w:val="auto"/>
              </w:rPr>
            </w:pPr>
            <w:r>
              <w:rPr>
                <w:rFonts w:ascii="Arial" w:cs="Arial" w:eastAsia="Arial" w:hAnsi="Arial"/>
                <w:sz w:val="14"/>
                <w:szCs w:val="14"/>
                <w:color w:val="auto"/>
              </w:rPr>
              <w:t>Nonferrous Metals/Minerals</w:t>
            </w:r>
          </w:p>
        </w:tc>
        <w:tc>
          <w:tcPr>
            <w:tcW w:w="2320" w:type="dxa"/>
            <w:vAlign w:val="bottom"/>
          </w:tcPr>
          <w:p>
            <w:pPr>
              <w:ind w:left="220"/>
              <w:spacing w:after="0" w:line="138" w:lineRule="exact"/>
              <w:rPr>
                <w:sz w:val="20"/>
                <w:szCs w:val="20"/>
                <w:color w:val="auto"/>
              </w:rPr>
            </w:pPr>
            <w:r>
              <w:rPr>
                <w:rFonts w:ascii="Arial" w:cs="Arial" w:eastAsia="Arial" w:hAnsi="Arial"/>
                <w:sz w:val="14"/>
                <w:szCs w:val="14"/>
                <w:color w:val="auto"/>
              </w:rPr>
              <w:t>Loan</w:t>
            </w:r>
          </w:p>
        </w:tc>
        <w:tc>
          <w:tcPr>
            <w:tcW w:w="540" w:type="dxa"/>
            <w:vAlign w:val="bottom"/>
          </w:tcPr>
          <w:p>
            <w:pPr>
              <w:ind w:left="100"/>
              <w:spacing w:after="0" w:line="138"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38"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6/28/2019</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38" w:lineRule="exact"/>
              <w:rPr>
                <w:sz w:val="20"/>
                <w:szCs w:val="20"/>
                <w:color w:val="auto"/>
              </w:rPr>
            </w:pPr>
            <w:r>
              <w:rPr>
                <w:rFonts w:ascii="Arial" w:cs="Arial" w:eastAsia="Arial" w:hAnsi="Arial"/>
                <w:sz w:val="14"/>
                <w:szCs w:val="14"/>
                <w:color w:val="auto"/>
                <w:w w:val="83"/>
              </w:rPr>
              <w:t>1,977,443</w:t>
            </w:r>
          </w:p>
        </w:tc>
        <w:tc>
          <w:tcPr>
            <w:tcW w:w="92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1,977,366</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1,790,199</w:t>
            </w: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w w:val="95"/>
              </w:rPr>
              <w:t>LTD (FMG America Finance, Inc.)</w:t>
            </w:r>
          </w:p>
        </w:tc>
        <w:tc>
          <w:tcPr>
            <w:tcW w:w="2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Four Seasons Holdings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6/27/2020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489,865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489,865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490,271</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B Delayed Draw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11/6/2020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200,648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199,825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199,896</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B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11/6/2020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784,352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781,392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781,411</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Gardner Denver,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Oil &amp; Gas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Initial Dollar 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2,469,943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2,461,740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2,412,690</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Gates Global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492,525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494,888</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Generac Power Systems,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693,858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683,135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690,680</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Amended Tranche B Term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3/4/2019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4,720,142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4,706,492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4,667,041</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Global Tel*Link Corporation</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5/26/2020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2,747,966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2,740,001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2,706,746</w:t>
            </w: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Goodyear Tire &amp; Rubber Company,</w:t>
            </w:r>
          </w:p>
        </w:tc>
        <w:tc>
          <w:tcPr>
            <w:tcW w:w="22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Chemicals/Plastics</w:t>
            </w:r>
          </w:p>
        </w:tc>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Loan (Second Lien)</w:t>
            </w:r>
          </w:p>
        </w:tc>
        <w:tc>
          <w:tcPr>
            <w:tcW w:w="5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4/30/2019</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w w:val="83"/>
              </w:rPr>
              <w:t>3,333,333</w:t>
            </w:r>
          </w:p>
        </w:tc>
        <w:tc>
          <w:tcPr>
            <w:tcW w:w="9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3,298,766</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3,355,000</w:t>
            </w: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The</w:t>
            </w:r>
          </w:p>
        </w:tc>
        <w:tc>
          <w:tcPr>
            <w:tcW w:w="22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rPr>
              <w:t>Grosvenor Capital Management</w:t>
            </w:r>
          </w:p>
        </w:tc>
        <w:tc>
          <w:tcPr>
            <w:tcW w:w="2240" w:type="dxa"/>
            <w:vAlign w:val="bottom"/>
          </w:tcPr>
          <w:p>
            <w:pPr>
              <w:ind w:left="60"/>
              <w:spacing w:after="0" w:line="138" w:lineRule="exact"/>
              <w:rPr>
                <w:sz w:val="20"/>
                <w:szCs w:val="20"/>
                <w:color w:val="auto"/>
              </w:rPr>
            </w:pPr>
            <w:r>
              <w:rPr>
                <w:rFonts w:ascii="Arial" w:cs="Arial" w:eastAsia="Arial" w:hAnsi="Arial"/>
                <w:sz w:val="14"/>
                <w:szCs w:val="14"/>
                <w:color w:val="auto"/>
                <w:w w:val="96"/>
              </w:rPr>
              <w:t>Brokers/Dealers/Investment Houses</w:t>
            </w:r>
          </w:p>
        </w:tc>
        <w:tc>
          <w:tcPr>
            <w:tcW w:w="2320" w:type="dxa"/>
            <w:vAlign w:val="bottom"/>
          </w:tcPr>
          <w:p>
            <w:pPr>
              <w:ind w:left="220"/>
              <w:spacing w:after="0" w:line="138" w:lineRule="exact"/>
              <w:rPr>
                <w:sz w:val="20"/>
                <w:szCs w:val="20"/>
                <w:color w:val="auto"/>
              </w:rPr>
            </w:pPr>
            <w:r>
              <w:rPr>
                <w:rFonts w:ascii="Arial" w:cs="Arial" w:eastAsia="Arial" w:hAnsi="Arial"/>
                <w:sz w:val="14"/>
                <w:szCs w:val="14"/>
                <w:color w:val="auto"/>
              </w:rPr>
              <w:t>Initial Term Loan</w:t>
            </w:r>
          </w:p>
        </w:tc>
        <w:tc>
          <w:tcPr>
            <w:tcW w:w="540" w:type="dxa"/>
            <w:vAlign w:val="bottom"/>
          </w:tcPr>
          <w:p>
            <w:pPr>
              <w:ind w:left="100"/>
              <w:spacing w:after="0" w:line="138"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38"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1/4/2021</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38" w:lineRule="exact"/>
              <w:rPr>
                <w:sz w:val="20"/>
                <w:szCs w:val="20"/>
                <w:color w:val="auto"/>
              </w:rPr>
            </w:pPr>
            <w:r>
              <w:rPr>
                <w:rFonts w:ascii="Arial" w:cs="Arial" w:eastAsia="Arial" w:hAnsi="Arial"/>
                <w:sz w:val="14"/>
                <w:szCs w:val="14"/>
                <w:color w:val="auto"/>
                <w:w w:val="83"/>
              </w:rPr>
              <w:t>3,395,892</w:t>
            </w:r>
          </w:p>
        </w:tc>
        <w:tc>
          <w:tcPr>
            <w:tcW w:w="92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3,381,806</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3,381,052</w:t>
            </w: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Holdings, LP</w:t>
            </w:r>
          </w:p>
        </w:tc>
        <w:tc>
          <w:tcPr>
            <w:tcW w:w="2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GTCR Valor Companies,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1,989,995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1,950,196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1,987,508</w:t>
            </w: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8"/>
              </w:rPr>
              <w:t>Harland Clarke Holdings Corp. (fka</w:t>
            </w:r>
          </w:p>
        </w:tc>
        <w:tc>
          <w:tcPr>
            <w:tcW w:w="2240" w:type="dxa"/>
            <w:vAlign w:val="bottom"/>
          </w:tcPr>
          <w:p>
            <w:pPr>
              <w:ind w:left="60"/>
              <w:spacing w:after="0" w:line="138" w:lineRule="exact"/>
              <w:rPr>
                <w:sz w:val="20"/>
                <w:szCs w:val="20"/>
                <w:color w:val="auto"/>
              </w:rPr>
            </w:pPr>
            <w:r>
              <w:rPr>
                <w:rFonts w:ascii="Arial" w:cs="Arial" w:eastAsia="Arial" w:hAnsi="Arial"/>
                <w:sz w:val="14"/>
                <w:szCs w:val="14"/>
                <w:color w:val="auto"/>
              </w:rPr>
              <w:t>Publishing</w:t>
            </w:r>
          </w:p>
        </w:tc>
        <w:tc>
          <w:tcPr>
            <w:tcW w:w="2320" w:type="dxa"/>
            <w:vAlign w:val="bottom"/>
          </w:tcPr>
          <w:p>
            <w:pPr>
              <w:ind w:left="220"/>
              <w:spacing w:after="0" w:line="138" w:lineRule="exact"/>
              <w:rPr>
                <w:sz w:val="20"/>
                <w:szCs w:val="20"/>
                <w:color w:val="auto"/>
              </w:rPr>
            </w:pPr>
            <w:r>
              <w:rPr>
                <w:rFonts w:ascii="Arial" w:cs="Arial" w:eastAsia="Arial" w:hAnsi="Arial"/>
                <w:sz w:val="14"/>
                <w:szCs w:val="14"/>
                <w:color w:val="auto"/>
              </w:rPr>
              <w:t>Tranche B-4 Term Loan</w:t>
            </w:r>
          </w:p>
        </w:tc>
        <w:tc>
          <w:tcPr>
            <w:tcW w:w="540" w:type="dxa"/>
            <w:vAlign w:val="bottom"/>
          </w:tcPr>
          <w:p>
            <w:pPr>
              <w:ind w:left="100"/>
              <w:spacing w:after="0" w:line="138"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38"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8/2/2019</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484,375</w:t>
            </w:r>
          </w:p>
        </w:tc>
        <w:tc>
          <w:tcPr>
            <w:tcW w:w="92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482,452</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485,184</w:t>
            </w: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Clarke American Corp.)</w:t>
            </w:r>
          </w:p>
        </w:tc>
        <w:tc>
          <w:tcPr>
            <w:tcW w:w="2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HCA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Tranche B-4 Term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2.99%</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5,648,670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5,415,004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5,648,105</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Headwaters Incorporated</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Building &amp; Development</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3/24/2022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248,764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250,625</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Hertz Corporation, The</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Automotive</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Tranche B-1 Term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3/12/2018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2,932,500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2,964,832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2,933,556</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Hoffmaster Group,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Containers/Glass Products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1,985,000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1,968,036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1,994,925</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Huntsman International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Extended Term B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2.69%</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4/19/2017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3,840,541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3,813,492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3,840,541</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w w:val="91"/>
              </w:rPr>
              <w:t>Husky Injection Molding Systems Ltd.</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6/30/2021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491,797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489,720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492,761</w:t>
            </w: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Infor (US), Inc. (fka Lawson Software</w:t>
            </w:r>
          </w:p>
        </w:tc>
        <w:tc>
          <w:tcPr>
            <w:tcW w:w="22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Tranche B-5 Term Loan</w:t>
            </w:r>
          </w:p>
        </w:tc>
        <w:tc>
          <w:tcPr>
            <w:tcW w:w="5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6/3/2020</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w w:val="83"/>
              </w:rPr>
              <w:t>2,205,351</w:t>
            </w:r>
          </w:p>
        </w:tc>
        <w:tc>
          <w:tcPr>
            <w:tcW w:w="9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2,189,132</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2,195,361</w:t>
            </w: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22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Insight Global</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10/29/2021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1,994,898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1,986,758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1,998,229</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 Crew Group,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6"/>
              </w:rPr>
              <w:t>Term B-1 Loan Retired 03/05/2014</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3/5/2021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962,775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962,775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872,188</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Jazz Acquisition,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First Lien 6/14</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6/19/2021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496,364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495,123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492,641</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J.Jill Group,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995,018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1,001,250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Kinetic Concepts,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Dollar Term D-1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5/4/2018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2,471,356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2,449,511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2,486,802</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Koosharem,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5/15/2020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2,987,513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2,962,552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2,970,095</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La Quinta Holdings,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4/14/2021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434,717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433,214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435,586</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Level 3 Financing,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B2</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496,648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499,688</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Mauser Holdings,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Containers/Glass Products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495,281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497,813</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Michaels Stores,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B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490,186</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Michaels Stores,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B-2</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1,488,750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1,482,222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1,493,469</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Microsemi Corporation</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Incremental Term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2,122,318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2,118,346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2,124,313</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Midas Intermediate Holdco II,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Automotive</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Delayed Draw 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25,190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25,190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25,324</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Midas Intermediate Holdco II,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Automotive</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8/18/2021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223,560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222,539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224,747</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Millenium Laboratories,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Drugs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4/16/2021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1,488,750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1,475,773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1,001,929</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MPH Acquisition Holdings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431,818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430,910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430,739</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MSC Software Corp.</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984,127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985,056</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National CineMedia,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(2013)</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2.95%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11/26/2019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1,086,207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1,060,272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1,072,238</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w w:val="98"/>
              </w:rPr>
              <w:t>National Veterinary Associates,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8/14/2021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995,006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991,489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995,832</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National Vision,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(Second Lien)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250,000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249,731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243,125</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Newsday,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Publishing</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3.69%</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10/12/2016</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2,215,385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2,214,480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2,209,846</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Nortek,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B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10/30/2020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980,651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988,778</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Novelis,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Conglomerate</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Initial 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3/10/2017</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4,795,033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4,803,880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4,790,142</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Novelis,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Conglomerate</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3/10/2017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4,795,033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4,771,058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4,790,142</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NPC International,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(2013)</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12/28/2018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485,000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480,756</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NRG Energy,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Utilities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(2013)</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7/2/2018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3,851,400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3,833,925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3,825,095</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NuSil Technology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4/7/2017</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795,751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795,751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790,284</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Ollie’s Bargain Outlet,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9/30/2019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974,527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970,576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969,654</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On Assignment,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Initial Term B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5/15/2020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1,311,364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1,303,800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1,310,957</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Onex Carestream Finance LP</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 2013)</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6/7/2019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3,996,811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3,982,808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3,993,054</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OnexYork Acquisition Co</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Delayed Draw 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48,537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48,182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48,294</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OnexYork Acquisition Co</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448,963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445,914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446,719</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OpenLink International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B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10/28/2017</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2,967,500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2,965,974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2,952,663</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Orbitz Worldwide,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4/15/2021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1,408,613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1,406,579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1,409,500</w:t>
            </w: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3"/>
              </w:rPr>
              <w:t>P.F. Chang’s China Bistro, Inc. (Wok</w:t>
            </w:r>
          </w:p>
        </w:tc>
        <w:tc>
          <w:tcPr>
            <w:tcW w:w="2240" w:type="dxa"/>
            <w:vAlign w:val="bottom"/>
          </w:tcPr>
          <w:p>
            <w:pPr>
              <w:ind w:left="60"/>
              <w:spacing w:after="0" w:line="138" w:lineRule="exact"/>
              <w:rPr>
                <w:sz w:val="20"/>
                <w:szCs w:val="20"/>
                <w:color w:val="auto"/>
              </w:rPr>
            </w:pPr>
            <w:r>
              <w:rPr>
                <w:rFonts w:ascii="Arial" w:cs="Arial" w:eastAsia="Arial" w:hAnsi="Arial"/>
                <w:sz w:val="14"/>
                <w:szCs w:val="14"/>
                <w:color w:val="auto"/>
              </w:rPr>
              <w:t>Food/Drug Retailers</w:t>
            </w:r>
          </w:p>
        </w:tc>
        <w:tc>
          <w:tcPr>
            <w:tcW w:w="2320" w:type="dxa"/>
            <w:vAlign w:val="bottom"/>
          </w:tcPr>
          <w:p>
            <w:pPr>
              <w:ind w:left="220"/>
              <w:spacing w:after="0" w:line="138" w:lineRule="exact"/>
              <w:rPr>
                <w:sz w:val="20"/>
                <w:szCs w:val="20"/>
                <w:color w:val="auto"/>
              </w:rPr>
            </w:pPr>
            <w:r>
              <w:rPr>
                <w:rFonts w:ascii="Arial" w:cs="Arial" w:eastAsia="Arial" w:hAnsi="Arial"/>
                <w:sz w:val="14"/>
                <w:szCs w:val="14"/>
                <w:color w:val="auto"/>
              </w:rPr>
              <w:t>Term Borrowing</w:t>
            </w:r>
          </w:p>
        </w:tc>
        <w:tc>
          <w:tcPr>
            <w:tcW w:w="540" w:type="dxa"/>
            <w:vAlign w:val="bottom"/>
          </w:tcPr>
          <w:p>
            <w:pPr>
              <w:ind w:left="100"/>
              <w:spacing w:after="0" w:line="138"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38"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6/24/2019</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38" w:lineRule="exact"/>
              <w:rPr>
                <w:sz w:val="20"/>
                <w:szCs w:val="20"/>
                <w:color w:val="auto"/>
              </w:rPr>
            </w:pPr>
            <w:r>
              <w:rPr>
                <w:rFonts w:ascii="Arial" w:cs="Arial" w:eastAsia="Arial" w:hAnsi="Arial"/>
                <w:sz w:val="14"/>
                <w:szCs w:val="14"/>
                <w:color w:val="auto"/>
                <w:w w:val="83"/>
              </w:rPr>
              <w:t>1,444,113</w:t>
            </w:r>
          </w:p>
        </w:tc>
        <w:tc>
          <w:tcPr>
            <w:tcW w:w="92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1,437,299</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1,427,867</w:t>
            </w: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Acquisition Corp.)</w:t>
            </w:r>
          </w:p>
        </w:tc>
        <w:tc>
          <w:tcPr>
            <w:tcW w:w="2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P2 Upstream Acquisition Co. (P2</w:t>
            </w:r>
          </w:p>
        </w:tc>
        <w:tc>
          <w:tcPr>
            <w:tcW w:w="22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Term Loan (First Lien)</w:t>
            </w:r>
          </w:p>
        </w:tc>
        <w:tc>
          <w:tcPr>
            <w:tcW w:w="5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10/30/2020</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987,500</w:t>
            </w:r>
          </w:p>
        </w:tc>
        <w:tc>
          <w:tcPr>
            <w:tcW w:w="9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983,132</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966,516</w:t>
            </w: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Upstream Canada BC ULC)</w:t>
            </w:r>
          </w:p>
        </w:tc>
        <w:tc>
          <w:tcPr>
            <w:tcW w:w="22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w w:val="94"/>
              </w:rPr>
              <w:t>Par Pharmaceutical Companies,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B3</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9/28/2019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498,750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496,360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499,583</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Penn Products Terminal,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4/13/2022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250,000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248,773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251,875</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w w:val="98"/>
              </w:rPr>
              <w:t>PetCo Animal Supplies Stores,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New Loans</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11/24/2017</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1,465,561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1,464,910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1,467,584</w:t>
            </w: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Petsmart, Inc. (Argos Merger Sub,</w:t>
            </w:r>
          </w:p>
        </w:tc>
        <w:tc>
          <w:tcPr>
            <w:tcW w:w="22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Retail</w:t>
            </w:r>
          </w:p>
        </w:tc>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Term Loan B1</w:t>
            </w:r>
          </w:p>
        </w:tc>
        <w:tc>
          <w:tcPr>
            <w:tcW w:w="5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3/11/2022</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995,088</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1,002,140</w:t>
            </w: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22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PGX Holdings,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978,766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990,788</w:t>
            </w: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Pharmaceutical Product Development,</w:t>
            </w:r>
          </w:p>
        </w:tc>
        <w:tc>
          <w:tcPr>
            <w:tcW w:w="22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Conglomerate</w:t>
            </w:r>
          </w:p>
        </w:tc>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2013 Term Loan</w:t>
            </w:r>
          </w:p>
        </w:tc>
        <w:tc>
          <w:tcPr>
            <w:tcW w:w="5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12/5/2018</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w w:val="83"/>
              </w:rPr>
              <w:t>1,935,450</w:t>
            </w:r>
          </w:p>
        </w:tc>
        <w:tc>
          <w:tcPr>
            <w:tcW w:w="9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1,914,850</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1,937,521</w:t>
            </w: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 (Jaguar Holdings, LLC)</w:t>
            </w:r>
          </w:p>
        </w:tc>
        <w:tc>
          <w:tcPr>
            <w:tcW w:w="22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Phillips-Medisize Corporation</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6/16/2021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496,250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494,073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495,942</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Physio-Control International,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5/19/2022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497,500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501,875</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Pinnacle Foods Finance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Food Products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New Term Loan G</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2,581,332</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2,576,895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2,572,813</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Planet Fitness Holdings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2,485,000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2,477,540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2,478,788</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Polymer Group,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Initial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12/19/2019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493,750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491,694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495,394</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 Holdings,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 Goods: Non-Durable</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Series A</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994,500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PrePaid Legal Services,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750,000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746,250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750,623</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Presidio,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1,916,667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1,861,770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1,920,270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Prestige Brands,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Consumer Goods: Durable</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B-3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9/3/2021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2,112,374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2,104,893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2,114,127</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Quintiles Transnational Corp.</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5/6/2022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997,510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1,002,190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Ranpak Holdings,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992,728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995,000</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Ranpak Holdings,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(Second Lien)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9/30/2022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497,726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499,585</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Redtop Acquisitions Limited</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w w:val="96"/>
              </w:rPr>
              <w:t>Initial Dollar Term Loan (First Lien)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12/3/2020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493,750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490,848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493,133</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Regal Cinemas Corporation</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Consumer</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498,780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501,640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Research Now Group,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Media</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497,544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501,875</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Rexnord LLC/RBS Global,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B Loan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8/21/2020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1,642,630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1,644,003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1,639,690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Reynolds Group Holdings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Incremental U.S. 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12/1/2018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1,910,551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1,910,551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1,916,531</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Riverbed Technology,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Technology</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2/25/2022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995,138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1,009,380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Rocket Software,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1,916,674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1,900,419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1,916,674</w:t>
            </w: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Rovi Solutions Corporation / Rovi</w:t>
            </w:r>
          </w:p>
        </w:tc>
        <w:tc>
          <w:tcPr>
            <w:tcW w:w="22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Electronics/Electric</w:t>
            </w:r>
          </w:p>
        </w:tc>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Tranche B-3 Term Loan</w:t>
            </w:r>
          </w:p>
        </w:tc>
        <w:tc>
          <w:tcPr>
            <w:tcW w:w="5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7/2/2021</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w w:val="83"/>
              </w:rPr>
              <w:t>1,488,750</w:t>
            </w:r>
          </w:p>
        </w:tc>
        <w:tc>
          <w:tcPr>
            <w:tcW w:w="9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1,482,202</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1,481,306</w:t>
            </w: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Guides, Inc.</w:t>
            </w:r>
          </w:p>
        </w:tc>
        <w:tc>
          <w:tcPr>
            <w:tcW w:w="22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RPI Finance Trust</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B-4 Term Loan</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5,194,247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5,194,247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5,194,247</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SBP Holdings LP</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3/27/2021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985,714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891,000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w w:val="98"/>
              </w:rPr>
              <w:t>Scientific Games International,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B2</w:t>
            </w: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988,352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996,440</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Seadrill Operating LP</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Oil &amp; Gas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994,962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918,242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811,929</w:t>
            </w:r>
          </w:p>
        </w:tc>
      </w:tr>
    </w:tbl>
    <w:p>
      <w:pPr>
        <w:sectPr>
          <w:pgSz w:w="11900" w:h="16843" w:orient="portrait"/>
          <w:cols w:equalWidth="0" w:num="1">
            <w:col w:w="11420"/>
          </w:cols>
          <w:pgMar w:left="240" w:top="116"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auto"/>
                <w:w w:val="95"/>
              </w:rPr>
              <w:t>Sensata Technologies B.V./Sensata</w:t>
            </w:r>
          </w:p>
        </w:tc>
        <w:tc>
          <w:tcPr>
            <w:tcW w:w="2080" w:type="dxa"/>
            <w:vAlign w:val="bottom"/>
          </w:tcPr>
          <w:p>
            <w:pPr>
              <w:ind w:left="60"/>
              <w:spacing w:after="0"/>
              <w:rPr>
                <w:sz w:val="20"/>
                <w:szCs w:val="20"/>
                <w:color w:val="auto"/>
              </w:rPr>
            </w:pPr>
            <w:r>
              <w:rPr>
                <w:rFonts w:ascii="Arial" w:cs="Arial" w:eastAsia="Arial" w:hAnsi="Arial"/>
                <w:sz w:val="14"/>
                <w:szCs w:val="14"/>
                <w:color w:val="auto"/>
              </w:rPr>
              <w:t>Industrial Equipment</w:t>
            </w:r>
          </w:p>
        </w:tc>
        <w:tc>
          <w:tcPr>
            <w:tcW w:w="2440" w:type="dxa"/>
            <w:vAlign w:val="bottom"/>
          </w:tcPr>
          <w:p>
            <w:pPr>
              <w:ind w:left="380"/>
              <w:spacing w:after="0"/>
              <w:rPr>
                <w:sz w:val="20"/>
                <w:szCs w:val="20"/>
                <w:color w:val="auto"/>
              </w:rPr>
            </w:pPr>
            <w:r>
              <w:rPr>
                <w:rFonts w:ascii="Arial" w:cs="Arial" w:eastAsia="Arial" w:hAnsi="Arial"/>
                <w:sz w:val="14"/>
                <w:szCs w:val="14"/>
                <w:color w:val="auto"/>
              </w:rPr>
              <w:t>Term Loan</w:t>
            </w:r>
          </w:p>
        </w:tc>
        <w:tc>
          <w:tcPr>
            <w:tcW w:w="640" w:type="dxa"/>
            <w:vAlign w:val="bottom"/>
          </w:tcPr>
          <w:p>
            <w:pPr>
              <w:ind w:left="140"/>
              <w:spacing w:after="0"/>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3.00%</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w w:val="99"/>
              </w:rPr>
              <w:t>10/11/2021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w w:val="83"/>
              </w:rPr>
              <w:t>1,264,400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1,264,400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1,266,878</w:t>
            </w:r>
          </w:p>
        </w:tc>
        <w:tc>
          <w:tcPr>
            <w:tcW w:w="60" w:type="dxa"/>
            <w:vAlign w:val="bottom"/>
          </w:tcPr>
          <w:p>
            <w:pPr>
              <w:spacing w:after="0"/>
              <w:rPr>
                <w:sz w:val="14"/>
                <w:szCs w:val="14"/>
                <w:color w:val="auto"/>
              </w:rPr>
            </w:pP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w w:val="89"/>
              </w:rPr>
              <w:t>Technology Finance Company, LLC</w:t>
            </w:r>
          </w:p>
        </w:tc>
        <w:tc>
          <w:tcPr>
            <w:tcW w:w="2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Sensus USA Inc. (fka Sensus</w:t>
            </w:r>
          </w:p>
        </w:tc>
        <w:tc>
          <w:tcPr>
            <w:tcW w:w="20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Utilities</w:t>
            </w:r>
          </w:p>
        </w:tc>
        <w:tc>
          <w:tcPr>
            <w:tcW w:w="244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Term Loan (First Lien)</w:t>
            </w:r>
          </w:p>
        </w:tc>
        <w:tc>
          <w:tcPr>
            <w:tcW w:w="64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5/9/2017</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83"/>
              </w:rPr>
              <w:t>1,920,081</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1,916,275</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1,912,880</w:t>
            </w:r>
          </w:p>
        </w:tc>
        <w:tc>
          <w:tcPr>
            <w:tcW w:w="60" w:type="dxa"/>
            <w:vAlign w:val="bottom"/>
            <w:shd w:val="clear" w:color="auto" w:fill="CCEEFF"/>
          </w:tcPr>
          <w:p>
            <w:pPr>
              <w:spacing w:after="0"/>
              <w:rPr>
                <w:sz w:val="11"/>
                <w:szCs w:val="11"/>
                <w:color w:val="auto"/>
              </w:rPr>
            </w:pP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Metering Systems)</w:t>
            </w:r>
          </w:p>
        </w:tc>
        <w:tc>
          <w:tcPr>
            <w:tcW w:w="20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ServiceMaster Company, The</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Conglomerate</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Tranche B 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3"/>
              </w:rPr>
              <w:t>1,990,000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1,972,330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1,994,657</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Shearers Foods LLC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Food Services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 (First Lien)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6/30/2021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995,000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992,823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994,383</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Sonneborn, LLC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 (First Lien)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12/10/2020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224,437</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223,922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224,999</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Sonneborn, LLC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Initial US Term Loan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12/10/2020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3"/>
              </w:rPr>
              <w:t>1,271,813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1,268,891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1,274,992</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Sophia, L.P.</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B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7/19/2018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883,715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875,972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884,599</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SourceHOV LLC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 B (First Lien)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10/31/2019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3"/>
              </w:rPr>
              <w:t>1,987,500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1,932,692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1,828,500</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SRAM, LLC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 (First Lien)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3"/>
              </w:rPr>
              <w:t>2,935,089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2,926,129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2,930,187</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Staples, Inc.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 B</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4/23/2021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3"/>
              </w:rPr>
              <w:t>1,000,000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1,000,940</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Steak ‘n Shake Operations, Inc.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3/19/2021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990,000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981,539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985,050</w:t>
            </w:r>
          </w:p>
        </w:tc>
        <w:tc>
          <w:tcPr>
            <w:tcW w:w="60" w:type="dxa"/>
            <w:vAlign w:val="bottom"/>
          </w:tcPr>
          <w:p>
            <w:pPr>
              <w:spacing w:after="0"/>
              <w:rPr>
                <w:sz w:val="12"/>
                <w:szCs w:val="12"/>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SunGard Data Systems Inc. (Solar</w:t>
            </w:r>
          </w:p>
        </w:tc>
        <w:tc>
          <w:tcPr>
            <w:tcW w:w="20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Conglomerate</w:t>
            </w:r>
          </w:p>
        </w:tc>
        <w:tc>
          <w:tcPr>
            <w:tcW w:w="244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Tranche C Term Loan</w:t>
            </w:r>
          </w:p>
        </w:tc>
        <w:tc>
          <w:tcPr>
            <w:tcW w:w="64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3.90%</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2/28/2017</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285,352</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283,389</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285,472</w:t>
            </w:r>
          </w:p>
        </w:tc>
        <w:tc>
          <w:tcPr>
            <w:tcW w:w="60" w:type="dxa"/>
            <w:vAlign w:val="bottom"/>
            <w:shd w:val="clear" w:color="auto" w:fill="CCEEFF"/>
          </w:tcPr>
          <w:p>
            <w:pPr>
              <w:spacing w:after="0"/>
              <w:rPr>
                <w:sz w:val="11"/>
                <w:szCs w:val="11"/>
                <w:color w:val="auto"/>
              </w:rPr>
            </w:pP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Capital Corp.)</w:t>
            </w:r>
          </w:p>
        </w:tc>
        <w:tc>
          <w:tcPr>
            <w:tcW w:w="20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9"/>
              </w:rPr>
              <w:t>SunGard Data Systems Inc. (Solar</w:t>
            </w:r>
          </w:p>
        </w:tc>
        <w:tc>
          <w:tcPr>
            <w:tcW w:w="2080" w:type="dxa"/>
            <w:vAlign w:val="bottom"/>
          </w:tcPr>
          <w:p>
            <w:pPr>
              <w:ind w:left="60"/>
              <w:spacing w:after="0" w:line="138" w:lineRule="exact"/>
              <w:rPr>
                <w:sz w:val="20"/>
                <w:szCs w:val="20"/>
                <w:color w:val="auto"/>
              </w:rPr>
            </w:pPr>
            <w:r>
              <w:rPr>
                <w:rFonts w:ascii="Arial" w:cs="Arial" w:eastAsia="Arial" w:hAnsi="Arial"/>
                <w:sz w:val="14"/>
                <w:szCs w:val="14"/>
                <w:color w:val="auto"/>
              </w:rPr>
              <w:t>Conglomerate</w:t>
            </w:r>
          </w:p>
        </w:tc>
        <w:tc>
          <w:tcPr>
            <w:tcW w:w="2440" w:type="dxa"/>
            <w:vAlign w:val="bottom"/>
          </w:tcPr>
          <w:p>
            <w:pPr>
              <w:ind w:left="380"/>
              <w:spacing w:after="0" w:line="138" w:lineRule="exact"/>
              <w:rPr>
                <w:sz w:val="20"/>
                <w:szCs w:val="20"/>
                <w:color w:val="auto"/>
              </w:rPr>
            </w:pPr>
            <w:r>
              <w:rPr>
                <w:rFonts w:ascii="Arial" w:cs="Arial" w:eastAsia="Arial" w:hAnsi="Arial"/>
                <w:sz w:val="14"/>
                <w:szCs w:val="14"/>
                <w:color w:val="auto"/>
              </w:rPr>
              <w:t>Tranche E Term Loan</w:t>
            </w:r>
          </w:p>
        </w:tc>
        <w:tc>
          <w:tcPr>
            <w:tcW w:w="640" w:type="dxa"/>
            <w:vAlign w:val="bottom"/>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3/9/2020</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38" w:lineRule="exact"/>
              <w:rPr>
                <w:sz w:val="20"/>
                <w:szCs w:val="20"/>
                <w:color w:val="auto"/>
              </w:rPr>
            </w:pPr>
            <w:r>
              <w:rPr>
                <w:rFonts w:ascii="Arial" w:cs="Arial" w:eastAsia="Arial" w:hAnsi="Arial"/>
                <w:sz w:val="14"/>
                <w:szCs w:val="14"/>
                <w:color w:val="auto"/>
                <w:w w:val="83"/>
              </w:rPr>
              <w:t>3,707,953</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3,622,675</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3,714,924</w:t>
            </w:r>
          </w:p>
        </w:tc>
        <w:tc>
          <w:tcPr>
            <w:tcW w:w="60" w:type="dxa"/>
            <w:vAlign w:val="bottom"/>
          </w:tcPr>
          <w:p>
            <w:pPr>
              <w:spacing w:after="0"/>
              <w:rPr>
                <w:sz w:val="11"/>
                <w:szCs w:val="11"/>
                <w:color w:val="auto"/>
              </w:rPr>
            </w:pP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Capital Corp.)</w:t>
            </w:r>
          </w:p>
        </w:tc>
        <w:tc>
          <w:tcPr>
            <w:tcW w:w="2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SuperMedia Inc. (fka Idearc Inc.)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Publishing</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11.60%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12/30/2016</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235,379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230,025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158,528</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Syniverse Holdings, Inc.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Initial 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4/23/2019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479,913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476,313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458,917</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TGI Friday’s Inc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Food Services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 B</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7/15/2020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3"/>
              </w:rPr>
              <w:t>1,761,386</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1,756,571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1,761,386</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Townsquare Media, Inc.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Media</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 B</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3"/>
              </w:rPr>
              <w:t>1,000,000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995,060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1,005,420</w:t>
            </w:r>
          </w:p>
        </w:tc>
        <w:tc>
          <w:tcPr>
            <w:tcW w:w="60" w:type="dxa"/>
            <w:vAlign w:val="bottom"/>
          </w:tcPr>
          <w:p>
            <w:pPr>
              <w:spacing w:after="0"/>
              <w:rPr>
                <w:sz w:val="12"/>
                <w:szCs w:val="12"/>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TPF II Power LLC and TPF II Covert</w:t>
            </w:r>
          </w:p>
        </w:tc>
        <w:tc>
          <w:tcPr>
            <w:tcW w:w="20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Utilities</w:t>
            </w:r>
          </w:p>
        </w:tc>
        <w:tc>
          <w:tcPr>
            <w:tcW w:w="244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Term Loan B</w:t>
            </w:r>
          </w:p>
        </w:tc>
        <w:tc>
          <w:tcPr>
            <w:tcW w:w="64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10/2/2021</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498,750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495,598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504,516</w:t>
            </w:r>
          </w:p>
        </w:tc>
        <w:tc>
          <w:tcPr>
            <w:tcW w:w="60" w:type="dxa"/>
            <w:vAlign w:val="bottom"/>
            <w:shd w:val="clear" w:color="auto" w:fill="CCEEFF"/>
          </w:tcPr>
          <w:p>
            <w:pPr>
              <w:spacing w:after="0"/>
              <w:rPr>
                <w:sz w:val="11"/>
                <w:szCs w:val="11"/>
                <w:color w:val="auto"/>
              </w:rPr>
            </w:pP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Midco LLC</w:t>
            </w:r>
          </w:p>
        </w:tc>
        <w:tc>
          <w:tcPr>
            <w:tcW w:w="20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TransDigm, Inc.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Tranche C 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3"/>
              </w:rPr>
              <w:t>4,310,366</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4,318,132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4,297,435</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TransDigm, Inc.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Tranche E Term Loan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5/13/2022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3"/>
              </w:rPr>
              <w:t>2,000,000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1,990,600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1,985,000</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TransFirst Holdings, Inc.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11/12/2021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498,750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494,148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498,022</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 Union LLC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4/9/2021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495,000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493,963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493,322</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Travel Leaders Group, LLC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Hotel, Gaming and Leisure</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 B</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12/7/2020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3"/>
              </w:rPr>
              <w:t>1,000,000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995,055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1,010,000</w:t>
            </w:r>
          </w:p>
        </w:tc>
        <w:tc>
          <w:tcPr>
            <w:tcW w:w="60" w:type="dxa"/>
            <w:vAlign w:val="bottom"/>
          </w:tcPr>
          <w:p>
            <w:pPr>
              <w:spacing w:after="0"/>
              <w:rPr>
                <w:sz w:val="12"/>
                <w:szCs w:val="12"/>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Tricorbraun, Inc. (fka Kranson</w:t>
            </w:r>
          </w:p>
        </w:tc>
        <w:tc>
          <w:tcPr>
            <w:tcW w:w="20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Containers/Glass Products</w:t>
            </w:r>
          </w:p>
        </w:tc>
        <w:tc>
          <w:tcPr>
            <w:tcW w:w="244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Term Loan</w:t>
            </w:r>
          </w:p>
        </w:tc>
        <w:tc>
          <w:tcPr>
            <w:tcW w:w="64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5/3/2018</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83"/>
              </w:rPr>
              <w:t>1,836,625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1,830,188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1,827,442</w:t>
            </w:r>
          </w:p>
        </w:tc>
        <w:tc>
          <w:tcPr>
            <w:tcW w:w="60" w:type="dxa"/>
            <w:vAlign w:val="bottom"/>
            <w:shd w:val="clear" w:color="auto" w:fill="CCEEFF"/>
          </w:tcPr>
          <w:p>
            <w:pPr>
              <w:spacing w:after="0"/>
              <w:rPr>
                <w:sz w:val="11"/>
                <w:szCs w:val="11"/>
                <w:color w:val="auto"/>
              </w:rPr>
            </w:pP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Industries, Inc.)</w:t>
            </w:r>
          </w:p>
        </w:tc>
        <w:tc>
          <w:tcPr>
            <w:tcW w:w="20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rPr>
              <w:t>Truven Health Analytics Inc. (fka</w:t>
            </w:r>
          </w:p>
        </w:tc>
        <w:tc>
          <w:tcPr>
            <w:tcW w:w="2080" w:type="dxa"/>
            <w:vAlign w:val="bottom"/>
          </w:tcPr>
          <w:p>
            <w:pPr>
              <w:ind w:left="60"/>
              <w:spacing w:after="0" w:line="138" w:lineRule="exact"/>
              <w:rPr>
                <w:sz w:val="20"/>
                <w:szCs w:val="20"/>
                <w:color w:val="auto"/>
              </w:rPr>
            </w:pPr>
            <w:r>
              <w:rPr>
                <w:rFonts w:ascii="Arial" w:cs="Arial" w:eastAsia="Arial" w:hAnsi="Arial"/>
                <w:sz w:val="14"/>
                <w:szCs w:val="14"/>
                <w:color w:val="auto"/>
              </w:rPr>
              <w:t>Healthcare &amp; Pharmaceuticals</w:t>
            </w:r>
          </w:p>
        </w:tc>
        <w:tc>
          <w:tcPr>
            <w:tcW w:w="2440" w:type="dxa"/>
            <w:vAlign w:val="bottom"/>
          </w:tcPr>
          <w:p>
            <w:pPr>
              <w:ind w:left="380"/>
              <w:spacing w:after="0" w:line="138" w:lineRule="exact"/>
              <w:rPr>
                <w:sz w:val="20"/>
                <w:szCs w:val="20"/>
                <w:color w:val="auto"/>
              </w:rPr>
            </w:pPr>
            <w:r>
              <w:rPr>
                <w:rFonts w:ascii="Arial" w:cs="Arial" w:eastAsia="Arial" w:hAnsi="Arial"/>
                <w:sz w:val="14"/>
                <w:szCs w:val="14"/>
                <w:color w:val="auto"/>
              </w:rPr>
              <w:t>New Tranche B Term Loan</w:t>
            </w:r>
          </w:p>
        </w:tc>
        <w:tc>
          <w:tcPr>
            <w:tcW w:w="640" w:type="dxa"/>
            <w:vAlign w:val="bottom"/>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6/6/2019</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486,325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479,056</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486,529</w:t>
            </w:r>
          </w:p>
        </w:tc>
        <w:tc>
          <w:tcPr>
            <w:tcW w:w="60" w:type="dxa"/>
            <w:vAlign w:val="bottom"/>
          </w:tcPr>
          <w:p>
            <w:pPr>
              <w:spacing w:after="0"/>
              <w:rPr>
                <w:sz w:val="11"/>
                <w:szCs w:val="11"/>
                <w:color w:val="auto"/>
              </w:rPr>
            </w:pP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w w:val="89"/>
              </w:rPr>
              <w:t>Thomson Reuters (Healthcare) Inc.)</w:t>
            </w:r>
          </w:p>
        </w:tc>
        <w:tc>
          <w:tcPr>
            <w:tcW w:w="2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Twin River Management Group, Inc.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 B</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7/10/2020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956,192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958,419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953,801</w:t>
            </w:r>
          </w:p>
        </w:tc>
        <w:tc>
          <w:tcPr>
            <w:tcW w:w="60" w:type="dxa"/>
            <w:vAlign w:val="bottom"/>
            <w:shd w:val="clear" w:color="auto" w:fill="CCEEFF"/>
          </w:tcPr>
          <w:p>
            <w:pPr>
              <w:spacing w:after="0"/>
              <w:rPr>
                <w:sz w:val="12"/>
                <w:szCs w:val="12"/>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9"/>
              </w:rPr>
              <w:t>U.S. Security Associates Holdings,</w:t>
            </w:r>
          </w:p>
        </w:tc>
        <w:tc>
          <w:tcPr>
            <w:tcW w:w="2080" w:type="dxa"/>
            <w:vAlign w:val="bottom"/>
          </w:tcPr>
          <w:p>
            <w:pPr>
              <w:ind w:left="60"/>
              <w:spacing w:after="0" w:line="138" w:lineRule="exact"/>
              <w:rPr>
                <w:sz w:val="20"/>
                <w:szCs w:val="20"/>
                <w:color w:val="auto"/>
              </w:rPr>
            </w:pPr>
            <w:r>
              <w:rPr>
                <w:rFonts w:ascii="Arial" w:cs="Arial" w:eastAsia="Arial" w:hAnsi="Arial"/>
                <w:sz w:val="14"/>
                <w:szCs w:val="14"/>
                <w:color w:val="auto"/>
              </w:rPr>
              <w:t>Services: Business</w:t>
            </w:r>
          </w:p>
        </w:tc>
        <w:tc>
          <w:tcPr>
            <w:tcW w:w="2440" w:type="dxa"/>
            <w:vAlign w:val="bottom"/>
          </w:tcPr>
          <w:p>
            <w:pPr>
              <w:ind w:left="380"/>
              <w:spacing w:after="0" w:line="138" w:lineRule="exact"/>
              <w:rPr>
                <w:sz w:val="20"/>
                <w:szCs w:val="20"/>
                <w:color w:val="auto"/>
              </w:rPr>
            </w:pPr>
            <w:r>
              <w:rPr>
                <w:rFonts w:ascii="Arial" w:cs="Arial" w:eastAsia="Arial" w:hAnsi="Arial"/>
                <w:sz w:val="14"/>
                <w:szCs w:val="14"/>
                <w:color w:val="auto"/>
              </w:rPr>
              <w:t>Delayed Draw Loan</w:t>
            </w:r>
          </w:p>
        </w:tc>
        <w:tc>
          <w:tcPr>
            <w:tcW w:w="640" w:type="dxa"/>
            <w:vAlign w:val="bottom"/>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7/28/2017</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158,110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157,308</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157,814</w:t>
            </w:r>
          </w:p>
        </w:tc>
        <w:tc>
          <w:tcPr>
            <w:tcW w:w="60" w:type="dxa"/>
            <w:vAlign w:val="bottom"/>
          </w:tcPr>
          <w:p>
            <w:pPr>
              <w:spacing w:after="0"/>
              <w:rPr>
                <w:sz w:val="11"/>
                <w:szCs w:val="11"/>
                <w:color w:val="auto"/>
              </w:rPr>
            </w:pP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Inc.</w:t>
            </w:r>
          </w:p>
        </w:tc>
        <w:tc>
          <w:tcPr>
            <w:tcW w:w="2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U.S. Security Associates Holdings,</w:t>
            </w:r>
          </w:p>
        </w:tc>
        <w:tc>
          <w:tcPr>
            <w:tcW w:w="20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Services: Business</w:t>
            </w:r>
          </w:p>
        </w:tc>
        <w:tc>
          <w:tcPr>
            <w:tcW w:w="244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Term B Loan</w:t>
            </w:r>
          </w:p>
        </w:tc>
        <w:tc>
          <w:tcPr>
            <w:tcW w:w="64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7/28/2017</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928,641</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924,314</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926,905</w:t>
            </w:r>
          </w:p>
        </w:tc>
        <w:tc>
          <w:tcPr>
            <w:tcW w:w="60" w:type="dxa"/>
            <w:vAlign w:val="bottom"/>
            <w:shd w:val="clear" w:color="auto" w:fill="CCEEFF"/>
          </w:tcPr>
          <w:p>
            <w:pPr>
              <w:spacing w:after="0"/>
              <w:rPr>
                <w:sz w:val="11"/>
                <w:szCs w:val="11"/>
                <w:color w:val="auto"/>
              </w:rPr>
            </w:pP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20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0"/>
              </w:rPr>
              <w:t>United Surgical Partners International,</w:t>
            </w:r>
          </w:p>
        </w:tc>
        <w:tc>
          <w:tcPr>
            <w:tcW w:w="2080" w:type="dxa"/>
            <w:vAlign w:val="bottom"/>
          </w:tcPr>
          <w:p>
            <w:pPr>
              <w:ind w:left="60"/>
              <w:spacing w:after="0" w:line="138" w:lineRule="exact"/>
              <w:rPr>
                <w:sz w:val="20"/>
                <w:szCs w:val="20"/>
                <w:color w:val="auto"/>
              </w:rPr>
            </w:pPr>
            <w:r>
              <w:rPr>
                <w:rFonts w:ascii="Arial" w:cs="Arial" w:eastAsia="Arial" w:hAnsi="Arial"/>
                <w:sz w:val="14"/>
                <w:szCs w:val="14"/>
                <w:color w:val="auto"/>
              </w:rPr>
              <w:t>Healthcare &amp; Pharmaceuticals</w:t>
            </w:r>
          </w:p>
        </w:tc>
        <w:tc>
          <w:tcPr>
            <w:tcW w:w="2440" w:type="dxa"/>
            <w:vAlign w:val="bottom"/>
          </w:tcPr>
          <w:p>
            <w:pPr>
              <w:ind w:left="380"/>
              <w:spacing w:after="0" w:line="138" w:lineRule="exact"/>
              <w:rPr>
                <w:sz w:val="20"/>
                <w:szCs w:val="20"/>
                <w:color w:val="auto"/>
              </w:rPr>
            </w:pPr>
            <w:r>
              <w:rPr>
                <w:rFonts w:ascii="Arial" w:cs="Arial" w:eastAsia="Arial" w:hAnsi="Arial"/>
                <w:sz w:val="14"/>
                <w:szCs w:val="14"/>
                <w:color w:val="auto"/>
              </w:rPr>
              <w:t>New Tranche B Term Loan</w:t>
            </w:r>
          </w:p>
        </w:tc>
        <w:tc>
          <w:tcPr>
            <w:tcW w:w="640" w:type="dxa"/>
            <w:vAlign w:val="bottom"/>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4/3/2019</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38" w:lineRule="exact"/>
              <w:rPr>
                <w:sz w:val="20"/>
                <w:szCs w:val="20"/>
                <w:color w:val="auto"/>
              </w:rPr>
            </w:pPr>
            <w:r>
              <w:rPr>
                <w:rFonts w:ascii="Arial" w:cs="Arial" w:eastAsia="Arial" w:hAnsi="Arial"/>
                <w:sz w:val="14"/>
                <w:szCs w:val="14"/>
                <w:color w:val="auto"/>
                <w:w w:val="83"/>
              </w:rPr>
              <w:t>2,425,561</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2,403,697</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2,425,561</w:t>
            </w:r>
          </w:p>
        </w:tc>
        <w:tc>
          <w:tcPr>
            <w:tcW w:w="60" w:type="dxa"/>
            <w:vAlign w:val="bottom"/>
          </w:tcPr>
          <w:p>
            <w:pPr>
              <w:spacing w:after="0"/>
              <w:rPr>
                <w:sz w:val="11"/>
                <w:szCs w:val="11"/>
                <w:color w:val="auto"/>
              </w:rPr>
            </w:pP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Inc.</w:t>
            </w:r>
          </w:p>
        </w:tc>
        <w:tc>
          <w:tcPr>
            <w:tcW w:w="2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Univar Inc.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B Loan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6/30/2017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3"/>
              </w:rPr>
              <w:t>3,834,969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3,834,775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3,830,175</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Univision Communications Inc.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w w:val="94"/>
              </w:rPr>
              <w:t>Replacement First-Lien 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3"/>
              </w:rPr>
              <w:t>2,939,724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2,924,949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2,934,667</w:t>
            </w:r>
          </w:p>
        </w:tc>
        <w:tc>
          <w:tcPr>
            <w:tcW w:w="60" w:type="dxa"/>
            <w:vAlign w:val="bottom"/>
          </w:tcPr>
          <w:p>
            <w:pPr>
              <w:spacing w:after="0"/>
              <w:rPr>
                <w:sz w:val="12"/>
                <w:szCs w:val="12"/>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Valeant Pharmaceuticals International,</w:t>
            </w:r>
          </w:p>
        </w:tc>
        <w:tc>
          <w:tcPr>
            <w:tcW w:w="20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Drugs</w:t>
            </w:r>
          </w:p>
        </w:tc>
        <w:tc>
          <w:tcPr>
            <w:tcW w:w="244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Series D2 Term Loan B</w:t>
            </w:r>
          </w:p>
        </w:tc>
        <w:tc>
          <w:tcPr>
            <w:tcW w:w="64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2/13/2019</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83"/>
              </w:rPr>
              <w:t>2,545,588</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2,537,897</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2,543,272</w:t>
            </w:r>
          </w:p>
        </w:tc>
        <w:tc>
          <w:tcPr>
            <w:tcW w:w="60" w:type="dxa"/>
            <w:vAlign w:val="bottom"/>
            <w:shd w:val="clear" w:color="auto" w:fill="CCEEFF"/>
          </w:tcPr>
          <w:p>
            <w:pPr>
              <w:spacing w:after="0"/>
              <w:rPr>
                <w:sz w:val="11"/>
                <w:szCs w:val="11"/>
                <w:color w:val="auto"/>
              </w:rPr>
            </w:pP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20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Verint Systems Inc.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9/6/2019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3"/>
              </w:rPr>
              <w:t>1,014,058</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1,010,683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1,015,325</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Vertafore, Inc.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 (2013)</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10/3/2019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3"/>
              </w:rPr>
              <w:t>2,484,603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2,484,603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2,490,815</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Vouvray US Finance</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496,250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494,080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498,319</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Inventory Service</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U.S. Term Loan (First Lien)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12/20/2018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3"/>
              </w:rPr>
              <w:t>1,832,875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1,850,149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1,800,800</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Waste Industries</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Environmental</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 B</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2/27/2020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250,000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249,405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251,145</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Wendy’s International, Inc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Food Services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B Loan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5/15/2019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671,921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666,709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671,753</w:t>
            </w:r>
          </w:p>
        </w:tc>
        <w:tc>
          <w:tcPr>
            <w:tcW w:w="60" w:type="dxa"/>
            <w:vAlign w:val="bottom"/>
            <w:shd w:val="clear" w:color="auto" w:fill="CCEEFF"/>
          </w:tcPr>
          <w:p>
            <w:pPr>
              <w:spacing w:after="0"/>
              <w:rPr>
                <w:sz w:val="12"/>
                <w:szCs w:val="12"/>
                <w:color w:val="auto"/>
              </w:rPr>
            </w:pPr>
          </w:p>
        </w:tc>
      </w:tr>
      <w:tr>
        <w:trPr>
          <w:trHeight w:val="156"/>
        </w:trPr>
        <w:tc>
          <w:tcPr>
            <w:tcW w:w="2160" w:type="dxa"/>
            <w:vAlign w:val="bottom"/>
          </w:tcPr>
          <w:p>
            <w:pPr>
              <w:spacing w:after="0" w:line="149" w:lineRule="exact"/>
              <w:rPr>
                <w:sz w:val="20"/>
                <w:szCs w:val="20"/>
                <w:color w:val="auto"/>
              </w:rPr>
            </w:pPr>
            <w:r>
              <w:rPr>
                <w:rFonts w:ascii="Arial" w:cs="Arial" w:eastAsia="Arial" w:hAnsi="Arial"/>
                <w:sz w:val="14"/>
                <w:szCs w:val="14"/>
                <w:color w:val="auto"/>
              </w:rPr>
              <w:t>West Corporation</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B-10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6/30/2018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3"/>
              </w:rPr>
              <w:t>2,571,560</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2,603,429</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2,565,490</w:t>
            </w:r>
          </w:p>
        </w:tc>
        <w:tc>
          <w:tcPr>
            <w:tcW w:w="6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307,289,860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304,682,956</w:t>
            </w:r>
          </w:p>
        </w:tc>
        <w:tc>
          <w:tcPr>
            <w:tcW w:w="60" w:type="dxa"/>
            <w:vAlign w:val="bottom"/>
            <w:shd w:val="clear" w:color="auto" w:fill="CCEEFF"/>
          </w:tcPr>
          <w:p>
            <w:pPr>
              <w:spacing w:after="0"/>
              <w:rPr>
                <w:sz w:val="12"/>
                <w:szCs w:val="12"/>
                <w:color w:val="auto"/>
              </w:rPr>
            </w:pPr>
          </w:p>
        </w:tc>
      </w:tr>
      <w:tr>
        <w:trPr>
          <w:trHeight w:val="20"/>
        </w:trPr>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6"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780" w:type="dxa"/>
            <w:vAlign w:val="bottom"/>
            <w:gridSpan w:val="2"/>
            <w:vMerge w:val="restart"/>
          </w:tcPr>
          <w:p>
            <w:pPr>
              <w:jc w:val="right"/>
              <w:ind w:right="218"/>
              <w:spacing w:after="0"/>
              <w:rPr>
                <w:sz w:val="20"/>
                <w:szCs w:val="20"/>
                <w:color w:val="auto"/>
              </w:rPr>
            </w:pPr>
            <w:r>
              <w:rPr>
                <w:rFonts w:ascii="Arial" w:cs="Arial" w:eastAsia="Arial" w:hAnsi="Arial"/>
                <w:sz w:val="14"/>
                <w:szCs w:val="14"/>
                <w:b w:val="1"/>
                <w:bCs w:val="1"/>
                <w:color w:val="auto"/>
                <w:w w:val="94"/>
              </w:rPr>
              <w:t>Current</w:t>
            </w: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1"/>
              </w:rPr>
              <w:t>Issuer Name</w:t>
            </w:r>
          </w:p>
        </w:tc>
        <w:tc>
          <w:tcPr>
            <w:tcW w:w="138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2"/>
                <w:szCs w:val="12"/>
                <w:color w:val="auto"/>
              </w:rPr>
            </w:pPr>
          </w:p>
        </w:tc>
        <w:tc>
          <w:tcPr>
            <w:tcW w:w="21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Asset Name</w:t>
            </w:r>
          </w:p>
        </w:tc>
        <w:tc>
          <w:tcPr>
            <w:tcW w:w="100" w:type="dxa"/>
            <w:vAlign w:val="bottom"/>
            <w:vMerge w:val="restart"/>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3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Type</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Rate</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of Shares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Education Management II LLC</w:t>
            </w:r>
          </w:p>
        </w:tc>
        <w:tc>
          <w:tcPr>
            <w:tcW w:w="6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Leisure Goods/Activities/Movies</w:t>
            </w: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A-1 Preferred Shares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2"/>
              </w:rPr>
              <w:t>Equity</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0.00</w:t>
            </w: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74"/>
              </w:rPr>
              <w:t>%</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437,188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Education Management II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A-2 Preferred Shares</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Equity</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18,975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1,897,538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180,263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 Hour Holdings III LLC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5/28/2021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493,004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492,276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Acosta Holdco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Media</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9/27/2021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1,981,328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2,004,416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Aderant North America,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12/20/2018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3,260,898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3,260,898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3,240,517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Advantage Sales &amp; Marketing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Delayed Draw 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7/25/2021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1,993,940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1,984,287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AECOM Technology Corporation</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10/15/2021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319,903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318,380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321,304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w w:val="90"/>
              </w:rPr>
              <w:t>Aegis Toxicology Science Corporation</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2/24/2021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997,488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Akorn,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4/16/2021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498,750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496,691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500,411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Albertson’s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B-4</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8/25/2021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3,410,000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3,389,632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3,437,723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4"/>
              </w:rPr>
              <w:t>Alere Inc. (fka IM US Holdings, LLC)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Incremental B-1 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6/30/2017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1,529,610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1,529,610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1,529,610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American Tire Distributors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Automotive</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5.75%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6/1/2018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496,487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496,486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497,108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Food Products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LC-2 Facility</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3.74%</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7/26/2016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79,187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Food Products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LC-3 Facility</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3.74%</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7/26/2016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43,961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43,961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43,521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Food Products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U.S. Term F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3,182,489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3,182,489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3,168,581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ARG IH Corp</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Food Services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11/15/2020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494,038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495,312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Asurion, LLC (fka Asurion</w:t>
            </w:r>
          </w:p>
        </w:tc>
        <w:tc>
          <w:tcPr>
            <w:tcW w:w="23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Insurance</w:t>
            </w:r>
          </w:p>
        </w:tc>
        <w:tc>
          <w:tcPr>
            <w:tcW w:w="230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w w:val="96"/>
              </w:rPr>
              <w:t>Incremental Tranche B-1 Term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38"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5/24/2019</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w w:val="83"/>
              </w:rPr>
              <w:t>5,412,086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5,370,590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5,424,642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Corporation)</w:t>
            </w:r>
          </w:p>
        </w:tc>
        <w:tc>
          <w:tcPr>
            <w:tcW w:w="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Auction.Com,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A-4</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4.40%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2/28/2017</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914,567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914,567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905,422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Avantor Performance Materials</w:t>
            </w:r>
          </w:p>
        </w:tc>
        <w:tc>
          <w:tcPr>
            <w:tcW w:w="23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Chemicals/Plastics</w:t>
            </w:r>
          </w:p>
        </w:tc>
        <w:tc>
          <w:tcPr>
            <w:tcW w:w="230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38"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6/24/2017</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w w:val="83"/>
              </w:rPr>
              <w:t>4,319,115</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4,309,242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4,297,520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Holdings, Inc.</w:t>
            </w:r>
          </w:p>
        </w:tc>
        <w:tc>
          <w:tcPr>
            <w:tcW w:w="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Avast Software</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3/20/2020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1,925,000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1,923,275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1,937,031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AZ Chem US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6/12/2021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467,123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464,958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466,614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Bass Pro Group,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New 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11/20/2019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493,623</w:t>
            </w: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493,111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492,236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Bayonne Energy Center</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Oil &amp; Gas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8/19/2021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969,671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965,093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964,416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Belmond Hotels</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3/19/2021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496,250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494,055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Berry Plastics Corporation</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E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1,814,499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1,802,403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1,812,648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4"/>
              </w:rPr>
              <w:t>Big Heart Pet Brands (fka Del Monte</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Food/Drug Retailers</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Initial 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3.50%</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3/9/2020</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2,977,500</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2,996,769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2,971,307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Corporation)</w:t>
            </w: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Biomet,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Dollar Term B-2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3.65%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7/25/2017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1,840,718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1,840,718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1,838,601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BJ’s Wholesale Club, Inc.</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Food/Drug Retailers</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w w:val="95"/>
              </w:rPr>
              <w:t>New 2013 (November) Replacement</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9/26/2019</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1,489,975</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1,488,922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1,483,374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30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Loan (First Lien)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9"/>
              </w:rPr>
              <w:t>Bombardier Recreational Products</w:t>
            </w:r>
          </w:p>
        </w:tc>
        <w:tc>
          <w:tcPr>
            <w:tcW w:w="23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38"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1/30/2019</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754,286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750,287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747,120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Brickman Group Holdings,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Brokers/Dealers/Investment Houses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Initial 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12/18/2020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1,491,237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1,478,800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1,478,935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Brock Holdings III,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3/16/2017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1,938,503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1,952,391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1,904,580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6"/>
              </w:rPr>
              <w:t>Burlington Coat Factory Warehouse</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Retailers (Except Food and Drugs)</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B-2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8/13/2021</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1,945,000</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1,935,814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1,942,219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Corporation</w:t>
            </w: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BWAY</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8/14/2020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985,881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998,423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Caesars Entertainment Corp.</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B-7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9.75%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1/28/2018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989,028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917,141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1"/>
              </w:rPr>
              <w:t>Camp International Holding Company</w:t>
            </w:r>
          </w:p>
        </w:tc>
        <w:tc>
          <w:tcPr>
            <w:tcW w:w="23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Aerospace and Defense</w:t>
            </w:r>
          </w:p>
        </w:tc>
        <w:tc>
          <w:tcPr>
            <w:tcW w:w="230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w w:val="96"/>
              </w:rPr>
              <w:t>2013 Replacement Term Loan (First</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38"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5/31/2019</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w w:val="83"/>
              </w:rPr>
              <w:t>1,960,046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1,965,495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1,969,846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230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Lien)</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Capital Automotive L.P.</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Conglomerate</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Tranche B-1 Term Loan Facility</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4/10/2019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2,079,313</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2,083,783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2,084,511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Catalent Pharma Solutions,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Drugs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Initial 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5/20/2021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495,170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Celanese US Holdings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Dollar Term C-2 Commitment</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2.49%</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10/31/2018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2,154,560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2,180,598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2,157,533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Cengage Learning</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Publishing</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2,731,869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2,761,735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2,733,235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5"/>
              </w:rPr>
              <w:t>Charter Communications Operating,</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Cable and Satellite Television</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F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3.00%</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1"/>
              </w:rPr>
              <w:t>12/31/2020</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2,655,745</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2,646,932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2,646,344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LLC</w:t>
            </w: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0"/>
              </w:rPr>
              <w:t>CHS/Community Health Systems,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2017 Term E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3.49%</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1,097,818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1,074,945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1,097,193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w w:val="90"/>
              </w:rPr>
              <w:t>CHS/Community Health Systems,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2021 Term D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2,926,052</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2,844,886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2,935,210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Cinedigm Digital Funding I, LLC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562,001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557,872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561,298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CITGO Petroleum</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Oil &amp; Gas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7/29/2021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997,500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994,095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979,106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ClubCorp Club Operations,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7/24/2020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496,250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500,315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CPI International Acquisition, Inc.</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Electronics/Electric</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B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1"/>
              </w:rPr>
              <w:t>11/17/2017</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3,595,331</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3,595,331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3,570,631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(f/k/a Catalyst Holdings, Inc.)</w:t>
            </w: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Crosby US Acquisition Corp.</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Initial 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11/23/2020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742,500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741,718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681,244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Crown Castle Operating Company</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Telecommunications/Cellular</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Extended Incremental Tranche B-2</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3.00%</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1/31/2021</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2,435,594</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2,433,546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2,430,723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30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Term Loan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2"/>
              </w:rPr>
              <w:t>CT Technologies Intermediate Hldgs,</w:t>
            </w:r>
          </w:p>
        </w:tc>
        <w:tc>
          <w:tcPr>
            <w:tcW w:w="23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38" w:lineRule="exact"/>
              <w:rPr>
                <w:sz w:val="20"/>
                <w:szCs w:val="20"/>
                <w:color w:val="auto"/>
              </w:rPr>
            </w:pPr>
            <w:r>
              <w:rPr>
                <w:rFonts w:ascii="Arial" w:cs="Arial" w:eastAsia="Arial" w:hAnsi="Arial"/>
                <w:sz w:val="14"/>
                <w:szCs w:val="14"/>
                <w:color w:val="auto"/>
              </w:rPr>
              <w:t>6.00%</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12/1/2021</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w w:val="83"/>
              </w:rPr>
              <w:t>1,500,000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1,485,423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1,505,625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Conglomerate</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Dollar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12/19/2017</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779,642</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736,275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765,998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Conglomerate</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Dollar Loan (Second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9.50%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6/19/2018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783,162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739,367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727,033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Cumulus Media Holdings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Broadcast Radio and Television</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12/23/2020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470,093</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466,100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466,863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Custom Sensors</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9/30/2021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498,750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497,651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4"/>
              </w:rPr>
              <w:t>DaVita HealthCare Partners Inc. (fka</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Tranche B 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3.50%</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6/24/2021</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497,500</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495,228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498,062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DaVita Inc.)</w:t>
            </w: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3,460,027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3,436,485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3,413,835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Dealertrack Technologies,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3.25%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2/26/2021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477,011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475,991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474,230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Dell International LLC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4/29/2020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2,969,962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2,957,576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2,980,684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Delos Finance SARL</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3.50%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497,835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499,790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Delta 2 (Lux) S.a.r.l.</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B-3</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7/30/2021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995,314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995,630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2"/>
              </w:rPr>
              <w:t>Deluxe Entertainment Service Group,</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2/28/2020</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3"/>
              </w:rPr>
              <w:t>1,882,983</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1,884,624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1,835,908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Inc.</w:t>
            </w: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Devix US, Inc.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247,710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250,938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Devix US,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(Second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8.00%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497,500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495,324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990,370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Dollar Tree</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Retail</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 (3950MM)</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1,007,500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DPX Holdings B.V.</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3/11/2021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2,985,000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2,978,605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2,962,075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Drew Marine Group Inc.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11/19/2020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1,489,975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1,495,721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1,473,213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Education Management LLC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A</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501,970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482,120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457,295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Education Management LLC</w:t>
            </w:r>
          </w:p>
        </w:tc>
        <w:tc>
          <w:tcPr>
            <w:tcW w:w="23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Leisure Goods/Activities/Movies</w:t>
            </w:r>
          </w:p>
        </w:tc>
        <w:tc>
          <w:tcPr>
            <w:tcW w:w="230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8.50%</w:t>
            </w:r>
          </w:p>
        </w:tc>
        <w:tc>
          <w:tcPr>
            <w:tcW w:w="26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7/2/2020</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836,617</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805,283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672,882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98"/>
              <w:spacing w:after="0" w:line="149" w:lineRule="exact"/>
              <w:rPr>
                <w:sz w:val="20"/>
                <w:szCs w:val="20"/>
                <w:color w:val="auto"/>
              </w:rPr>
            </w:pPr>
            <w:r>
              <w:rPr>
                <w:rFonts w:ascii="Arial" w:cs="Arial" w:eastAsia="Arial" w:hAnsi="Arial"/>
                <w:sz w:val="14"/>
                <w:szCs w:val="14"/>
                <w:color w:val="auto"/>
              </w:rPr>
              <w:t>(2.00%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98"/>
              <w:spacing w:after="0" w:line="149" w:lineRule="exact"/>
              <w:rPr>
                <w:sz w:val="20"/>
                <w:szCs w:val="20"/>
                <w:color w:val="auto"/>
              </w:rPr>
            </w:pPr>
            <w:r>
              <w:rPr>
                <w:rFonts w:ascii="Arial" w:cs="Arial" w:eastAsia="Arial" w:hAnsi="Arial"/>
                <w:sz w:val="14"/>
                <w:szCs w:val="14"/>
                <w:color w:val="auto"/>
              </w:rPr>
              <w:t>Cash/</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98"/>
              <w:spacing w:after="0" w:line="159" w:lineRule="exact"/>
              <w:rPr>
                <w:sz w:val="20"/>
                <w:szCs w:val="20"/>
                <w:color w:val="auto"/>
              </w:rPr>
            </w:pPr>
            <w:r>
              <w:rPr>
                <w:rFonts w:ascii="Arial" w:cs="Arial" w:eastAsia="Arial" w:hAnsi="Arial"/>
                <w:sz w:val="14"/>
                <w:szCs w:val="14"/>
                <w:color w:val="auto"/>
              </w:rPr>
              <w:t>PIK)</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11/8/2019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983,552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989,969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w w:val="92"/>
              </w:rPr>
              <w:t>Emerald Performance Materials,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498,750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496,403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496,102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2"/>
              </w:rPr>
              <w:t>Emerald Performance Materials, LLC</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(Second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484,845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EnergySolutions, LLC</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Oil &amp; Gas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5/29/2020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937,857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921,126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942,546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9"/>
              </w:rPr>
              <w:t>Enviromental Resources Management</w:t>
            </w:r>
          </w:p>
        </w:tc>
        <w:tc>
          <w:tcPr>
            <w:tcW w:w="23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Evergreen Acqco 1 LP</w:t>
            </w:r>
          </w:p>
        </w:tc>
        <w:tc>
          <w:tcPr>
            <w:tcW w:w="23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New 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7/9/2019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975,056</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972,887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955,555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EWT Holdings III Corp. (fka WTG</w:t>
            </w:r>
          </w:p>
        </w:tc>
        <w:tc>
          <w:tcPr>
            <w:tcW w:w="23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Industrial Equipment</w:t>
            </w:r>
          </w:p>
        </w:tc>
        <w:tc>
          <w:tcPr>
            <w:tcW w:w="230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98"/>
              <w:spacing w:after="0" w:line="138"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1/15/2021</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w w:val="83"/>
              </w:rPr>
              <w:t>1,987,481</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1,982,274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1,972,575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Holdings III Corp.)</w:t>
            </w:r>
          </w:p>
        </w:tc>
        <w:tc>
          <w:tcPr>
            <w:tcW w:w="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28" w:name="page29"/>
    <w:bookmarkEnd w:id="2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auto"/>
              </w:rPr>
              <w:t>Federal-Mogul Corporation</w:t>
            </w:r>
          </w:p>
        </w:tc>
        <w:tc>
          <w:tcPr>
            <w:tcW w:w="2240" w:type="dxa"/>
            <w:vAlign w:val="bottom"/>
          </w:tcPr>
          <w:p>
            <w:pPr>
              <w:ind w:left="60"/>
              <w:spacing w:after="0"/>
              <w:rPr>
                <w:sz w:val="20"/>
                <w:szCs w:val="20"/>
                <w:color w:val="auto"/>
              </w:rPr>
            </w:pPr>
            <w:r>
              <w:rPr>
                <w:rFonts w:ascii="Arial" w:cs="Arial" w:eastAsia="Arial" w:hAnsi="Arial"/>
                <w:sz w:val="14"/>
                <w:szCs w:val="14"/>
                <w:color w:val="auto"/>
              </w:rPr>
              <w:t>Automotive</w:t>
            </w:r>
          </w:p>
        </w:tc>
        <w:tc>
          <w:tcPr>
            <w:tcW w:w="2320" w:type="dxa"/>
            <w:vAlign w:val="bottom"/>
          </w:tcPr>
          <w:p>
            <w:pPr>
              <w:ind w:left="220"/>
              <w:spacing w:after="0"/>
              <w:rPr>
                <w:sz w:val="20"/>
                <w:szCs w:val="20"/>
                <w:color w:val="auto"/>
              </w:rPr>
            </w:pPr>
            <w:r>
              <w:rPr>
                <w:rFonts w:ascii="Arial" w:cs="Arial" w:eastAsia="Arial" w:hAnsi="Arial"/>
                <w:sz w:val="14"/>
                <w:szCs w:val="14"/>
                <w:color w:val="auto"/>
              </w:rPr>
              <w:t>Tranche C Term Loan</w:t>
            </w:r>
          </w:p>
        </w:tc>
        <w:tc>
          <w:tcPr>
            <w:tcW w:w="620" w:type="dxa"/>
            <w:vAlign w:val="bottom"/>
          </w:tcPr>
          <w:p>
            <w:pPr>
              <w:ind w:left="100"/>
              <w:spacing w:after="0"/>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4/15/2021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w w:val="83"/>
              </w:rPr>
              <w:t>2,985,000</w:t>
            </w: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2,971,883</w:t>
            </w:r>
          </w:p>
        </w:tc>
        <w:tc>
          <w:tcPr>
            <w:tcW w:w="800" w:type="dxa"/>
            <w:vAlign w:val="bottom"/>
          </w:tcPr>
          <w:p>
            <w:pPr>
              <w:jc w:val="right"/>
              <w:spacing w:after="0"/>
              <w:rPr>
                <w:sz w:val="20"/>
                <w:szCs w:val="20"/>
                <w:color w:val="auto"/>
              </w:rPr>
            </w:pPr>
            <w:r>
              <w:rPr>
                <w:rFonts w:ascii="Arial" w:cs="Arial" w:eastAsia="Arial" w:hAnsi="Arial"/>
                <w:sz w:val="14"/>
                <w:szCs w:val="14"/>
                <w:color w:val="auto"/>
              </w:rPr>
              <w:t>2,975,687</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 Data Corporation</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1"/>
              </w:rPr>
              <w:t>2017 Second New Dollar 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3.74%</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3/23/2018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2,790,451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2,729,399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2,785,568</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First Data Corporation</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2018 Dollar 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4.24%</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3/24/2021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2,111,028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2,021,476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2,115,777</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Fitness International,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1,492,500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1,482,322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1,421,606</w:t>
            </w: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8"/>
              </w:rPr>
              <w:t>FMG Resources (August 2006) Pty</w:t>
            </w:r>
          </w:p>
        </w:tc>
        <w:tc>
          <w:tcPr>
            <w:tcW w:w="2240" w:type="dxa"/>
            <w:vAlign w:val="bottom"/>
          </w:tcPr>
          <w:p>
            <w:pPr>
              <w:ind w:left="60"/>
              <w:spacing w:after="0" w:line="138" w:lineRule="exact"/>
              <w:rPr>
                <w:sz w:val="20"/>
                <w:szCs w:val="20"/>
                <w:color w:val="auto"/>
              </w:rPr>
            </w:pPr>
            <w:r>
              <w:rPr>
                <w:rFonts w:ascii="Arial" w:cs="Arial" w:eastAsia="Arial" w:hAnsi="Arial"/>
                <w:sz w:val="14"/>
                <w:szCs w:val="14"/>
                <w:color w:val="auto"/>
              </w:rPr>
              <w:t>Nonferrous Metals/Minerals</w:t>
            </w:r>
          </w:p>
        </w:tc>
        <w:tc>
          <w:tcPr>
            <w:tcW w:w="2320" w:type="dxa"/>
            <w:vAlign w:val="bottom"/>
          </w:tcPr>
          <w:p>
            <w:pPr>
              <w:ind w:left="220"/>
              <w:spacing w:after="0" w:line="138" w:lineRule="exact"/>
              <w:rPr>
                <w:sz w:val="20"/>
                <w:szCs w:val="20"/>
                <w:color w:val="auto"/>
              </w:rPr>
            </w:pPr>
            <w:r>
              <w:rPr>
                <w:rFonts w:ascii="Arial" w:cs="Arial" w:eastAsia="Arial" w:hAnsi="Arial"/>
                <w:sz w:val="14"/>
                <w:szCs w:val="14"/>
                <w:color w:val="auto"/>
              </w:rPr>
              <w:t>Loan</w:t>
            </w:r>
          </w:p>
        </w:tc>
        <w:tc>
          <w:tcPr>
            <w:tcW w:w="620" w:type="dxa"/>
            <w:vAlign w:val="bottom"/>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38"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6/28/2019</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38" w:lineRule="exact"/>
              <w:rPr>
                <w:sz w:val="20"/>
                <w:szCs w:val="20"/>
                <w:color w:val="auto"/>
              </w:rPr>
            </w:pPr>
            <w:r>
              <w:rPr>
                <w:rFonts w:ascii="Arial" w:cs="Arial" w:eastAsia="Arial" w:hAnsi="Arial"/>
                <w:sz w:val="14"/>
                <w:szCs w:val="14"/>
                <w:color w:val="auto"/>
                <w:w w:val="83"/>
              </w:rPr>
              <w:t>1,982,462</w:t>
            </w:r>
          </w:p>
        </w:tc>
        <w:tc>
          <w:tcPr>
            <w:tcW w:w="92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1,982,212</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1,835,423</w:t>
            </w: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w w:val="95"/>
              </w:rPr>
              <w:t>LTD (FMG America Finance, Inc.)</w:t>
            </w:r>
          </w:p>
        </w:tc>
        <w:tc>
          <w:tcPr>
            <w:tcW w:w="2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Four Seasons Holdings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6/27/2020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493,750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493,750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491,281</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B Delayed Draw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11/6/2020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201,157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200,308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199,146</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11/6/2020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786,343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783,060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778,479</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Gardner Denver,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Oil &amp; Gas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Initial Dollar 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2,476,212</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2,467,608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2,377,164</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Gates Global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493,763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494,885</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Generac Power Systems,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802,956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789,932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797,182</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Amended Tranche B 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3/4/2019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4,724,136</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4,709,712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4,649,353</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Global Tel*Link Corporation</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5/26/2020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2,755,515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2,747,025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2,719,914</w:t>
            </w: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Goodyear Tire &amp; Rubber Company,</w:t>
            </w:r>
          </w:p>
        </w:tc>
        <w:tc>
          <w:tcPr>
            <w:tcW w:w="22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Chemicals/Plastics</w:t>
            </w:r>
          </w:p>
        </w:tc>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Loan (Second Lien)</w:t>
            </w:r>
          </w:p>
        </w:tc>
        <w:tc>
          <w:tcPr>
            <w:tcW w:w="6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4/30/2019</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w w:val="83"/>
              </w:rPr>
              <w:t>3,333,333</w:t>
            </w:r>
          </w:p>
        </w:tc>
        <w:tc>
          <w:tcPr>
            <w:tcW w:w="9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3,296,753</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3,347,933</w:t>
            </w: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The</w:t>
            </w:r>
          </w:p>
        </w:tc>
        <w:tc>
          <w:tcPr>
            <w:tcW w:w="22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rPr>
              <w:t>Grosvenor Capital Management</w:t>
            </w:r>
          </w:p>
        </w:tc>
        <w:tc>
          <w:tcPr>
            <w:tcW w:w="2240" w:type="dxa"/>
            <w:vAlign w:val="bottom"/>
          </w:tcPr>
          <w:p>
            <w:pPr>
              <w:ind w:left="60"/>
              <w:spacing w:after="0" w:line="138" w:lineRule="exact"/>
              <w:rPr>
                <w:sz w:val="20"/>
                <w:szCs w:val="20"/>
                <w:color w:val="auto"/>
              </w:rPr>
            </w:pPr>
            <w:r>
              <w:rPr>
                <w:rFonts w:ascii="Arial" w:cs="Arial" w:eastAsia="Arial" w:hAnsi="Arial"/>
                <w:sz w:val="14"/>
                <w:szCs w:val="14"/>
                <w:color w:val="auto"/>
                <w:w w:val="96"/>
              </w:rPr>
              <w:t>Brokers/Dealers/Investment Houses</w:t>
            </w:r>
          </w:p>
        </w:tc>
        <w:tc>
          <w:tcPr>
            <w:tcW w:w="2320" w:type="dxa"/>
            <w:vAlign w:val="bottom"/>
          </w:tcPr>
          <w:p>
            <w:pPr>
              <w:ind w:left="220"/>
              <w:spacing w:after="0" w:line="138" w:lineRule="exact"/>
              <w:rPr>
                <w:sz w:val="20"/>
                <w:szCs w:val="20"/>
                <w:color w:val="auto"/>
              </w:rPr>
            </w:pPr>
            <w:r>
              <w:rPr>
                <w:rFonts w:ascii="Arial" w:cs="Arial" w:eastAsia="Arial" w:hAnsi="Arial"/>
                <w:sz w:val="14"/>
                <w:szCs w:val="14"/>
                <w:color w:val="auto"/>
              </w:rPr>
              <w:t>Initial Term Loan</w:t>
            </w:r>
          </w:p>
        </w:tc>
        <w:tc>
          <w:tcPr>
            <w:tcW w:w="620" w:type="dxa"/>
            <w:vAlign w:val="bottom"/>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38"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1/4/2021</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38" w:lineRule="exact"/>
              <w:rPr>
                <w:sz w:val="20"/>
                <w:szCs w:val="20"/>
                <w:color w:val="auto"/>
              </w:rPr>
            </w:pPr>
            <w:r>
              <w:rPr>
                <w:rFonts w:ascii="Arial" w:cs="Arial" w:eastAsia="Arial" w:hAnsi="Arial"/>
                <w:sz w:val="14"/>
                <w:szCs w:val="14"/>
                <w:color w:val="auto"/>
                <w:w w:val="83"/>
              </w:rPr>
              <w:t>3,395,892</w:t>
            </w:r>
          </w:p>
        </w:tc>
        <w:tc>
          <w:tcPr>
            <w:tcW w:w="92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3,381,240</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3,353,443</w:t>
            </w: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Holdings, LP</w:t>
            </w:r>
          </w:p>
        </w:tc>
        <w:tc>
          <w:tcPr>
            <w:tcW w:w="2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GTCR Valor Companies,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1,995,000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1,981,582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1,965,075</w:t>
            </w: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8"/>
              </w:rPr>
              <w:t>Harland Clarke Holdings Corp. (fka</w:t>
            </w:r>
          </w:p>
        </w:tc>
        <w:tc>
          <w:tcPr>
            <w:tcW w:w="2240" w:type="dxa"/>
            <w:vAlign w:val="bottom"/>
          </w:tcPr>
          <w:p>
            <w:pPr>
              <w:ind w:left="60"/>
              <w:spacing w:after="0" w:line="138" w:lineRule="exact"/>
              <w:rPr>
                <w:sz w:val="20"/>
                <w:szCs w:val="20"/>
                <w:color w:val="auto"/>
              </w:rPr>
            </w:pPr>
            <w:r>
              <w:rPr>
                <w:rFonts w:ascii="Arial" w:cs="Arial" w:eastAsia="Arial" w:hAnsi="Arial"/>
                <w:sz w:val="14"/>
                <w:szCs w:val="14"/>
                <w:color w:val="auto"/>
              </w:rPr>
              <w:t>Publishing</w:t>
            </w:r>
          </w:p>
        </w:tc>
        <w:tc>
          <w:tcPr>
            <w:tcW w:w="2320" w:type="dxa"/>
            <w:vAlign w:val="bottom"/>
          </w:tcPr>
          <w:p>
            <w:pPr>
              <w:ind w:left="220"/>
              <w:spacing w:after="0" w:line="138" w:lineRule="exact"/>
              <w:rPr>
                <w:sz w:val="20"/>
                <w:szCs w:val="20"/>
                <w:color w:val="auto"/>
              </w:rPr>
            </w:pPr>
            <w:r>
              <w:rPr>
                <w:rFonts w:ascii="Arial" w:cs="Arial" w:eastAsia="Arial" w:hAnsi="Arial"/>
                <w:sz w:val="14"/>
                <w:szCs w:val="14"/>
                <w:color w:val="auto"/>
              </w:rPr>
              <w:t>Tranche B-4 Term Loan</w:t>
            </w:r>
          </w:p>
        </w:tc>
        <w:tc>
          <w:tcPr>
            <w:tcW w:w="620" w:type="dxa"/>
            <w:vAlign w:val="bottom"/>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38"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8/2/2019</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487,500</w:t>
            </w:r>
          </w:p>
        </w:tc>
        <w:tc>
          <w:tcPr>
            <w:tcW w:w="92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485,460</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488,963</w:t>
            </w: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Clarke American Corp.)</w:t>
            </w:r>
          </w:p>
        </w:tc>
        <w:tc>
          <w:tcPr>
            <w:tcW w:w="2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HCA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Tranche B-4 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2.99%</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5,663,006</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5,409,534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5,658,872</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Hertz Corporation, The</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Automotive</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Tranche B-1 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3/12/2018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2,940,000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2,975,234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2,927,152</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Hoffmaster Group,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Containers/Glass Products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5/8/2020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1,990,000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1,972,040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1,999,950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Huntsman International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Extended Term B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2.69%</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4/19/2017</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3,880,270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3,866,113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3,872,199</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Husky Injection</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6/30/2021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498,099</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495,886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495,818</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Ikaria,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Initial Term Loan (First Lien)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2/12/2021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435,702</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433,809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434,251</w:t>
            </w: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Infor (US), Inc. (fka Lawson Software</w:t>
            </w:r>
          </w:p>
        </w:tc>
        <w:tc>
          <w:tcPr>
            <w:tcW w:w="22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Tranche B-5 Term Loan</w:t>
            </w:r>
          </w:p>
        </w:tc>
        <w:tc>
          <w:tcPr>
            <w:tcW w:w="6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6/3/2020</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w w:val="83"/>
              </w:rPr>
              <w:t>2,211,036</w:t>
            </w:r>
          </w:p>
        </w:tc>
        <w:tc>
          <w:tcPr>
            <w:tcW w:w="9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2,194,068</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2,190,650</w:t>
            </w: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22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Insight Global</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10/29/2021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1,990,539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1,993,760</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 Crew Group,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6"/>
              </w:rPr>
              <w:t>Term B-1 Loan Retired 03/05/2014</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3/5/2021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965,206</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965,206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906,493</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Jazz Acquisition,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First Lien 6/14</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6/19/2021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497,576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496,332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492,913</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Kinetic Concepts,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Dollar Term D-1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5/4/2018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2,477,613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2,453,687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2,477,167</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Koosharem,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5/15/2020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2,995,000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2,968,450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2,961,306</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 Quinta Holdings,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4/14/2021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451,283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449,626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450,719</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Level 3 Financing,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1/31/2022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496,541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502,085</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Mauser Holdings,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Containers/Glass Products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496,409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491,269</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Michaels Stores,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491,250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491,250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488,258</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Michaels Stores,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B-2</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1,492,500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1,485,638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1,488,769</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Microsemi Corporation</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Incremental 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2,393,981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2,389,500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2,381,509</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Microsemi Corporation</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172,170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172,170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171,309</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Midas Intermediate Holdco II,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Automotive</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Delayed Draw 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25,253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25,253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25,364</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Midas Intermediate Holdco II,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Automotive</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8/18/2021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224,122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223,063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225,103</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Millenium Laboratories,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Drugs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4/16/2021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1,492,500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1,479,041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1,489,396</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Mitel US Holdings,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1/31/2020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196,558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195,710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196,411</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MPH Acquisition Holdings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445,455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444,453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442,033</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MSC Software Corp.</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5/29/2020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986,186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996,244</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National CineMedia,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(2013)</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11/26/2019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1,086,207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1,058,933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1,067,198</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National Veterinary Associates,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8/14/2021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992,907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996,253</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National Vision,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(Second Lien)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3/11/2022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249,730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240,418</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Newsday,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Publishing</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3.69%</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10/12/2016</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2,215,385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2,214,305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2,201,538</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Nortek,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10/30/2020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992,803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986,921</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Novelis,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Conglomerate</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Initial 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3/10/2017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4,807,530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4,817,740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4,799,502</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NPC International,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(2013)</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12/28/2018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486,250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486,250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480,780</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NRG Energy,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Utilities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(2013)</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7/2/2018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3,861,225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3,842,164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3,850,761</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NuSil Technology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4/7/2017</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797,986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797,986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791,004</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Ollie’s Bargain Outlet,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9/30/2019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977,052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972,882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962,396</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On Assignment,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Initial Term B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5/15/2020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1,311,364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1,303,451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1,301,528</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Onex Carestream Finance LP</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 2013)</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6/7/2019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4,074,401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4,059,378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4,078,842</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OnexYork Acquisition Co</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Delayed Draw 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OnexYork Acquisition Co</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495,208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496,466</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OpenLink International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10/28/2017</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970,000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957,875</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Orbitz Worldwide,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4/15/2021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1,494,994</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1,492,711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1,494,755</w:t>
            </w: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3"/>
              </w:rPr>
              <w:t>P.F. Chang’s China Bistro, Inc. (Wok</w:t>
            </w:r>
          </w:p>
        </w:tc>
        <w:tc>
          <w:tcPr>
            <w:tcW w:w="2240" w:type="dxa"/>
            <w:vAlign w:val="bottom"/>
          </w:tcPr>
          <w:p>
            <w:pPr>
              <w:ind w:left="60"/>
              <w:spacing w:after="0" w:line="138" w:lineRule="exact"/>
              <w:rPr>
                <w:sz w:val="20"/>
                <w:szCs w:val="20"/>
                <w:color w:val="auto"/>
              </w:rPr>
            </w:pPr>
            <w:r>
              <w:rPr>
                <w:rFonts w:ascii="Arial" w:cs="Arial" w:eastAsia="Arial" w:hAnsi="Arial"/>
                <w:sz w:val="14"/>
                <w:szCs w:val="14"/>
                <w:color w:val="auto"/>
              </w:rPr>
              <w:t>Food/Drug Retailers</w:t>
            </w:r>
          </w:p>
        </w:tc>
        <w:tc>
          <w:tcPr>
            <w:tcW w:w="2320" w:type="dxa"/>
            <w:vAlign w:val="bottom"/>
          </w:tcPr>
          <w:p>
            <w:pPr>
              <w:ind w:left="220"/>
              <w:spacing w:after="0" w:line="138" w:lineRule="exact"/>
              <w:rPr>
                <w:sz w:val="20"/>
                <w:szCs w:val="20"/>
                <w:color w:val="auto"/>
              </w:rPr>
            </w:pPr>
            <w:r>
              <w:rPr>
                <w:rFonts w:ascii="Arial" w:cs="Arial" w:eastAsia="Arial" w:hAnsi="Arial"/>
                <w:sz w:val="14"/>
                <w:szCs w:val="14"/>
                <w:color w:val="auto"/>
              </w:rPr>
              <w:t>Term Borrowing</w:t>
            </w:r>
          </w:p>
        </w:tc>
        <w:tc>
          <w:tcPr>
            <w:tcW w:w="620" w:type="dxa"/>
            <w:vAlign w:val="bottom"/>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38"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6/24/2019</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38" w:lineRule="exact"/>
              <w:rPr>
                <w:sz w:val="20"/>
                <w:szCs w:val="20"/>
                <w:color w:val="auto"/>
              </w:rPr>
            </w:pPr>
            <w:r>
              <w:rPr>
                <w:rFonts w:ascii="Arial" w:cs="Arial" w:eastAsia="Arial" w:hAnsi="Arial"/>
                <w:sz w:val="14"/>
                <w:szCs w:val="14"/>
                <w:color w:val="auto"/>
                <w:w w:val="83"/>
              </w:rPr>
              <w:t>1,447,901</w:t>
            </w:r>
          </w:p>
        </w:tc>
        <w:tc>
          <w:tcPr>
            <w:tcW w:w="92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1,440,712</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1,406,274</w:t>
            </w: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Acquisition Corp.)</w:t>
            </w:r>
          </w:p>
        </w:tc>
        <w:tc>
          <w:tcPr>
            <w:tcW w:w="2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P2 Upstream Acquisition Co. (P2</w:t>
            </w:r>
          </w:p>
        </w:tc>
        <w:tc>
          <w:tcPr>
            <w:tcW w:w="22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Term Loan (First Lien)</w:t>
            </w:r>
          </w:p>
        </w:tc>
        <w:tc>
          <w:tcPr>
            <w:tcW w:w="6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10/30/2020</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990,000</w:t>
            </w:r>
          </w:p>
        </w:tc>
        <w:tc>
          <w:tcPr>
            <w:tcW w:w="9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985,444</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947,925</w:t>
            </w: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Upstream Canada BC ULC)</w:t>
            </w:r>
          </w:p>
        </w:tc>
        <w:tc>
          <w:tcPr>
            <w:tcW w:w="22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Par Pharmaceutical</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B3</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9/28/2019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497,502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499,065</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PetCo Animal Supplies Stores,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Retailers (Except Food and Drugs)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New Loans</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11/24/2017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1,469,388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1,468,520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1,467,066</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PetSmart</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Retail</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3/11/2022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1,007,050</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PGX Holdings,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9/29/2020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993,750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984,482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993,750</w:t>
            </w: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89"/>
              </w:rPr>
              <w:t>Pharmaceutical Product Development,</w:t>
            </w:r>
          </w:p>
        </w:tc>
        <w:tc>
          <w:tcPr>
            <w:tcW w:w="2240" w:type="dxa"/>
            <w:vAlign w:val="bottom"/>
          </w:tcPr>
          <w:p>
            <w:pPr>
              <w:ind w:left="60"/>
              <w:spacing w:after="0" w:line="138" w:lineRule="exact"/>
              <w:rPr>
                <w:sz w:val="20"/>
                <w:szCs w:val="20"/>
                <w:color w:val="auto"/>
              </w:rPr>
            </w:pPr>
            <w:r>
              <w:rPr>
                <w:rFonts w:ascii="Arial" w:cs="Arial" w:eastAsia="Arial" w:hAnsi="Arial"/>
                <w:sz w:val="14"/>
                <w:szCs w:val="14"/>
                <w:color w:val="auto"/>
              </w:rPr>
              <w:t>Conglomerate</w:t>
            </w:r>
          </w:p>
        </w:tc>
        <w:tc>
          <w:tcPr>
            <w:tcW w:w="2320" w:type="dxa"/>
            <w:vAlign w:val="bottom"/>
          </w:tcPr>
          <w:p>
            <w:pPr>
              <w:ind w:left="220"/>
              <w:spacing w:after="0" w:line="138" w:lineRule="exact"/>
              <w:rPr>
                <w:sz w:val="20"/>
                <w:szCs w:val="20"/>
                <w:color w:val="auto"/>
              </w:rPr>
            </w:pPr>
            <w:r>
              <w:rPr>
                <w:rFonts w:ascii="Arial" w:cs="Arial" w:eastAsia="Arial" w:hAnsi="Arial"/>
                <w:sz w:val="14"/>
                <w:szCs w:val="14"/>
                <w:color w:val="auto"/>
              </w:rPr>
              <w:t>2013 Term Loan</w:t>
            </w:r>
          </w:p>
        </w:tc>
        <w:tc>
          <w:tcPr>
            <w:tcW w:w="620" w:type="dxa"/>
            <w:vAlign w:val="bottom"/>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38"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12/5/2018</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38" w:lineRule="exact"/>
              <w:rPr>
                <w:sz w:val="20"/>
                <w:szCs w:val="20"/>
                <w:color w:val="auto"/>
              </w:rPr>
            </w:pPr>
            <w:r>
              <w:rPr>
                <w:rFonts w:ascii="Arial" w:cs="Arial" w:eastAsia="Arial" w:hAnsi="Arial"/>
                <w:sz w:val="14"/>
                <w:szCs w:val="14"/>
                <w:color w:val="auto"/>
                <w:w w:val="83"/>
              </w:rPr>
              <w:t>1,940,400</w:t>
            </w:r>
          </w:p>
        </w:tc>
        <w:tc>
          <w:tcPr>
            <w:tcW w:w="92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1,918,409</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1,935,898</w:t>
            </w: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Inc. (Jaguar Holdings, LLC)</w:t>
            </w:r>
          </w:p>
        </w:tc>
        <w:tc>
          <w:tcPr>
            <w:tcW w:w="2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Phillips-Medisize Corporation</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6/16/2021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495,245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495,948</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Pinnacle Foods Finance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Food Products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New Term Loan G</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2,581,332</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2,576,466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2,565,560</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Planet Fitness Holdings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1,488,750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1,482,052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1,488,750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Polymer Group,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Initial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12/19/2019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492,860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495,619</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Presidio</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1,940,655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1,973,760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Prestige Brands,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Drugs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B-1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4.13%</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1/31/2019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344,697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341,112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344,697</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Prestige Brands,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9/3/2021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1,861,111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1,858,280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1,860,534</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QoL Meds,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7/15/2020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1,995,000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1,985,909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1,990,013</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Quintiles Transnational Corp.</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Conglomerate</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B-3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6/8/2018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3,627,678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3,600,425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3,628,802</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Ranpak Holdings,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995,145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996,882</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Ranpak Holdings,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(Second Lien)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9/30/2022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497,672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496,250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Redtop Acquisitions Limited</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w w:val="96"/>
              </w:rPr>
              <w:t>Initial Dollar Term Loan (First Lien)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12/3/2020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491,974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494,381</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Rexnord LLC/RBS Global,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8/21/2020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1,646,799</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1,648,172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1,642,172</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Reynolds Group Holdings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Incremental U.S. 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12/1/2018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1,960,200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1,960,200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1,965,767</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Riverbed Technology</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Technology</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2/25/2022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1,007,500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Rocket Software,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1,916,674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1,898,764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1,906,285</w:t>
            </w: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Rovi Solutions Corporation / Rovi</w:t>
            </w:r>
          </w:p>
        </w:tc>
        <w:tc>
          <w:tcPr>
            <w:tcW w:w="22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Electronics/Electric</w:t>
            </w:r>
          </w:p>
        </w:tc>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Tranche B-3 Term Loan</w:t>
            </w:r>
          </w:p>
        </w:tc>
        <w:tc>
          <w:tcPr>
            <w:tcW w:w="6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7/2/2021</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w w:val="83"/>
              </w:rPr>
              <w:t>1,492,500</w:t>
            </w:r>
          </w:p>
        </w:tc>
        <w:tc>
          <w:tcPr>
            <w:tcW w:w="9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1,485,607</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1,479,441</w:t>
            </w: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Guides, Inc.</w:t>
            </w:r>
          </w:p>
        </w:tc>
        <w:tc>
          <w:tcPr>
            <w:tcW w:w="22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RPI Finance Trust</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Drugs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B-2 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5,207,431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5,188,396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5,219,147</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SBP Holdings LP</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3/27/2021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988,065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863,475</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w w:val="98"/>
              </w:rPr>
              <w:t>Scientific Games International, Inc.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B2</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990,433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998,040</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Scitor Corporation</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2/15/2017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463,977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462,387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461,077</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Seadrill</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Oil &amp; Gas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997,481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917,590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806,294</w:t>
            </w: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Sensata Technologies B.V./Sensata</w:t>
            </w:r>
          </w:p>
        </w:tc>
        <w:tc>
          <w:tcPr>
            <w:tcW w:w="22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Industrial Equipment</w:t>
            </w:r>
          </w:p>
        </w:tc>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3.25%</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5/13/2019</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w w:val="83"/>
              </w:rPr>
              <w:t>1,509,445</w:t>
            </w:r>
          </w:p>
        </w:tc>
        <w:tc>
          <w:tcPr>
            <w:tcW w:w="9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1,509,445</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1,511,603</w:t>
            </w: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89"/>
              </w:rPr>
              <w:t>Technology Finance Company, LLC</w:t>
            </w:r>
          </w:p>
        </w:tc>
        <w:tc>
          <w:tcPr>
            <w:tcW w:w="22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rPr>
              <w:t>Sensus USA Inc. (fka Sensus</w:t>
            </w:r>
          </w:p>
        </w:tc>
        <w:tc>
          <w:tcPr>
            <w:tcW w:w="2240" w:type="dxa"/>
            <w:vAlign w:val="bottom"/>
          </w:tcPr>
          <w:p>
            <w:pPr>
              <w:ind w:left="60"/>
              <w:spacing w:after="0" w:line="138" w:lineRule="exact"/>
              <w:rPr>
                <w:sz w:val="20"/>
                <w:szCs w:val="20"/>
                <w:color w:val="auto"/>
              </w:rPr>
            </w:pPr>
            <w:r>
              <w:rPr>
                <w:rFonts w:ascii="Arial" w:cs="Arial" w:eastAsia="Arial" w:hAnsi="Arial"/>
                <w:sz w:val="14"/>
                <w:szCs w:val="14"/>
                <w:color w:val="auto"/>
              </w:rPr>
              <w:t>Utilities</w:t>
            </w:r>
          </w:p>
        </w:tc>
        <w:tc>
          <w:tcPr>
            <w:tcW w:w="2320" w:type="dxa"/>
            <w:vAlign w:val="bottom"/>
          </w:tcPr>
          <w:p>
            <w:pPr>
              <w:ind w:left="220"/>
              <w:spacing w:after="0" w:line="138" w:lineRule="exact"/>
              <w:rPr>
                <w:sz w:val="20"/>
                <w:szCs w:val="20"/>
                <w:color w:val="auto"/>
              </w:rPr>
            </w:pPr>
            <w:r>
              <w:rPr>
                <w:rFonts w:ascii="Arial" w:cs="Arial" w:eastAsia="Arial" w:hAnsi="Arial"/>
                <w:sz w:val="14"/>
                <w:szCs w:val="14"/>
                <w:color w:val="auto"/>
              </w:rPr>
              <w:t>Term Loan (First Lien)</w:t>
            </w:r>
          </w:p>
        </w:tc>
        <w:tc>
          <w:tcPr>
            <w:tcW w:w="620" w:type="dxa"/>
            <w:vAlign w:val="bottom"/>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38"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5/9/2017</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38" w:lineRule="exact"/>
              <w:rPr>
                <w:sz w:val="20"/>
                <w:szCs w:val="20"/>
                <w:color w:val="auto"/>
              </w:rPr>
            </w:pPr>
            <w:r>
              <w:rPr>
                <w:rFonts w:ascii="Arial" w:cs="Arial" w:eastAsia="Arial" w:hAnsi="Arial"/>
                <w:sz w:val="14"/>
                <w:szCs w:val="14"/>
                <w:color w:val="auto"/>
                <w:w w:val="83"/>
              </w:rPr>
              <w:t>1,925,067</w:t>
            </w:r>
          </w:p>
        </w:tc>
        <w:tc>
          <w:tcPr>
            <w:tcW w:w="92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1,920,548</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1,925,067</w:t>
            </w: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Metering Systems)</w:t>
            </w:r>
          </w:p>
        </w:tc>
        <w:tc>
          <w:tcPr>
            <w:tcW w:w="2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ServiceMaster Company, The</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Conglomerate</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Tranche B 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1,995,000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1,976,650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1,994,641</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Shearers Foods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6/30/2021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995,166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996,253</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Sonneborn, LLC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12/10/2020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224,471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Sonneborn,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Initial US 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12/10/2020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1,275,000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1,272,004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1,275,000</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Sophia, L.P.</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7/19/2018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886,138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877,732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884,756</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SourceHOV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B (First Lien)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10/31/2019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1,942,284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1,915,000</w:t>
            </w: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Southwire Company, LLC (f.k.a</w:t>
            </w:r>
          </w:p>
        </w:tc>
        <w:tc>
          <w:tcPr>
            <w:tcW w:w="22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Building and Development</w:t>
            </w:r>
          </w:p>
        </w:tc>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Initial Term Loan</w:t>
            </w:r>
          </w:p>
        </w:tc>
        <w:tc>
          <w:tcPr>
            <w:tcW w:w="6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3.25%</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2/10/2021</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496,250</w:t>
            </w:r>
          </w:p>
        </w:tc>
        <w:tc>
          <w:tcPr>
            <w:tcW w:w="92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495,181</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485,084</w:t>
            </w: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Southwire Company)</w:t>
            </w:r>
          </w:p>
        </w:tc>
        <w:tc>
          <w:tcPr>
            <w:tcW w:w="22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SRAM, LLC</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2,967,681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2,957,888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2,952,842</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Steak ‘n Shake Operations, Inc.</w:t>
            </w:r>
          </w:p>
        </w:tc>
        <w:tc>
          <w:tcPr>
            <w:tcW w:w="2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Food Services</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3/19/2021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983,723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975,131</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STHI Holding</w:t>
            </w:r>
          </w:p>
        </w:tc>
        <w:tc>
          <w:tcPr>
            <w:tcW w:w="224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8/6/2021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994,388</w:t>
            </w:r>
          </w:p>
        </w:tc>
      </w:tr>
      <w:tr>
        <w:trPr>
          <w:trHeight w:val="70"/>
        </w:trPr>
        <w:tc>
          <w:tcPr>
            <w:tcW w:w="2160" w:type="dxa"/>
            <w:vAlign w:val="bottom"/>
            <w:shd w:val="clear" w:color="auto" w:fill="CCEEFF"/>
          </w:tcPr>
          <w:p>
            <w:pPr>
              <w:spacing w:after="0"/>
              <w:rPr>
                <w:sz w:val="6"/>
                <w:szCs w:val="6"/>
                <w:color w:val="auto"/>
              </w:rPr>
            </w:pPr>
          </w:p>
        </w:tc>
        <w:tc>
          <w:tcPr>
            <w:tcW w:w="224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127" w:right="2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w w:val="99"/>
              </w:rPr>
              <w:t>SunGard Data Systems Inc. (Solar</w:t>
            </w:r>
          </w:p>
        </w:tc>
        <w:tc>
          <w:tcPr>
            <w:tcW w:w="20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Conglomerate</w:t>
            </w:r>
          </w:p>
        </w:tc>
        <w:tc>
          <w:tcPr>
            <w:tcW w:w="2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Tranche C Term Loan</w:t>
            </w:r>
          </w:p>
        </w:tc>
        <w:tc>
          <w:tcPr>
            <w:tcW w:w="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3.90%</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2/28/2017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285,352</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283,117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285,084</w:t>
            </w:r>
          </w:p>
        </w:tc>
        <w:tc>
          <w:tcPr>
            <w:tcW w:w="60" w:type="dxa"/>
            <w:vAlign w:val="bottom"/>
            <w:shd w:val="clear" w:color="auto" w:fill="CCEEFF"/>
          </w:tcPr>
          <w:p>
            <w:pPr>
              <w:spacing w:after="0"/>
              <w:rPr>
                <w:sz w:val="14"/>
                <w:szCs w:val="14"/>
                <w:color w:val="auto"/>
              </w:rPr>
            </w:pP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Capital Corp.)</w:t>
            </w:r>
          </w:p>
        </w:tc>
        <w:tc>
          <w:tcPr>
            <w:tcW w:w="20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9"/>
              </w:rPr>
              <w:t>SunGard Data Systems Inc. (Solar</w:t>
            </w:r>
          </w:p>
        </w:tc>
        <w:tc>
          <w:tcPr>
            <w:tcW w:w="2080" w:type="dxa"/>
            <w:vAlign w:val="bottom"/>
          </w:tcPr>
          <w:p>
            <w:pPr>
              <w:ind w:left="60"/>
              <w:spacing w:after="0" w:line="138" w:lineRule="exact"/>
              <w:rPr>
                <w:sz w:val="20"/>
                <w:szCs w:val="20"/>
                <w:color w:val="auto"/>
              </w:rPr>
            </w:pPr>
            <w:r>
              <w:rPr>
                <w:rFonts w:ascii="Arial" w:cs="Arial" w:eastAsia="Arial" w:hAnsi="Arial"/>
                <w:sz w:val="14"/>
                <w:szCs w:val="14"/>
                <w:color w:val="auto"/>
              </w:rPr>
              <w:t>Conglomerate</w:t>
            </w:r>
          </w:p>
        </w:tc>
        <w:tc>
          <w:tcPr>
            <w:tcW w:w="2440" w:type="dxa"/>
            <w:vAlign w:val="bottom"/>
          </w:tcPr>
          <w:p>
            <w:pPr>
              <w:ind w:left="380"/>
              <w:spacing w:after="0" w:line="138" w:lineRule="exact"/>
              <w:rPr>
                <w:sz w:val="20"/>
                <w:szCs w:val="20"/>
                <w:color w:val="auto"/>
              </w:rPr>
            </w:pPr>
            <w:r>
              <w:rPr>
                <w:rFonts w:ascii="Arial" w:cs="Arial" w:eastAsia="Arial" w:hAnsi="Arial"/>
                <w:sz w:val="14"/>
                <w:szCs w:val="14"/>
                <w:color w:val="auto"/>
              </w:rPr>
              <w:t>Tranche E Term Loan</w:t>
            </w:r>
          </w:p>
        </w:tc>
        <w:tc>
          <w:tcPr>
            <w:tcW w:w="640" w:type="dxa"/>
            <w:vAlign w:val="bottom"/>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3/9/2020</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38" w:lineRule="exact"/>
              <w:rPr>
                <w:sz w:val="20"/>
                <w:szCs w:val="20"/>
                <w:color w:val="auto"/>
              </w:rPr>
            </w:pPr>
            <w:r>
              <w:rPr>
                <w:rFonts w:ascii="Arial" w:cs="Arial" w:eastAsia="Arial" w:hAnsi="Arial"/>
                <w:sz w:val="14"/>
                <w:szCs w:val="14"/>
                <w:color w:val="auto"/>
                <w:w w:val="83"/>
              </w:rPr>
              <w:t>3,707,953</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3,618,899</w:t>
            </w:r>
          </w:p>
        </w:tc>
        <w:tc>
          <w:tcPr>
            <w:tcW w:w="8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3,706,804</w:t>
            </w:r>
          </w:p>
        </w:tc>
        <w:tc>
          <w:tcPr>
            <w:tcW w:w="60" w:type="dxa"/>
            <w:vAlign w:val="bottom"/>
          </w:tcPr>
          <w:p>
            <w:pPr>
              <w:spacing w:after="0"/>
              <w:rPr>
                <w:sz w:val="11"/>
                <w:szCs w:val="11"/>
                <w:color w:val="auto"/>
              </w:rPr>
            </w:pP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Capital Corp.)</w:t>
            </w:r>
          </w:p>
        </w:tc>
        <w:tc>
          <w:tcPr>
            <w:tcW w:w="2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SuperMedia Inc. (fka Idearc Inc.)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Publishing</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11.60%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12/30/2016</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238,660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232,462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203,756</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Syniverse Holdings, Inc.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Initial 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4/23/2019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479,913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476,105</w:t>
            </w: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473,314</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TGI Friday’s</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Food Services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 B</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7/15/2020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267,977</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266,768</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267,642</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TGI Friday’s</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 (Second Lien)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7/15/2021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3"/>
              </w:rPr>
              <w:t>2,000,000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2,016,250</w:t>
            </w: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60" w:type="dxa"/>
            <w:vAlign w:val="bottom"/>
          </w:tcPr>
          <w:p>
            <w:pPr>
              <w:spacing w:after="0"/>
              <w:rPr>
                <w:sz w:val="12"/>
                <w:szCs w:val="12"/>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TPF II Power LLC and TPF II Covert</w:t>
            </w:r>
          </w:p>
        </w:tc>
        <w:tc>
          <w:tcPr>
            <w:tcW w:w="20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Utilities</w:t>
            </w:r>
          </w:p>
        </w:tc>
        <w:tc>
          <w:tcPr>
            <w:tcW w:w="244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Term Loan B</w:t>
            </w:r>
          </w:p>
        </w:tc>
        <w:tc>
          <w:tcPr>
            <w:tcW w:w="64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10/2/2021</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500,000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496,689</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504,790</w:t>
            </w:r>
          </w:p>
        </w:tc>
        <w:tc>
          <w:tcPr>
            <w:tcW w:w="60" w:type="dxa"/>
            <w:vAlign w:val="bottom"/>
            <w:shd w:val="clear" w:color="auto" w:fill="CCEEFF"/>
          </w:tcPr>
          <w:p>
            <w:pPr>
              <w:spacing w:after="0"/>
              <w:rPr>
                <w:sz w:val="11"/>
                <w:szCs w:val="11"/>
                <w:color w:val="auto"/>
              </w:rPr>
            </w:pP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Midco LLC</w:t>
            </w:r>
          </w:p>
        </w:tc>
        <w:tc>
          <w:tcPr>
            <w:tcW w:w="20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TransDigm, Inc.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Tranche C 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3"/>
              </w:rPr>
              <w:t>4,847,054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4,856,484</w:t>
            </w: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4,824,661</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TransFirst</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11/12/2021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500,000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495,182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502,815</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TransUnion</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496,250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495,138</w:t>
            </w: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493,977</w:t>
            </w:r>
          </w:p>
        </w:tc>
        <w:tc>
          <w:tcPr>
            <w:tcW w:w="60" w:type="dxa"/>
            <w:vAlign w:val="bottom"/>
          </w:tcPr>
          <w:p>
            <w:pPr>
              <w:spacing w:after="0"/>
              <w:rPr>
                <w:sz w:val="12"/>
                <w:szCs w:val="12"/>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Tricorbraun, Inc. (fka Kranson</w:t>
            </w:r>
          </w:p>
        </w:tc>
        <w:tc>
          <w:tcPr>
            <w:tcW w:w="20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Containers/Glass Products</w:t>
            </w:r>
          </w:p>
        </w:tc>
        <w:tc>
          <w:tcPr>
            <w:tcW w:w="244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Term Loan</w:t>
            </w:r>
          </w:p>
        </w:tc>
        <w:tc>
          <w:tcPr>
            <w:tcW w:w="64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5/3/2018</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83"/>
              </w:rPr>
              <w:t>1,850,000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1,843,008</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1,822,250</w:t>
            </w:r>
          </w:p>
        </w:tc>
        <w:tc>
          <w:tcPr>
            <w:tcW w:w="60" w:type="dxa"/>
            <w:vAlign w:val="bottom"/>
            <w:shd w:val="clear" w:color="auto" w:fill="CCEEFF"/>
          </w:tcPr>
          <w:p>
            <w:pPr>
              <w:spacing w:after="0"/>
              <w:rPr>
                <w:sz w:val="11"/>
                <w:szCs w:val="11"/>
                <w:color w:val="auto"/>
              </w:rPr>
            </w:pP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Industries, Inc.)</w:t>
            </w:r>
          </w:p>
        </w:tc>
        <w:tc>
          <w:tcPr>
            <w:tcW w:w="20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rPr>
              <w:t>Truven Health Analytics Inc. (fka</w:t>
            </w:r>
          </w:p>
        </w:tc>
        <w:tc>
          <w:tcPr>
            <w:tcW w:w="2080" w:type="dxa"/>
            <w:vAlign w:val="bottom"/>
          </w:tcPr>
          <w:p>
            <w:pPr>
              <w:ind w:left="60"/>
              <w:spacing w:after="0" w:line="138" w:lineRule="exact"/>
              <w:rPr>
                <w:sz w:val="20"/>
                <w:szCs w:val="20"/>
                <w:color w:val="auto"/>
              </w:rPr>
            </w:pPr>
            <w:r>
              <w:rPr>
                <w:rFonts w:ascii="Arial" w:cs="Arial" w:eastAsia="Arial" w:hAnsi="Arial"/>
                <w:sz w:val="14"/>
                <w:szCs w:val="14"/>
                <w:color w:val="auto"/>
              </w:rPr>
              <w:t>Healthcare &amp; Pharmaceuticals</w:t>
            </w:r>
          </w:p>
        </w:tc>
        <w:tc>
          <w:tcPr>
            <w:tcW w:w="2440" w:type="dxa"/>
            <w:vAlign w:val="bottom"/>
          </w:tcPr>
          <w:p>
            <w:pPr>
              <w:ind w:left="380"/>
              <w:spacing w:after="0" w:line="138" w:lineRule="exact"/>
              <w:rPr>
                <w:sz w:val="20"/>
                <w:szCs w:val="20"/>
                <w:color w:val="auto"/>
              </w:rPr>
            </w:pPr>
            <w:r>
              <w:rPr>
                <w:rFonts w:ascii="Arial" w:cs="Arial" w:eastAsia="Arial" w:hAnsi="Arial"/>
                <w:sz w:val="14"/>
                <w:szCs w:val="14"/>
                <w:color w:val="auto"/>
              </w:rPr>
              <w:t>New Tranche B Term Loan</w:t>
            </w:r>
          </w:p>
        </w:tc>
        <w:tc>
          <w:tcPr>
            <w:tcW w:w="640" w:type="dxa"/>
            <w:vAlign w:val="bottom"/>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6/6/2019</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487,566</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479,874</w:t>
            </w:r>
          </w:p>
        </w:tc>
        <w:tc>
          <w:tcPr>
            <w:tcW w:w="8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481,471</w:t>
            </w:r>
          </w:p>
        </w:tc>
        <w:tc>
          <w:tcPr>
            <w:tcW w:w="60" w:type="dxa"/>
            <w:vAlign w:val="bottom"/>
          </w:tcPr>
          <w:p>
            <w:pPr>
              <w:spacing w:after="0"/>
              <w:rPr>
                <w:sz w:val="11"/>
                <w:szCs w:val="11"/>
                <w:color w:val="auto"/>
              </w:rPr>
            </w:pP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w w:val="89"/>
              </w:rPr>
              <w:t>Thomson Reuters (Healthcare) Inc.)</w:t>
            </w:r>
          </w:p>
        </w:tc>
        <w:tc>
          <w:tcPr>
            <w:tcW w:w="2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Twin River Management Group, Inc.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 B</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7/10/2020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974,167</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976,455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975,998</w:t>
            </w:r>
          </w:p>
        </w:tc>
        <w:tc>
          <w:tcPr>
            <w:tcW w:w="60" w:type="dxa"/>
            <w:vAlign w:val="bottom"/>
            <w:shd w:val="clear" w:color="auto" w:fill="CCEEFF"/>
          </w:tcPr>
          <w:p>
            <w:pPr>
              <w:spacing w:after="0"/>
              <w:rPr>
                <w:sz w:val="12"/>
                <w:szCs w:val="12"/>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9"/>
              </w:rPr>
              <w:t>U.S. Security Associates Holdings,</w:t>
            </w:r>
          </w:p>
        </w:tc>
        <w:tc>
          <w:tcPr>
            <w:tcW w:w="2080" w:type="dxa"/>
            <w:vAlign w:val="bottom"/>
          </w:tcPr>
          <w:p>
            <w:pPr>
              <w:ind w:left="60"/>
              <w:spacing w:after="0" w:line="138" w:lineRule="exact"/>
              <w:rPr>
                <w:sz w:val="20"/>
                <w:szCs w:val="20"/>
                <w:color w:val="auto"/>
              </w:rPr>
            </w:pPr>
            <w:r>
              <w:rPr>
                <w:rFonts w:ascii="Arial" w:cs="Arial" w:eastAsia="Arial" w:hAnsi="Arial"/>
                <w:sz w:val="14"/>
                <w:szCs w:val="14"/>
                <w:color w:val="auto"/>
              </w:rPr>
              <w:t>Services: Business</w:t>
            </w:r>
          </w:p>
        </w:tc>
        <w:tc>
          <w:tcPr>
            <w:tcW w:w="2440" w:type="dxa"/>
            <w:vAlign w:val="bottom"/>
          </w:tcPr>
          <w:p>
            <w:pPr>
              <w:ind w:left="380"/>
              <w:spacing w:after="0" w:line="138" w:lineRule="exact"/>
              <w:rPr>
                <w:sz w:val="20"/>
                <w:szCs w:val="20"/>
                <w:color w:val="auto"/>
              </w:rPr>
            </w:pPr>
            <w:r>
              <w:rPr>
                <w:rFonts w:ascii="Arial" w:cs="Arial" w:eastAsia="Arial" w:hAnsi="Arial"/>
                <w:sz w:val="14"/>
                <w:szCs w:val="14"/>
                <w:color w:val="auto"/>
              </w:rPr>
              <w:t>Delayed Draw Loan</w:t>
            </w:r>
          </w:p>
        </w:tc>
        <w:tc>
          <w:tcPr>
            <w:tcW w:w="640" w:type="dxa"/>
            <w:vAlign w:val="bottom"/>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7/28/2017</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158,518</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157,610</w:t>
            </w:r>
          </w:p>
        </w:tc>
        <w:tc>
          <w:tcPr>
            <w:tcW w:w="8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156,734</w:t>
            </w:r>
          </w:p>
        </w:tc>
        <w:tc>
          <w:tcPr>
            <w:tcW w:w="60" w:type="dxa"/>
            <w:vAlign w:val="bottom"/>
          </w:tcPr>
          <w:p>
            <w:pPr>
              <w:spacing w:after="0"/>
              <w:rPr>
                <w:sz w:val="11"/>
                <w:szCs w:val="11"/>
                <w:color w:val="auto"/>
              </w:rPr>
            </w:pP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Inc.</w:t>
            </w:r>
          </w:p>
        </w:tc>
        <w:tc>
          <w:tcPr>
            <w:tcW w:w="2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U.S. Security Associates Holdings,</w:t>
            </w:r>
          </w:p>
        </w:tc>
        <w:tc>
          <w:tcPr>
            <w:tcW w:w="20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Services: Business</w:t>
            </w:r>
          </w:p>
        </w:tc>
        <w:tc>
          <w:tcPr>
            <w:tcW w:w="244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Term B Loan</w:t>
            </w:r>
          </w:p>
        </w:tc>
        <w:tc>
          <w:tcPr>
            <w:tcW w:w="64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7/28/2017</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931,046</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926,144</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920,572</w:t>
            </w:r>
          </w:p>
        </w:tc>
        <w:tc>
          <w:tcPr>
            <w:tcW w:w="60" w:type="dxa"/>
            <w:vAlign w:val="bottom"/>
            <w:shd w:val="clear" w:color="auto" w:fill="CCEEFF"/>
          </w:tcPr>
          <w:p>
            <w:pPr>
              <w:spacing w:after="0"/>
              <w:rPr>
                <w:sz w:val="11"/>
                <w:szCs w:val="11"/>
                <w:color w:val="auto"/>
              </w:rPr>
            </w:pP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20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0"/>
              </w:rPr>
              <w:t>United Surgical Partners International,</w:t>
            </w:r>
          </w:p>
        </w:tc>
        <w:tc>
          <w:tcPr>
            <w:tcW w:w="2080" w:type="dxa"/>
            <w:vAlign w:val="bottom"/>
          </w:tcPr>
          <w:p>
            <w:pPr>
              <w:ind w:left="60"/>
              <w:spacing w:after="0" w:line="138" w:lineRule="exact"/>
              <w:rPr>
                <w:sz w:val="20"/>
                <w:szCs w:val="20"/>
                <w:color w:val="auto"/>
              </w:rPr>
            </w:pPr>
            <w:r>
              <w:rPr>
                <w:rFonts w:ascii="Arial" w:cs="Arial" w:eastAsia="Arial" w:hAnsi="Arial"/>
                <w:sz w:val="14"/>
                <w:szCs w:val="14"/>
                <w:color w:val="auto"/>
              </w:rPr>
              <w:t>Healthcare &amp; Pharmaceuticals</w:t>
            </w:r>
          </w:p>
        </w:tc>
        <w:tc>
          <w:tcPr>
            <w:tcW w:w="2440" w:type="dxa"/>
            <w:vAlign w:val="bottom"/>
          </w:tcPr>
          <w:p>
            <w:pPr>
              <w:ind w:left="380"/>
              <w:spacing w:after="0" w:line="138" w:lineRule="exact"/>
              <w:rPr>
                <w:sz w:val="20"/>
                <w:szCs w:val="20"/>
                <w:color w:val="auto"/>
              </w:rPr>
            </w:pPr>
            <w:r>
              <w:rPr>
                <w:rFonts w:ascii="Arial" w:cs="Arial" w:eastAsia="Arial" w:hAnsi="Arial"/>
                <w:sz w:val="14"/>
                <w:szCs w:val="14"/>
                <w:color w:val="auto"/>
              </w:rPr>
              <w:t>New Tranche B Term Loan</w:t>
            </w:r>
          </w:p>
        </w:tc>
        <w:tc>
          <w:tcPr>
            <w:tcW w:w="640" w:type="dxa"/>
            <w:vAlign w:val="bottom"/>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4/3/2019</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38" w:lineRule="exact"/>
              <w:rPr>
                <w:sz w:val="20"/>
                <w:szCs w:val="20"/>
                <w:color w:val="auto"/>
              </w:rPr>
            </w:pPr>
            <w:r>
              <w:rPr>
                <w:rFonts w:ascii="Arial" w:cs="Arial" w:eastAsia="Arial" w:hAnsi="Arial"/>
                <w:sz w:val="14"/>
                <w:szCs w:val="14"/>
                <w:color w:val="auto"/>
                <w:w w:val="83"/>
              </w:rPr>
              <w:t>2,431,749</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2,408,580</w:t>
            </w:r>
          </w:p>
        </w:tc>
        <w:tc>
          <w:tcPr>
            <w:tcW w:w="8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2,431,749</w:t>
            </w:r>
          </w:p>
        </w:tc>
        <w:tc>
          <w:tcPr>
            <w:tcW w:w="60" w:type="dxa"/>
            <w:vAlign w:val="bottom"/>
          </w:tcPr>
          <w:p>
            <w:pPr>
              <w:spacing w:after="0"/>
              <w:rPr>
                <w:sz w:val="11"/>
                <w:szCs w:val="11"/>
                <w:color w:val="auto"/>
              </w:rPr>
            </w:pPr>
          </w:p>
        </w:tc>
      </w:tr>
      <w:tr>
        <w:trPr>
          <w:trHeight w:val="159"/>
        </w:trPr>
        <w:tc>
          <w:tcPr>
            <w:tcW w:w="2160" w:type="dxa"/>
            <w:vAlign w:val="bottom"/>
          </w:tcPr>
          <w:p>
            <w:pPr>
              <w:ind w:left="140"/>
              <w:spacing w:after="0" w:line="159" w:lineRule="exact"/>
              <w:rPr>
                <w:sz w:val="20"/>
                <w:szCs w:val="20"/>
                <w:color w:val="auto"/>
              </w:rPr>
            </w:pPr>
            <w:r>
              <w:rPr>
                <w:rFonts w:ascii="Arial" w:cs="Arial" w:eastAsia="Arial" w:hAnsi="Arial"/>
                <w:sz w:val="14"/>
                <w:szCs w:val="14"/>
                <w:color w:val="auto"/>
              </w:rPr>
              <w:t>Inc.</w:t>
            </w:r>
          </w:p>
        </w:tc>
        <w:tc>
          <w:tcPr>
            <w:tcW w:w="2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Univar Inc.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B Loan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6/30/2017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3"/>
              </w:rPr>
              <w:t>3,844,964</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3,844,749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3,813,935</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Univision Communications Inc.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w w:val="94"/>
              </w:rPr>
              <w:t>Replacement First-Lien 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3"/>
              </w:rPr>
              <w:t>2,947,446</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2,931,982</w:t>
            </w: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2,940,549</w:t>
            </w:r>
          </w:p>
        </w:tc>
        <w:tc>
          <w:tcPr>
            <w:tcW w:w="60" w:type="dxa"/>
            <w:vAlign w:val="bottom"/>
          </w:tcPr>
          <w:p>
            <w:pPr>
              <w:spacing w:after="0"/>
              <w:rPr>
                <w:sz w:val="12"/>
                <w:szCs w:val="12"/>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Valeant Pharmaceuticals International,</w:t>
            </w:r>
          </w:p>
        </w:tc>
        <w:tc>
          <w:tcPr>
            <w:tcW w:w="20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Drugs</w:t>
            </w:r>
          </w:p>
        </w:tc>
        <w:tc>
          <w:tcPr>
            <w:tcW w:w="244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Series D2 Term Loan B</w:t>
            </w:r>
          </w:p>
        </w:tc>
        <w:tc>
          <w:tcPr>
            <w:tcW w:w="64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2/13/2019</w:t>
            </w: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83"/>
              </w:rPr>
              <w:t>2,545,588</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2,537,415</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2,539,683</w:t>
            </w:r>
          </w:p>
        </w:tc>
        <w:tc>
          <w:tcPr>
            <w:tcW w:w="60" w:type="dxa"/>
            <w:vAlign w:val="bottom"/>
            <w:shd w:val="clear" w:color="auto" w:fill="CCEEFF"/>
          </w:tcPr>
          <w:p>
            <w:pPr>
              <w:spacing w:after="0"/>
              <w:rPr>
                <w:sz w:val="11"/>
                <w:szCs w:val="11"/>
                <w:color w:val="auto"/>
              </w:rPr>
            </w:pPr>
          </w:p>
        </w:tc>
      </w:tr>
      <w:tr>
        <w:trPr>
          <w:trHeight w:val="159"/>
        </w:trPr>
        <w:tc>
          <w:tcPr>
            <w:tcW w:w="2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20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Verint Systems Inc.</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9/6/2019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3"/>
              </w:rPr>
              <w:t>1,264,058</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1,259,623</w:t>
            </w: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1,259,634</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Vertafore, Inc.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 (2013)</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10/3/2019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3"/>
              </w:rPr>
              <w:t>2,881,003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2,881,003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2,878,294</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Vouvray US Finance</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497,500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495,243</w:t>
            </w: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499,366</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Inventory Service</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U.S. Term Loan (First Lien)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12/20/2018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3"/>
              </w:rPr>
              <w:t>1,832,876</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1,851,978</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1,796,218</w:t>
            </w:r>
          </w:p>
        </w:tc>
        <w:tc>
          <w:tcPr>
            <w:tcW w:w="6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Waste Industries</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Environmental</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Loan B</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2/27/2020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250,000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249,375</w:t>
            </w: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250,520</w:t>
            </w:r>
          </w:p>
        </w:tc>
        <w:tc>
          <w:tcPr>
            <w:tcW w:w="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Wendy’s International, Inc</w:t>
            </w:r>
          </w:p>
        </w:tc>
        <w:tc>
          <w:tcPr>
            <w:tcW w:w="20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Food Services</w:t>
            </w:r>
          </w:p>
        </w:tc>
        <w:tc>
          <w:tcPr>
            <w:tcW w:w="24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B Loan</w:t>
            </w:r>
          </w:p>
        </w:tc>
        <w:tc>
          <w:tcPr>
            <w:tcW w:w="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5/15/2019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673,630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668,099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670,545</w:t>
            </w:r>
          </w:p>
        </w:tc>
        <w:tc>
          <w:tcPr>
            <w:tcW w:w="60" w:type="dxa"/>
            <w:vAlign w:val="bottom"/>
            <w:shd w:val="clear" w:color="auto" w:fill="CCEEFF"/>
          </w:tcPr>
          <w:p>
            <w:pPr>
              <w:spacing w:after="0"/>
              <w:rPr>
                <w:sz w:val="12"/>
                <w:szCs w:val="12"/>
                <w:color w:val="auto"/>
              </w:rPr>
            </w:pPr>
          </w:p>
        </w:tc>
      </w:tr>
      <w:tr>
        <w:trPr>
          <w:trHeight w:val="156"/>
        </w:trPr>
        <w:tc>
          <w:tcPr>
            <w:tcW w:w="2160" w:type="dxa"/>
            <w:vAlign w:val="bottom"/>
          </w:tcPr>
          <w:p>
            <w:pPr>
              <w:spacing w:after="0" w:line="149" w:lineRule="exact"/>
              <w:rPr>
                <w:sz w:val="20"/>
                <w:szCs w:val="20"/>
                <w:color w:val="auto"/>
              </w:rPr>
            </w:pPr>
            <w:r>
              <w:rPr>
                <w:rFonts w:ascii="Arial" w:cs="Arial" w:eastAsia="Arial" w:hAnsi="Arial"/>
                <w:sz w:val="14"/>
                <w:szCs w:val="14"/>
                <w:color w:val="auto"/>
              </w:rPr>
              <w:t>West Corporation</w:t>
            </w:r>
          </w:p>
        </w:tc>
        <w:tc>
          <w:tcPr>
            <w:tcW w:w="208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440" w:type="dxa"/>
            <w:vAlign w:val="bottom"/>
          </w:tcPr>
          <w:p>
            <w:pPr>
              <w:ind w:left="380"/>
              <w:spacing w:after="0" w:line="149" w:lineRule="exact"/>
              <w:rPr>
                <w:sz w:val="20"/>
                <w:szCs w:val="20"/>
                <w:color w:val="auto"/>
              </w:rPr>
            </w:pPr>
            <w:r>
              <w:rPr>
                <w:rFonts w:ascii="Arial" w:cs="Arial" w:eastAsia="Arial" w:hAnsi="Arial"/>
                <w:sz w:val="14"/>
                <w:szCs w:val="14"/>
                <w:color w:val="auto"/>
              </w:rPr>
              <w:t>Term B-10 Loan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6/30/2018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3"/>
              </w:rPr>
              <w:t>2,571,560</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2,605,923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2,562,998</w:t>
            </w:r>
          </w:p>
        </w:tc>
        <w:tc>
          <w:tcPr>
            <w:tcW w:w="60" w:type="dxa"/>
            <w:vAlign w:val="bottom"/>
          </w:tcPr>
          <w:p>
            <w:pPr>
              <w:spacing w:after="0"/>
              <w:rPr>
                <w:sz w:val="13"/>
                <w:szCs w:val="13"/>
                <w:color w:val="auto"/>
              </w:rPr>
            </w:pPr>
          </w:p>
        </w:tc>
      </w:tr>
      <w:tr>
        <w:trPr>
          <w:trHeight w:val="149"/>
        </w:trPr>
        <w:tc>
          <w:tcPr>
            <w:tcW w:w="21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297,760,340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295,239,268</w:t>
            </w:r>
          </w:p>
        </w:tc>
        <w:tc>
          <w:tcPr>
            <w:tcW w:w="60" w:type="dxa"/>
            <w:vAlign w:val="bottom"/>
            <w:shd w:val="clear" w:color="auto" w:fill="CCEEFF"/>
          </w:tcPr>
          <w:p>
            <w:pPr>
              <w:spacing w:after="0"/>
              <w:rPr>
                <w:sz w:val="12"/>
                <w:szCs w:val="12"/>
                <w:color w:val="auto"/>
              </w:rPr>
            </w:pPr>
          </w:p>
        </w:tc>
      </w:tr>
      <w:tr>
        <w:trPr>
          <w:trHeight w:val="20"/>
        </w:trPr>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6"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 and-Related Party Transactions</w:t>
      </w:r>
    </w:p>
    <w:p>
      <w:pPr>
        <w:spacing w:after="0" w:line="12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July 30, 2010, the Company entered into the Management Agreement with our Manager. The initial term of the Management Agreement is two years, with automatic, one-year renewals at the end of each year subject to certain approvals by our board of directors and/or our stockholders. On July 8, 2015,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 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6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 and appropriately adjusted for any share issuances or repurchases during the applicable fiscal quarter.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the following two parts: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first, payable quarterly in arrears, equals 20.0% of our pre-incentive fee net investment income, expressed as a rate of return on the value of our net assets at the end of the immediately preceding quarter, that exceeds a 1.875% quarterly (7.5% annualized) hurdle rate measured as of the end of each fiscal quarter, subject to a “catch-up”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(9.376% annualized); and 20.0% of the amount of the our pre-incentive fee net investment income, if any, that exceeds 2.344% in any fiscal quarter (9.376% annualized).</w:t>
      </w:r>
    </w:p>
    <w:p>
      <w:pPr>
        <w:spacing w:after="0" w:line="17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For the three months ended May 31, 2015 and May 31, 2014, we incurred $1.1 million and $1.0 million in base management fees, respectively. For the three months ended May 31, 2015 and May 31, 2014, we incurred $0.7 million and $0.3 million in incentive fees related to pre-incentive fee net investment income, respectively. For the three months ended May 31, 2015 and May 31, 2014, we accrued of $1.1 million and $0.1 million in incentive fees related to capital gains, respectively. The accrual is calculated using both realized and unrealized capital gains for the period. The actual incentive fee related to capital gains will be determined and payable in arrears at the end of the fiscal year and will include only realized capital gains for the period. As of May 31, 2015, the base management fees accrual was $1.1 million and the incentive fees accrual was $5.7 million and is included in base management and incentive fees payable in the accompanying consolidated statements of assets and liabilities. As of February 28, 2015, the base management fees accrual was $1.0 million and the incentive fees accrual was $4.8 million and is included in base management and incentive fees payable in the accompanying consolidated statements of assets and liabilities.</w:t>
      </w:r>
    </w:p>
    <w:p>
      <w:pPr>
        <w:spacing w:after="0" w:line="19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July 30, 2010, the Company entered into a separate administration agreement (the “Administration Agreement”) with our Manager, pursuant to which our Manager, as our administrator, has agreed to furnish us with the facilities and administrative services necessary to conduct our day-to-day operations and provide managerial assistance on our behalf to those portfolio companies to which we are required to provide such assistance. The initial term of the Administration Agreement was two years, with automatic, one-year renewals at the end of each year subject to certain approvals by our board of directors and/or our stockholders. The amount of expenses payable or reimbursable thereunder by the Company was capped at $1.0 million for the initial two year term of the administration agreement and subsequent renewals. On July 8, 2015, our board of directors approved the renewal of the Administration Agreement for an additional one-year term and determined to increase the cap on the payment or reimbursement of expenses by the Company thereunder, which had not been increased since the inception of the agreement, to $1.3 million. In addition, our board of directors intends to review the new cap in the next three to six months to determine whether it should be further adjusted in light of differences between our projected and actual expenses and other similar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For the three months ended May 31, 2015 and May 31, 2014, we recognized $0.3 million and $0.3 million in administrator expenses for the periods, respectively, pertaining to bookkeeping, record keeping and other administrative services provided to us in addition to our allocable portion of rent and other overhead related expenses. As of May 31, 2015 and February 28, 2015, $0.4 million and $0.4 million, respectively, of administrator expenses were accrued and included in due to manager in the accompanying consolidated statements of assets and liabilities. For the three months ended May 31, 2015 and May 31, 2014, the Company neither bought nor sold any investments from the Saratoga CLO.</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8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 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was used to repay 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 rate and our lender’s prime rate plus 4.00% plus a default rate of 2.00% or, if the commercial paper market was unavailable, the greater of the prevailing LIBOR rates and our lender’s prime rate plus 6.00% plus a default rate of 3.00%.</w:t>
      </w:r>
    </w:p>
    <w:p>
      <w:pPr>
        <w:spacing w:after="0" w:line="182"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July 30, 2010, we used the net proceeds from (i) the stock purchase transaction and (ii) a portion of the funds available to us under the $45.0 million senior secured revolving credit facility (the “Credit Facility”) with Madison Capital Funding LLC, in each case,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Credit Facility to secure our obligations thereunder.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jc w:val="both"/>
        <w:ind w:left="900" w:right="560" w:hanging="325"/>
        <w:spacing w:after="0" w:line="31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All borrowings and other amounts payable under the credit facility are due and payable five years after the end of the Revolving Period; and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remove the condition that we may not acquire additional loan assets without the prior written consent of Madison Capital Funding LLC.</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17, 2014, we entered into a second amendment to the Revolving Facility with Madison Capital Funding LLC to, among other things:</w:t>
      </w:r>
    </w:p>
    <w:p>
      <w:pPr>
        <w:spacing w:after="0" w:line="15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extend the maturity date of the Revolving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May 31, 2015 and February 28, 2015, there was $11.8 million and $9.6 million outstanding under the Credit Facility, respectively, and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was in compliance with all of the limitations and requirements of the Credit Facility. Financing costs of $2.7 million related to the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been capitalized and are being amortized over the term of the facility. For the three months ended May 31, 2015 and May 31, 2014, we recorded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 million and $0.2 million of interest expense, respectively. For the three months ended May 31, 2015 and May 31, 2014, we recorded $0.02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of amortization of deferred financing costs related to the Credit Facility and Revolving Facility, respectively. The interest rates during the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May 31, 2015 and May 31, 2014 on the outstanding borrowings under the Credit Facility were 6.00% and 7.50%, respectively.</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Credit Facility contains limitations as to how borrowed funds may be used, such as restrictions on industry concentrations, asset size, weighted average life, currency denomination and collateral interests. The Credit Facility also includes certain requirements relating to portfolio performance, the violation of which could result in the limit of further advances and, in some cases, result in an event of default, allowing the lenders to accelerate repayment of amounts owed thereunder. The Credit Facility has an eight year term, consisting of a three year period (the “Revolving Period”), under which the Company may make and repay borrowings, and a final maturity five years from the end of the Revolving Period. Availability on the Credit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and 2.00%, plus an applicable margin of 5.50%. At the Company’s option, funds may be borrowed based on an alternative base rate, which in no event will be less than 3.00%, and the applicable margin over such alternative base rate is 4.50%. In addition, the Company will pay the lenders a commitment fee of 0.75% per year on the unused amount of the Credit Facility for the duration of the Revolving Period.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borrowing base under the Credit Facility was $35.5 million subject to the Credit Facility cap of $45.0 million at May 31, 2015. For purposes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determining the borrowing base, most assets are assigned the values set forth in our most recent Annual Report on Form 10-K or Quarterly Report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10-Q filed with the SEC. Accordingly, the May 31, 2015 borrowing base relies upon the valuations set forth in the Annual Report on Form 10-K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February 28, 2015. The valuations presented in this Quarterly Report on Form 10-Q will not be incorporated into the borrowing base until after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Quarterly Report on Form 10-Q is filed with the SEC.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May 31, 2015, we have funded SBIC LP with $59.3 million of equity capital, and have $79.0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9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$19.5 million and have average annual fully taxed net income not exceeding $6.5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 guaranteed debenture funding, which is dependent upon SBIC LP continuing to be in compliance with SBA regulations and policies. The SBA, as a creditor, will have a superior claim to SBIC LP’s assets over our stockholders and debtholders in the event we liquidate SBIC LP or the SBA exercises its remedies under the SBA-guaranteed debentures issued by SBIC LP upon an event of default.</w:t>
      </w:r>
    </w:p>
    <w:p>
      <w:pPr>
        <w:spacing w:after="0" w:line="18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Company received exemptive relief from the Securities and Exchange Commission to permit it to exclude the debt of SBIC LP guaranteed by the SBA from the definition of senior securities in the 200.0% asset 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May 31, 2015 and February 28, 2015, there was $79.0 million and $79.0 million outstanding of SBA debentures, respectively. The carrying amount of the amount outstanding of SBA debentures approximates its fair value. Financing costs of $3.0 million related to the SBA debentures have been capitalized and are being amortized over the term of the commitment and drawdown. For the three months ended May 31, 2015 and May 31, 2014, we recorded $0.6 million and $0.4 million of interest expense related to the SBA debentures, respectively. For the three months ended May 31, 2015 and May 31, 2014, we recorded $0.1 million and $0.1 million of amortization of deferred financing costs related to the SBA debentures, respectively. The weighted average interest rate during the three months ended May 31, 2015 and May 31, 2014 on the outstanding borrowings of the SBA debentures was 3.25% and 3.06%, respectively.</w:t>
      </w:r>
    </w:p>
    <w:p>
      <w:pPr>
        <w:spacing w:after="0" w:line="18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$75 million of additional SBA-guaranteed debentures in addition to the $150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On May 10, 2013, the Company issued $42.0 million in aggregate principal amount of 7.50% fixed-rate notes due 2020 (the “Notes”). The Notes will mature on May 31, 2020, and may be redeemed in whole or in part at any time or from time to time at the Company’s option on or after May 31, 2016. Interest will be payable quarterly beginning August 15, 2013.</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On May 17, 2013, the Company closed an additional $6.3 million in aggregate principal amount of the Notes, pursuant to the full exercise of the underwriters’ option to purchase additional Notes.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May 31, 2015, the carrying amount and fair value of the Notes was $48.3 million and $49.7 million, respectively. The fair value of the Notes, which are publicly traded, is based upon closing market quotes as of the measurement date and would be classified as a level 1 liability within the fair value hierarchy. As of May 31, 2015, $2.5 million of financing costs related to the Notes have been capitalized and are being amortized over the term of the Notes. For the three months ended May 31, 2015, we recorded $0.9 million of interest expense and $0.1 million of amortization of deferred financing costs related to the Notes. For the three months ended May 31, 2014, we recorded $0.9 million of interest expense and $0.1 million of amortization of deferred financing costs related to the Notes.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May 31,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880" w:type="dxa"/>
            <w:vAlign w:val="bottom"/>
            <w:gridSpan w:val="2"/>
          </w:tcPr>
          <w:p>
            <w:pPr>
              <w:jc w:val="center"/>
              <w:ind w:left="351"/>
              <w:spacing w:after="0" w:line="119" w:lineRule="exact"/>
              <w:rPr>
                <w:sz w:val="20"/>
                <w:szCs w:val="20"/>
                <w:color w:val="auto"/>
              </w:rPr>
            </w:pPr>
            <w:r>
              <w:rPr>
                <w:rFonts w:ascii="Arial" w:cs="Arial" w:eastAsia="Arial" w:hAnsi="Arial"/>
                <w:sz w:val="13"/>
                <w:szCs w:val="13"/>
                <w:b w:val="1"/>
                <w:bCs w:val="1"/>
                <w:color w:val="auto"/>
                <w:w w:val="97"/>
              </w:rPr>
              <w:t>1 -3</w:t>
            </w:r>
          </w:p>
        </w:tc>
        <w:tc>
          <w:tcPr>
            <w:tcW w:w="340" w:type="dxa"/>
            <w:vAlign w:val="bottom"/>
          </w:tcPr>
          <w:p>
            <w:pPr>
              <w:spacing w:after="0"/>
              <w:rPr>
                <w:sz w:val="10"/>
                <w:szCs w:val="10"/>
                <w:color w:val="auto"/>
              </w:rPr>
            </w:pPr>
          </w:p>
        </w:tc>
        <w:tc>
          <w:tcPr>
            <w:tcW w:w="70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3 -5</w:t>
            </w:r>
          </w:p>
        </w:tc>
        <w:tc>
          <w:tcPr>
            <w:tcW w:w="4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center"/>
              <w:ind w:left="11"/>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80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139,100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1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48,300</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90,800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80" w:type="dxa"/>
            <w:vAlign w:val="bottom"/>
            <w:vMerge w:val="restart"/>
          </w:tcPr>
          <w:p>
            <w:pPr>
              <w:jc w:val="right"/>
              <w:ind w:right="90"/>
              <w:spacing w:after="0"/>
              <w:rPr>
                <w:sz w:val="20"/>
                <w:szCs w:val="20"/>
                <w:color w:val="auto"/>
              </w:rPr>
            </w:pPr>
            <w:r>
              <w:rPr>
                <w:rFonts w:ascii="Arial" w:cs="Arial" w:eastAsia="Arial" w:hAnsi="Arial"/>
                <w:sz w:val="18"/>
                <w:szCs w:val="18"/>
                <w:color w:val="auto"/>
              </w:rPr>
              <w:t>30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Company’s off-balance sheet arrangements consisted of $11.2 million and $11.2 million of unfunded commitments to provide debt financing to its portfolio companies or to fund limited partnership interests as of May 31, 2015 and February 28, 2015,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 of Assets and Liabilities and are not reflected in the Company’s Consolidated Statements of Assets and Liabilities.</w:t>
      </w:r>
    </w:p>
    <w:p>
      <w:pPr>
        <w:spacing w:after="0" w:line="18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May 31, 2015 and February 28, 2015 are shown in the table below (dollars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May 31, 2015</w:t>
            </w:r>
          </w:p>
        </w:tc>
        <w:tc>
          <w:tcPr>
            <w:tcW w:w="1880" w:type="dxa"/>
            <w:vAlign w:val="bottom"/>
            <w:gridSpan w:val="3"/>
          </w:tcPr>
          <w:p>
            <w:pPr>
              <w:ind w:left="740"/>
              <w:spacing w:after="0" w:line="142" w:lineRule="exact"/>
              <w:rPr>
                <w:sz w:val="20"/>
                <w:szCs w:val="20"/>
                <w:color w:val="auto"/>
              </w:rPr>
            </w:pPr>
            <w:r>
              <w:rPr>
                <w:rFonts w:ascii="Arial" w:cs="Arial" w:eastAsia="Arial" w:hAnsi="Arial"/>
                <w:sz w:val="14"/>
                <w:szCs w:val="14"/>
                <w:b w:val="1"/>
                <w:bCs w:val="1"/>
                <w:color w:val="auto"/>
                <w:w w:val="94"/>
              </w:rPr>
              <w:t>February 28,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Bristol Hospice, LLC</w:t>
            </w:r>
          </w:p>
        </w:tc>
        <w:tc>
          <w:tcPr>
            <w:tcW w:w="1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7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HMN Holdco, LLC</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2,400</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Knowland Technology Holdings, L.L.C</w:t>
            </w:r>
          </w:p>
        </w:tc>
        <w:tc>
          <w:tcPr>
            <w:tcW w:w="1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3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Directors Fees</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 of the Company (as such term is defined in the 1940 Act). For the three months ended May 31, 2015 and May 31, 2014, we accrued $0.05 million and $0.05 million for directors’ fees expense, respectively. As of May 31, 2015 and February 28, 2015, $0.04 million and $0.03 million in directors’ fees expense were unpaid and included in accounts payable and accrued expenses in the consolidated statements of assets and liabilities. As of May 31, 2015, we had not issued any common stock to our directors as compensation for their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On May 16, 2006, GSC Group, Inc. capitalized the LLC, by contributing $1,000 in exchange for 67 shares, constituting all of the issued and outstanding shares of the LLC.</w:t>
      </w:r>
    </w:p>
    <w:p>
      <w:pPr>
        <w:spacing w:after="0" w:line="17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July 30, 2010, our Manager and its affiliates purchased 986,842 shares of common stock at $15.20 per share. Total proceeds received from this sale were $15.0 million.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$1.2 million in cash and 596,235 shares of common stock.</w:t>
      </w:r>
    </w:p>
    <w:p>
      <w:pPr>
        <w:spacing w:after="0" w:line="21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$2.0 million in cash and 599,584 shares of common stock.</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Based on shareholder elections, the dividend consisted of approximately $2.5 million in cash and 649,500 shares of common stock.</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September 24, 2014, the Company declared a dividend of $0.18 per share payable on November 28, 2014. Shareholders had the option to receive payment of the dividend in cash, or receive shares of common stock pursuant to the Company’s DRIP. Based on shareholder elections, the dividend consisted of approximately $0.6 million in cash and 22,283 newly issued shares of common stock.</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On September 24, 2014, the Company declared a dividend of $0.22 per share payable on February 27, 2015. Shareholders have the option to receive payment of the dividend in cash, or receive shares of common stock, pursuant our DRIP. Based on shareholder elections, the dividend consisted of approximately $0.8 million in cash and 26,858 newly issued shares of common stock.</w:t>
      </w:r>
    </w:p>
    <w:p>
      <w:pPr>
        <w:spacing w:after="0" w:line="18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On September 24, 2014, the Company announced the approval of an open market share repurchase plan that allows it to repurchase up to 200,000 shares of its common stock at prices below its NAV as reported in its then most recently published financial statements. As of February 28, 2015, the Company had not purchased any shares of common stock pursuant to this repurchase plan.</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April 9, 2015, the Company declared a dividend of $0.27 per share payable on May 29, 2015. Shareholders have the option to receive payment of the dividend in cash, or receive shares of common stock, pursuant our DRIP. Based on shareholder elections, the dividend consisted of approximately $0.9 million in cash and 33,766 newly issued shares of common stock.</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On May 14, 2015, the Company declared a dividend of $1.00 per share payable on June 5, 2015. Shareholders have the option to receive payment of the dividend in cash, or receive shares of common stock, pursuant our DRIP. Based on shareholder elections, the dividend consisted of approximately $3.4 million in cash and 126,230 newly issued shares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the provisions of FASB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information sets forth the computation of the weighted average basic and diluted net decrease in net assets per share from operations for the three months ended May 31, 2015 and May 31, 2014 (dollars in thousands except share and per share amounts):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19"/>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w:t>
            </w:r>
          </w:p>
        </w:tc>
        <w:tc>
          <w:tcPr>
            <w:tcW w:w="1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00"/>
              <w:spacing w:after="0" w:line="119" w:lineRule="exact"/>
              <w:rPr>
                <w:sz w:val="20"/>
                <w:szCs w:val="20"/>
                <w:color w:val="auto"/>
              </w:rPr>
            </w:pPr>
            <w:r>
              <w:rPr>
                <w:rFonts w:ascii="Arial" w:cs="Arial" w:eastAsia="Arial" w:hAnsi="Arial"/>
                <w:sz w:val="13"/>
                <w:szCs w:val="13"/>
                <w:b w:val="1"/>
                <w:bCs w:val="1"/>
                <w:color w:val="auto"/>
              </w:rPr>
              <w:t>May 31,</w:t>
            </w: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May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80" w:type="dxa"/>
            <w:vAlign w:val="bottom"/>
            <w:gridSpan w:val="2"/>
            <w:vMerge w:val="continue"/>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Net increase in</w:t>
            </w:r>
          </w:p>
        </w:tc>
        <w:tc>
          <w:tcPr>
            <w:tcW w:w="37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assets from operations</w:t>
            </w:r>
          </w:p>
        </w:tc>
        <w:tc>
          <w:tcPr>
            <w:tcW w:w="1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5,422,491</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5,379,616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May 14, 2015, the Company declared a dividend of $1.00 per share payable on June 5, 2015. Shareholders have the option to receive payment of the dividend in cash, or receive shares of common stock, pursuant our DRIP. Based on shareholder elections, the dividend consisted of approximately $3.4 million in cash and 126,230 newly issued shares of common stock.</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April 9, 2015, the Company declared a dividend of $0.27 per share payable on May 29, 2015. Shareholders have the option to receive payment of the dividend in cash, or receive shares of common stock, pursuant our DRIP. Based on shareholder elections, the dividend consisted of approximately $0.9 million in cash and 33,766 newly issued shares of common stock.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three months ended May 31, 2015 (dollars in thousands except per share amounts):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60" w:type="dxa"/>
            <w:vAlign w:val="bottom"/>
            <w:vMerge w:val="restart"/>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Record Date</w:t>
            </w:r>
          </w:p>
        </w:tc>
        <w:tc>
          <w:tcPr>
            <w:tcW w:w="400" w:type="dxa"/>
            <w:vAlign w:val="bottom"/>
          </w:tcPr>
          <w:p>
            <w:pPr>
              <w:spacing w:after="0"/>
              <w:rPr>
                <w:sz w:val="14"/>
                <w:szCs w:val="14"/>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9"/>
              </w:rPr>
              <w:t>Payment Date</w:t>
            </w:r>
          </w:p>
        </w:tc>
        <w:tc>
          <w:tcPr>
            <w:tcW w:w="4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880" w:type="dxa"/>
            <w:vAlign w:val="bottom"/>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9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14, 2015</w:t>
            </w:r>
          </w:p>
        </w:tc>
        <w:tc>
          <w:tcPr>
            <w:tcW w:w="192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1"/>
              </w:rPr>
              <w:t>May 26, 2015</w:t>
            </w:r>
          </w:p>
        </w:tc>
        <w:tc>
          <w:tcPr>
            <w:tcW w:w="40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6"/>
              </w:rPr>
              <w:t>June 5, 2015</w:t>
            </w: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1.00</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$5,429</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April 9, 2015</w:t>
            </w:r>
          </w:p>
        </w:tc>
        <w:tc>
          <w:tcPr>
            <w:tcW w:w="2940" w:type="dxa"/>
            <w:vAlign w:val="bottom"/>
            <w:gridSpan w:val="2"/>
          </w:tcPr>
          <w:p>
            <w:pPr>
              <w:ind w:left="1920"/>
              <w:spacing w:after="0"/>
              <w:rPr>
                <w:sz w:val="20"/>
                <w:szCs w:val="20"/>
                <w:color w:val="auto"/>
              </w:rPr>
            </w:pPr>
            <w:r>
              <w:rPr>
                <w:rFonts w:ascii="Arial" w:cs="Arial" w:eastAsia="Arial" w:hAnsi="Arial"/>
                <w:sz w:val="18"/>
                <w:szCs w:val="18"/>
                <w:color w:val="auto"/>
              </w:rPr>
              <w:t>May 4, 2015</w:t>
            </w:r>
          </w:p>
        </w:tc>
        <w:tc>
          <w:tcPr>
            <w:tcW w:w="1820" w:type="dxa"/>
            <w:vAlign w:val="bottom"/>
            <w:gridSpan w:val="3"/>
          </w:tcPr>
          <w:p>
            <w:pPr>
              <w:ind w:left="400"/>
              <w:spacing w:after="0"/>
              <w:rPr>
                <w:sz w:val="20"/>
                <w:szCs w:val="20"/>
                <w:color w:val="auto"/>
              </w:rPr>
            </w:pPr>
            <w:r>
              <w:rPr>
                <w:rFonts w:ascii="Arial" w:cs="Arial" w:eastAsia="Arial" w:hAnsi="Arial"/>
                <w:sz w:val="18"/>
                <w:szCs w:val="18"/>
                <w:color w:val="auto"/>
              </w:rPr>
              <w:t>May 29, 2015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0.27</w:t>
            </w:r>
          </w:p>
        </w:tc>
        <w:tc>
          <w:tcPr>
            <w:tcW w:w="660" w:type="dxa"/>
            <w:vAlign w:val="bottom"/>
            <w:gridSpan w:val="2"/>
          </w:tcPr>
          <w:p>
            <w:pPr>
              <w:jc w:val="center"/>
              <w:ind w:left="5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1,466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880" w:type="dxa"/>
            <w:vAlign w:val="bottom"/>
          </w:tcPr>
          <w:p>
            <w:pPr>
              <w:spacing w:after="0"/>
              <w:rPr>
                <w:sz w:val="6"/>
                <w:szCs w:val="6"/>
                <w:color w:val="auto"/>
              </w:rPr>
            </w:pPr>
          </w:p>
        </w:tc>
        <w:tc>
          <w:tcPr>
            <w:tcW w:w="31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dividends declared</w:t>
            </w:r>
          </w:p>
        </w:tc>
        <w:tc>
          <w:tcPr>
            <w:tcW w:w="1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1.27</w:t>
            </w:r>
          </w:p>
        </w:tc>
        <w:tc>
          <w:tcPr>
            <w:tcW w:w="6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6,895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ind w:left="460" w:right="3880" w:hanging="452"/>
        <w:spacing w:after="0" w:line="500" w:lineRule="auto"/>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 per share is calculated based on the number of shares outstanding at the date of declaration. The Company did not declare any dividend payments during the quarter ended May 31, 2014.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financial highlights for the three months ended May 31, 2015 and May 31, 2014:</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May 31, 2015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May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 data:</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22.70</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w w:val="98"/>
              </w:rPr>
              <w:t>Net realized and unrealized gains and losses on investments and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jc w:val="right"/>
              <w:ind w:right="4130"/>
              <w:spacing w:after="0"/>
              <w:rPr>
                <w:sz w:val="20"/>
                <w:szCs w:val="20"/>
                <w:color w:val="auto"/>
              </w:rPr>
            </w:pPr>
            <w:r>
              <w:rPr>
                <w:rFonts w:ascii="Arial" w:cs="Arial" w:eastAsia="Arial" w:hAnsi="Arial"/>
                <w:sz w:val="18"/>
                <w:szCs w:val="18"/>
                <w:color w:val="auto"/>
              </w:rPr>
              <w:t>derivatives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 to stockholders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123,491,324</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115,187,818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5,428,758</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5,379,616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17.42</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 (2)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 return based on net asset value (3)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365"/>
        </w:trPr>
        <w:tc>
          <w:tcPr>
            <w:tcW w:w="5180" w:type="dxa"/>
            <w:vAlign w:val="bottom"/>
            <w:gridSpan w:val="2"/>
          </w:tcPr>
          <w:p>
            <w:pPr>
              <w:jc w:val="right"/>
              <w:ind w:right="67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May 31, 2015</w:t>
            </w:r>
          </w:p>
        </w:tc>
        <w:tc>
          <w:tcPr>
            <w:tcW w:w="13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Ratio of incentive management fees to average net assets</w:t>
            </w:r>
          </w:p>
        </w:tc>
        <w:tc>
          <w:tcPr>
            <w:tcW w:w="8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5.89%</w:t>
            </w:r>
          </w:p>
        </w:tc>
        <w:tc>
          <w:tcPr>
            <w:tcW w:w="34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2140" w:type="dxa"/>
            <w:vAlign w:val="bottom"/>
            <w:gridSpan w:val="3"/>
          </w:tcPr>
          <w:p>
            <w:pPr>
              <w:jc w:val="right"/>
              <w:ind w:right="340"/>
              <w:spacing w:after="0"/>
              <w:rPr>
                <w:sz w:val="20"/>
                <w:szCs w:val="20"/>
                <w:color w:val="auto"/>
              </w:rPr>
            </w:pPr>
            <w:r>
              <w:rPr>
                <w:rFonts w:ascii="Arial" w:cs="Arial" w:eastAsia="Arial" w:hAnsi="Arial"/>
                <w:sz w:val="18"/>
                <w:szCs w:val="18"/>
                <w:color w:val="auto"/>
              </w:rPr>
              <w:t>6.43%</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w:t>
            </w:r>
          </w:p>
        </w:tc>
        <w:tc>
          <w:tcPr>
            <w:tcW w:w="2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18.97%</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Portfolio turnover rate (5)</w:t>
            </w:r>
          </w:p>
        </w:tc>
        <w:tc>
          <w:tcPr>
            <w:tcW w:w="2140" w:type="dxa"/>
            <w:vAlign w:val="bottom"/>
            <w:gridSpan w:val="3"/>
          </w:tcPr>
          <w:p>
            <w:pPr>
              <w:jc w:val="right"/>
              <w:ind w:right="340"/>
              <w:spacing w:after="0"/>
              <w:rPr>
                <w:sz w:val="20"/>
                <w:szCs w:val="20"/>
                <w:color w:val="auto"/>
              </w:rPr>
            </w:pPr>
            <w:r>
              <w:rPr>
                <w:rFonts w:ascii="Arial" w:cs="Arial" w:eastAsia="Arial" w:hAnsi="Arial"/>
                <w:sz w:val="18"/>
                <w:szCs w:val="18"/>
                <w:color w:val="auto"/>
              </w:rPr>
              <w:t>2.99%</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described in Note 2 to the consolidated financial statements and notes thereto, we identified errors that impacted the three months ended May 31,</w:t>
      </w:r>
    </w:p>
    <w:p>
      <w:pPr>
        <w:spacing w:after="0" w:line="46"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2014. The corrections for the errors, which we have concluded are immaterial to all prior period consolidated financial statements, are reflected in the consolidated financial statements included in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jc w:val="both"/>
        <w:ind w:left="460" w:right="16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dividend reinvestment plan. Total investment return does not reflect brokerage commissions.</w:t>
      </w:r>
    </w:p>
    <w:p>
      <w:pPr>
        <w:spacing w:after="0" w:line="2" w:lineRule="exact"/>
        <w:rPr>
          <w:rFonts w:ascii="Arial" w:cs="Arial" w:eastAsia="Arial" w:hAnsi="Arial"/>
          <w:sz w:val="16"/>
          <w:szCs w:val="16"/>
          <w:color w:val="auto"/>
        </w:rPr>
      </w:pPr>
    </w:p>
    <w:p>
      <w:pPr>
        <w:ind w:left="460" w:right="4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dilutive effect of issuing common stock below net asset value per share during the period in connection with the satisfaction of the Company’s annual RIC distribution requirement. See Note 11, Dividend.</w:t>
      </w: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year-to-date sales or year-to-date purchases over the average of the invested assets at fair value.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29, 2015, the Company entered into a Debt Distribution Agreement with Landenburg Thalmann &amp; Co. through which the Company may offer for sale, from time to time, up to $20.0 million in aggregate principal amount of the Notes through an At-the-Market (“ATM”) offering. As of July 14, 2015, the Company sold 227,863 bonds with a principal of $5,696,575 at an average price of $25.32 for aggregate net proceeds of $5,653,305 (net of transaction costs).</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July 8, 2015 the Company declared a dividend of $0.33 per share payable for the fiscal quarter ended May 31, 2015 to all stockholders of record at the close of business on August 3, 2015. Shareholders will have the option to receive payment of the dividend in cash, or receive shares of common stock pursuant to the Company’s dividend reinvestment plan.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following discussion should be read in conjunction with our financial statements and related notes and other financial information appearing elsewhere in this Quarterly Report on Form 10-Q. In addition to historical information, the following discussion and other parts of this Quarterly Report contain forward-looking information that involves risks and uncertainties. Our actual results could differ materially from those anticipated by such forward-looking information due to the factors discussed under Part I, Item 1A in our Annual Report on Form 10-K for the fiscal year ended February 28, 2015.</w:t>
      </w:r>
    </w:p>
    <w:p>
      <w:pPr>
        <w:spacing w:after="0" w:line="15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forward-looking statements contained in this Quarterly Report on Form 10-Q involve risks and uncertainties, including statements as to:</w:t>
      </w:r>
    </w:p>
    <w:p>
      <w:pPr>
        <w:spacing w:after="0" w:line="14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regulatory structure and tax treatment, including our ability to operate as a business development company (“BDC”), or to operate our small business investment company (“SBIC”) subsidiary, and to continue to qualify to be taxed as a regulated investment company (“RIC”);</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You should not place undue reliance on these forward-looking statements. The forward-looking statements made in this Quarterly Report on Form 10-Q relate only to events as of the date on which the statements are made. We undertake no obligation to update any forward-looking statement to reflect events or circumstances occurring after the date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 Maryland corporation that has elected to be treated as a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$5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We have elected and qualified to be treated as a RIC under Subchapter M of the Internal Revenue Code of 1986, as amended (the “Code”).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History and Recent Developments</w:t>
      </w:r>
    </w:p>
    <w:p>
      <w:pPr>
        <w:spacing w:after="0" w:line="117" w:lineRule="exact"/>
        <w:rPr>
          <w:sz w:val="20"/>
          <w:szCs w:val="20"/>
          <w:color w:val="auto"/>
        </w:rPr>
      </w:pPr>
    </w:p>
    <w:p>
      <w:pPr>
        <w:ind w:right="400" w:firstLine="456"/>
        <w:spacing w:after="0" w:line="302" w:lineRule="auto"/>
        <w:rPr>
          <w:sz w:val="20"/>
          <w:szCs w:val="20"/>
          <w:color w:val="auto"/>
        </w:rPr>
      </w:pPr>
      <w:r>
        <w:rPr>
          <w:rFonts w:ascii="Arial" w:cs="Arial" w:eastAsia="Arial" w:hAnsi="Arial"/>
          <w:sz w:val="16"/>
          <w:szCs w:val="16"/>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as described below we engaged Saratoga Investment Advisors (“SIA”) to replace GSCP (NJ), L.P. as our investment adviser and changed our name to Saratoga Investment Corp.</w:t>
      </w:r>
    </w:p>
    <w:p>
      <w:pPr>
        <w:spacing w:after="0" w:line="154"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As a result of the event of default under a revolving securitized credit facility with Deutsche Bank we previously had in place, in December 2008 we engaged the investment banking firm of Stifel, Nicolaus &amp; Company to evaluate strategic transaction opportunities and consider alternatives for us. On April 14, 2010, GSC Investment Corp. entered into a stock purchase agreement with Saratoga Investment Advisors and certain of its affiliates and an assignment, assumption and novation agreement with Saratoga Investment Advisors, pursuant to which GSC Investment Corp. assumed certain rights and obligations of Saratoga Investment Advisors under a debt commitment letter Saratoga Investment Advisors received from Madison Capital Funding LLC, which indicated Madison Capital Funding’s willingness to provide GSC Investment Corp. with a $40.0 million senior secured revolving credit facility, subject to the satisfaction of certain terms and conditions. In addition, GSC Investment Corp. and GSCP (NJ), L.P.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83"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July 30, 2010, the transactions contemplated by the stock purchase agreement with Saratoga Investment Advisors and certain of its affiliates were completed, the private sale of 986,842 shares of our common stock for $15.0 million in aggregate purchase price to Saratoga Investment Advisors and certain of its affiliates closed, the Company entered into the Credit Facility, and the Company began doing business as Saratoga Investment Corp.</w:t>
      </w:r>
    </w:p>
    <w:p>
      <w:pPr>
        <w:spacing w:after="0" w:line="14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used the net proceeds from the private sale transaction and a portion of the funds available to us under the Credit Facility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pacing w:after="0" w:line="14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January 2011, we registered for public resale the 982,842 shares of our common stock issued to Saratoga Investment Advisors and certain of its affiliates.</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SBIC license from the Small Business Administration (“SBA”).</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The notes are listed on the NYSE under the trading symbol “SAQ” with a par value of $25.00 per share.</w:t>
      </w:r>
    </w:p>
    <w:p>
      <w:pPr>
        <w:spacing w:after="0" w:line="17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$75 million of additional SBA-guaranteed debentures in addition to the $150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May 29, 2015, we entered into a Debt Distribution Agreement with Landenburg Thalmann &amp; Co. through which we may offer for sale, from time to time, up to $20.0 million in aggregate principal amount of the Notes through an At-the-Market (“ATM”) offering. As of July 14, 2015, the Company sold 227,863 bonds with a principal of $5,696,575 at an average price of $25.32 for aggregate net proceeds of $5,653,305 (net of transaction costs).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(“U.S. GAAP”) requires management to make certain estimates and assumptions affecting amounts reported in the Company’s consolidated financial 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5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900" w:right="54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right="180" w:hanging="446"/>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Saratoga Investment Advisors and independent valuation firm (if applicable) will supplement the preliminary valuation to reflect any comments provided by the audit committee; and</w:t>
      </w:r>
    </w:p>
    <w:p>
      <w:pPr>
        <w:spacing w:after="0" w:line="51" w:lineRule="exact"/>
        <w:rPr>
          <w:rFonts w:ascii="Arial" w:cs="Arial" w:eastAsia="Arial" w:hAnsi="Arial"/>
          <w:sz w:val="17"/>
          <w:szCs w:val="17"/>
          <w:color w:val="auto"/>
        </w:rPr>
      </w:pPr>
    </w:p>
    <w:p>
      <w:pPr>
        <w:ind w:left="900" w:right="460" w:hanging="446"/>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board of directors discusses the valuations and approves the fair value of each investment, in good faith, based on the input of Saratoga Investment Advisors, independent valuation firm (to the extent applicable) and the audit committee of our board of directors.</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SIA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Recognition</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Paid-in-Kind Interest</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PIK. To the 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generated in connection with our investments and recognized as earned. We may also invest in preferred equity securities that pay dividends on a current basis.</w:t>
      </w:r>
    </w:p>
    <w:p>
      <w:pPr>
        <w:spacing w:after="0" w:line="19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On January 22, 2008, we entered into a collateral management agreement with Saratoga CLO, pursuant to which we act as its collateral manager. The Saratoga CLO was refinanced in October 2013 and its reinvestment period ends in October 2016. The Saratoga CLO remains 100% owned and managed by Saratoga Investment Corp. We receive a senior collateral management fee of 0.25% and a subordinate collateral management fee of 0.25% of the outstanding principal amount of Saratoga CLO’s assets, paid quarterly to the extent of available proceeds. We are also entitled to an incentive management fee equal to 20.0% of excess cash flow to the extent the Saratoga CLO subordinated notes receive an internal rate of return equal to or greater than 12.0%.</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and management fees, professional fees, directors and officers insurance, fees paid to independent directors and administrator expenses, including our allocable portion of our 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7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advisers, relating to, or associated with, evaluating and making investments;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 and the SBA);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75" w:lineRule="exact"/>
        <w:rPr>
          <w:rFonts w:ascii="Arial" w:cs="Arial" w:eastAsia="Arial" w:hAnsi="Arial"/>
          <w:sz w:val="18"/>
          <w:szCs w:val="18"/>
          <w:color w:val="auto"/>
        </w:rPr>
      </w:pPr>
    </w:p>
    <w:p>
      <w:pPr>
        <w:ind w:left="900" w:right="50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Pursuant to the investment advisory and management agreement that we had with GSCP (NJ), L.P., our former investment adviser and administrator, we had agreed to pay GSCP (NJ), L.P. as investment adviser a quarterly base management fee of 1.75% of the average value of our total assets (other than cash or cash equivalents but including assets purchased with borrowed funds) at the end of the two most recently completed fiscal quarters, and appropriately adjusted for any share issuances or repurchases during the applicable fiscal quarter, and an incentive fee.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had two parts:</w:t>
      </w:r>
    </w:p>
    <w:p>
      <w:pPr>
        <w:spacing w:after="0" w:line="131" w:lineRule="exact"/>
        <w:rPr>
          <w:sz w:val="20"/>
          <w:szCs w:val="20"/>
          <w:color w:val="auto"/>
        </w:rPr>
      </w:pPr>
    </w:p>
    <w:p>
      <w:pPr>
        <w:ind w:left="900" w:hanging="446"/>
        <w:spacing w:after="0" w:line="25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fee, payable quarterly in arrears, equal to 20.0% of our pre-incentive fee net investment income, expressed as a rate of return on the value of the net assets at the end of the immediately preceding quarter, that exceeded a 1.875% quarterly (7.5% annualized) hurdle rate measured as of the end of each fiscal quarter. Under this provision, in any fiscal quarter, our investment adviser received no incentive fee unless our pre-incentive fee net investment income exceeded the hurdle rate of 1.875%. Amounts received as a return of capital were not included in calculating this portion of the incentive fee. Since the hurdle rate was based on net assets, a return of less than the hurdle rate on total assets could still have resulted in an incentive fee.</w:t>
      </w:r>
    </w:p>
    <w:p>
      <w:pPr>
        <w:spacing w:after="0" w:line="98" w:lineRule="exact"/>
        <w:rPr>
          <w:rFonts w:ascii="Arial" w:cs="Arial" w:eastAsia="Arial" w:hAnsi="Arial"/>
          <w:sz w:val="18"/>
          <w:szCs w:val="18"/>
          <w:color w:val="auto"/>
        </w:rPr>
      </w:pPr>
    </w:p>
    <w:p>
      <w:pPr>
        <w:ind w:left="900" w:right="30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fee, payable at the end of each fiscal year, equal to 20.0% of our net realized capital gains, if any, computed net of all realized capital losses and unrealized capital depreciation, in each case on a cumulative basis, less the aggregate amount of capital gains incentive fees paid to the investment adviser through such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deferred cash payment of any incentive fee otherwise earned by our former investment adviser if, during the then most recent four full fiscal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quarters ending on or prior to the date such payment was to be made, the sum of (a) our aggregate distributions to our stockholders and (b) our change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(defined as total assets less liabilities) (before taking into account any incentive fees payable during that period) was less than 7.5% of our net assets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beginning of such period. These calculations were appropriately pro-rated for the first three fiscal quarters of operation and adjusted for any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issuances or repurchases during the applicable period. Such incentive fee would become payable on the next date on which such test had been satisfied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most recent four full fiscal quarters or upon certain terminations of the investment advisory and management agreement. We commenced deferring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 of incentive fees during the quarterly period ended August 31, 2007, and continued to defer such payments through the quarterly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31, 2010. As of July 30, 2010, the date on which GSCP (NJ), L.P. ceased to be our investment adviser and administrator, we owed GSCP (NJ),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million in fees for services previously provided to us; of which $0.3 million has been paid by us. GSCP (NJ), L.P. agreed to waive payment by us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$2.6 million in connection with the consummation of the stock purchase transaction with Saratoga Investment Advisors and certain of its affiliates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elsewhere in this Quarterly Report.</w:t>
      </w:r>
    </w:p>
    <w:p>
      <w:pPr>
        <w:spacing w:after="0" w:line="21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terms of the investment advisory and management agreement with Saratoga Investment Advisors, our current investment adviser, are substantially similar to the terms of the investment advisory and management agreement we had entered into with GSCP (NJ), L.P., our former investment adviser, except for the following material distinctions in the fee terms:</w:t>
      </w:r>
    </w:p>
    <w:p>
      <w:pPr>
        <w:spacing w:after="0" w:line="87" w:lineRule="exact"/>
        <w:rPr>
          <w:sz w:val="20"/>
          <w:szCs w:val="20"/>
          <w:color w:val="auto"/>
        </w:rPr>
      </w:pPr>
    </w:p>
    <w:p>
      <w:pPr>
        <w:ind w:left="900" w:right="100" w:hanging="446"/>
        <w:spacing w:after="0" w:line="273"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capital gains portion of the incentive fee was reset with respect to gains and losses from May 31, 2010, and therefore losses and gains incurred prior to such time will not be taken into account when calculating the capital gains fee payable to Saratoga Investment Advisors and, as a result, Saratoga Investment Advisors will be entitled to 20.0% of net gains that arise after May 31, 2010. In addition, the cost basis for computing realized gains and losses on investments held by us as of May 31, 2010 equal the fair value of such investment as of such date. Under the investment advisory and management agreement with our former investment adviser, GSCP (NJ), L.P., the capital gains fee was calculated from March 21, 2007, and the gains were substantially outweighed by losses.</w:t>
      </w:r>
    </w:p>
    <w:p>
      <w:pPr>
        <w:spacing w:after="0" w:line="83" w:lineRule="exact"/>
        <w:rPr>
          <w:rFonts w:ascii="Arial" w:cs="Arial" w:eastAsia="Arial" w:hAnsi="Arial"/>
          <w:sz w:val="17"/>
          <w:szCs w:val="17"/>
          <w:color w:val="auto"/>
        </w:rPr>
      </w:pPr>
    </w:p>
    <w:p>
      <w:pPr>
        <w:ind w:left="900" w:right="140" w:hanging="446"/>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“catch up” provision, 100.0% of our pre-incentive fee net investment income with respect to that portion of such pre-incentive fee net investment income that exceeds 1.875% (7.5% annualized) but is less than or equal to 2.344% in any fiscal quarter is payable to Saratoga Investment Advisors. This will enable Saratoga Investment Advisors to receive 20.0% of all net investment income as such amount approaches 2.344% in any quarter, and Saratoga Investment Advisors will receive 20.0% of any additional net investment income. Under the investment advisory and management agreement with our former investment adviser, GSCP (NJ), L.P. only received 20.0% of the excess net investment income over 1.875%.</w:t>
      </w:r>
    </w:p>
    <w:p>
      <w:pPr>
        <w:spacing w:after="0" w:line="98"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no longer have deferral rights regarding incentive fees in the event that the distributions to stockholders and change in net assets is less than 7.5% for the preceding four fiscal quarters.</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Consolidation (ASC Topic 810): Amendments to the Consolidation Analysis</w:t>
      </w:r>
      <w:r>
        <w:rPr>
          <w:rFonts w:ascii="Arial" w:cs="Arial" w:eastAsia="Arial" w:hAnsi="Arial"/>
          <w:sz w:val="18"/>
          <w:szCs w:val="18"/>
          <w:color w:val="auto"/>
        </w:rPr>
        <w:t xml:space="preserve"> (“ASU 2015-02”). ASU 2015-02 significantly changes the consolidation analysis required under GAAP and ends the deferral granted to investment companies from applying the variable interest entity guidance. ASU 2015-02 is effective for interim and annual reporting periods in fiscal years that begin after December 15, 2015 and early adoption is permitted. Management is currently evaluating the impact these changes will have on the Company’s consolidated financial statements and disclosures.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is currently evaluating the impact of adopting this new accounting guidance update on the company’s consolidated financial statement.</w:t>
      </w:r>
    </w:p>
    <w:p>
      <w:pPr>
        <w:spacing w:after="0" w:line="16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In June 2014, the FASB issued ASU 2014-11, </w:t>
      </w:r>
      <w:r>
        <w:rPr>
          <w:rFonts w:ascii="Arial" w:cs="Arial" w:eastAsia="Arial" w:hAnsi="Arial"/>
          <w:sz w:val="18"/>
          <w:szCs w:val="18"/>
          <w:i w:val="1"/>
          <w:iCs w:val="1"/>
          <w:color w:val="auto"/>
        </w:rPr>
        <w:t>Repurchase-to-Maturity Transactions, Repurchase Financings, and Disclosures,</w:t>
      </w:r>
      <w:r>
        <w:rPr>
          <w:rFonts w:ascii="Arial" w:cs="Arial" w:eastAsia="Arial" w:hAnsi="Arial"/>
          <w:sz w:val="18"/>
          <w:szCs w:val="18"/>
          <w:color w:val="auto"/>
        </w:rPr>
        <w:t xml:space="preserve"> (“ASU 2014-11”). ASU 2014-11 makes limited changes to the accounting for repurchase agreements, clarifies when repurchase agreements and securities lending transactions should be accounted for as secured borrowings, and requires additional disclosures regarding these types of transactions. The guidance is effective for fiscal years beginning on or after December 15, 2014, and for interim periods within those fiscal years. Management is currently evaluating the impact these changes will have on the Company’s consolidated financial statement disclosures.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w:t>
      </w:r>
      <w:r>
        <w:rPr>
          <w:rFonts w:ascii="Arial" w:cs="Arial" w:eastAsia="Arial" w:hAnsi="Arial"/>
          <w:sz w:val="18"/>
          <w:szCs w:val="18"/>
          <w:i w:val="1"/>
          <w:iCs w:val="1"/>
          <w:color w:val="auto"/>
        </w:rPr>
        <w:t>2014-09, 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 (Topic 606)</w:t>
      </w:r>
      <w:r>
        <w:rPr>
          <w:rFonts w:ascii="Arial" w:cs="Arial" w:eastAsia="Arial" w:hAnsi="Arial"/>
          <w:sz w:val="18"/>
          <w:szCs w:val="18"/>
          <w:color w:val="auto"/>
        </w:rPr>
        <w:t>, which supersedes the revenue recognition requirements in Revenue Recognition (Topic 605). Under the new guidance,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The Company is currently evaluating the impact this ASU will have on its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Corporate Debt Portfolio Overview</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At May 31,</w:t>
            </w: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At February 28,</w:t>
            </w:r>
          </w:p>
        </w:tc>
      </w:tr>
      <w:tr>
        <w:trPr>
          <w:trHeight w:val="171"/>
        </w:trPr>
        <w:tc>
          <w:tcPr>
            <w:tcW w:w="4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2015</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20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Number of investments(1)</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Number of portfolio companies(1)</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size(1)</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Weighted average maturity(1)</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3.5yrs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3.7yrs</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Number of industries(1)</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Average investment per portfolio company(1)</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or delinquent investments(1)</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Fixed rate debt (% of interest bearing portfolio)(2)</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83.0(37.5)%</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82.5(40.6)%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coupon(2)</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Floating rate debt (% of interest bearing portfolio)(2)</w:t>
            </w:r>
          </w:p>
        </w:tc>
        <w:tc>
          <w:tcPr>
            <w:tcW w:w="2380" w:type="dxa"/>
            <w:vAlign w:val="bottom"/>
            <w:gridSpan w:val="4"/>
          </w:tcPr>
          <w:p>
            <w:pPr>
              <w:ind w:left="1020"/>
              <w:spacing w:after="0"/>
              <w:rPr>
                <w:sz w:val="20"/>
                <w:szCs w:val="20"/>
                <w:color w:val="auto"/>
              </w:rPr>
            </w:pPr>
            <w:r>
              <w:rPr>
                <w:rFonts w:ascii="Arial" w:cs="Arial" w:eastAsia="Arial" w:hAnsi="Arial"/>
                <w:sz w:val="18"/>
                <w:szCs w:val="18"/>
                <w:color w:val="auto"/>
              </w:rPr>
              <w:t>$138.2(62.5)%</w:t>
            </w:r>
          </w:p>
        </w:tc>
        <w:tc>
          <w:tcPr>
            <w:tcW w:w="1460" w:type="dxa"/>
            <w:vAlign w:val="bottom"/>
            <w:gridSpan w:val="4"/>
          </w:tcPr>
          <w:p>
            <w:pPr>
              <w:ind w:left="240"/>
              <w:spacing w:after="0"/>
              <w:rPr>
                <w:sz w:val="20"/>
                <w:szCs w:val="20"/>
                <w:color w:val="auto"/>
              </w:rPr>
            </w:pPr>
            <w:r>
              <w:rPr>
                <w:rFonts w:ascii="Arial" w:cs="Arial" w:eastAsia="Arial" w:hAnsi="Arial"/>
                <w:sz w:val="18"/>
                <w:szCs w:val="18"/>
                <w:color w:val="auto"/>
                <w:w w:val="97"/>
              </w:rPr>
              <w:t>$ 120.8(59.4)%</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spread over LIBOR(2)</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and limited partnership interests.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investments in common stocks and limited partnership interests.</w:t>
      </w:r>
    </w:p>
    <w:p>
      <w:pPr>
        <w:spacing w:after="0" w:line="21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During the three months ended May 31, 2015, we made $23.2 million investments in new or existing portfolio companies and had $7.3 million in aggregate amount of exits and repayments resulting in net investments of $15.9 million for the period.</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During the three months ended May 31, 2014, we made $21.6 million investments in new or existing portfolio companies and had $8.7 million in aggregate amount of exits and repayments resulting in net investments of $12.9 million for the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portfolio composition at May 31, 2015 and February 28, 2015 at fair value was as follows: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At May 31, 2015</w:t>
            </w:r>
          </w:p>
        </w:tc>
        <w:tc>
          <w:tcPr>
            <w:tcW w:w="21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340" w:type="dxa"/>
            <w:vAlign w:val="bottom"/>
            <w:tcBorders>
              <w:top w:val="single" w:sz="8" w:color="auto"/>
            </w:tcBorders>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660" w:type="dxa"/>
            <w:vAlign w:val="bottom"/>
          </w:tcPr>
          <w:p>
            <w:pPr>
              <w:spacing w:after="0"/>
              <w:rPr>
                <w:sz w:val="10"/>
                <w:szCs w:val="10"/>
                <w:color w:val="auto"/>
              </w:rPr>
            </w:pPr>
          </w:p>
        </w:tc>
        <w:tc>
          <w:tcPr>
            <w:tcW w:w="1360" w:type="dxa"/>
            <w:vAlign w:val="bottom"/>
            <w:tcBorders>
              <w:top w:val="single" w:sz="8" w:color="auto"/>
            </w:tcBorders>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continue"/>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of Total</w:t>
            </w: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Current</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of Total</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9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First lien term loans</w:t>
            </w:r>
          </w:p>
        </w:tc>
        <w:tc>
          <w:tcPr>
            <w:tcW w:w="3280" w:type="dxa"/>
            <w:vAlign w:val="bottom"/>
            <w:gridSpan w:val="3"/>
          </w:tcPr>
          <w:p>
            <w:pPr>
              <w:jc w:val="right"/>
              <w:ind w:right="660"/>
              <w:spacing w:after="0"/>
              <w:rPr>
                <w:sz w:val="20"/>
                <w:szCs w:val="20"/>
                <w:color w:val="auto"/>
              </w:rPr>
            </w:pPr>
            <w:r>
              <w:rPr>
                <w:rFonts w:ascii="Arial" w:cs="Arial" w:eastAsia="Arial" w:hAnsi="Arial"/>
                <w:sz w:val="18"/>
                <w:szCs w:val="18"/>
                <w:color w:val="auto"/>
              </w:rPr>
              <w:t>59.8</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11.2</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60.3</w:t>
            </w: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3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15.4</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Unsecured notes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10.8</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Saratoga CLO subordinated notes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28.8</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Equity interests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6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8.4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7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40" w:type="dxa"/>
            <w:vAlign w:val="bottom"/>
            <w:vMerge w:val="restart"/>
          </w:tcPr>
          <w:p>
            <w:pPr>
              <w:jc w:val="right"/>
              <w:ind w:right="310"/>
              <w:spacing w:after="0"/>
              <w:rPr>
                <w:sz w:val="20"/>
                <w:szCs w:val="20"/>
                <w:color w:val="auto"/>
              </w:rPr>
            </w:pPr>
            <w:r>
              <w:rPr>
                <w:rFonts w:ascii="Arial" w:cs="Arial" w:eastAsia="Arial" w:hAnsi="Arial"/>
                <w:sz w:val="18"/>
                <w:szCs w:val="18"/>
                <w:color w:val="auto"/>
              </w:rPr>
              <w:t>41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investment in the subordinated notes of Saratoga CLO represents a first loss position in a portfolio that, at May 31, 2015 and February 28, 2015, was composed of $306.6 million and $296.9 million, respectively, in aggregate principal amount of predominantly senior secured first lien term loans. This investment is subject to unique risks. (See “Risk Factors—Our investment in Saratoga CLO 2013-1 LTD. constitutes a leveraged investment in a portfolio of predominantly senior secured first lien term loans and is subject to additional risks and volatility”). We do not consolidate the Saratoga CLO portfolio in our financial statements. Accordingly, the metrics below do not include the underlying Saratoga CLO portfolio investments. However, at May 31, 2015, $301.1 million or 98.8% of the Saratoga CLO portfolio investments in terms of market value had a CMR (as defined below) color rating of green or yellow and three Saratoga CLO portfolio investments were in default with a fair value of $1.4 million. At February 28, 2015, $291.6 million or 98.8% of the Saratoga CLO portfolio investments in terms of market value had a CMR (as defined below) color rating of green or yellow and two Saratoga CLO portfolio investments were in default with a fair value of $2.7 million.</w:t>
      </w:r>
    </w:p>
    <w:p>
      <w:pPr>
        <w:spacing w:after="0" w:line="18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(Green)—strong credit; (Yellow)—satisfactory credit; (Red)—payment default risk, in payment default and/or significant restructuring activity.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our investments at May 31, 2015 and February 28, 2015 was as follows: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At May 31, 2015</w:t>
            </w:r>
          </w:p>
        </w:tc>
        <w:tc>
          <w:tcPr>
            <w:tcW w:w="20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4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Color Score</w:t>
            </w:r>
          </w:p>
        </w:tc>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at</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of Total</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1"/>
        </w:trPr>
        <w:tc>
          <w:tcPr>
            <w:tcW w:w="740" w:type="dxa"/>
            <w:vAlign w:val="bottom"/>
            <w:gridSpan w:val="2"/>
            <w:vMerge w:val="continue"/>
          </w:tcPr>
          <w:p>
            <w:pPr>
              <w:spacing w:after="0"/>
              <w:rPr>
                <w:sz w:val="14"/>
                <w:szCs w:val="14"/>
                <w:color w:val="auto"/>
              </w:rPr>
            </w:pPr>
          </w:p>
        </w:tc>
        <w:tc>
          <w:tcPr>
            <w:tcW w:w="5120" w:type="dxa"/>
            <w:vAlign w:val="bottom"/>
          </w:tcPr>
          <w:p>
            <w:pPr>
              <w:spacing w:after="0"/>
              <w:rPr>
                <w:sz w:val="14"/>
                <w:szCs w:val="14"/>
                <w:color w:val="auto"/>
              </w:rPr>
            </w:pPr>
          </w:p>
        </w:tc>
        <w:tc>
          <w:tcPr>
            <w:tcW w:w="13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Portfolio</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Portfolio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Green</w:t>
            </w:r>
          </w:p>
        </w:tc>
        <w:tc>
          <w:tcPr>
            <w:tcW w:w="5240" w:type="dxa"/>
            <w:vAlign w:val="bottom"/>
            <w:gridSpan w:val="2"/>
            <w:shd w:val="clear" w:color="auto" w:fill="CCEEFF"/>
          </w:tcPr>
          <w:p>
            <w:pPr>
              <w:ind w:left="51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211,564</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$ 191,606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Yellow</w:t>
            </w: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9,611</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3.7</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11,635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Red</w:t>
            </w:r>
          </w:p>
        </w:tc>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N/A(1)</w:t>
            </w: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41,466</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15.8</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37,196</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40" w:type="dxa"/>
            <w:vAlign w:val="bottom"/>
            <w:gridSpan w:val="2"/>
            <w:shd w:val="clear" w:color="auto" w:fill="CCEEFF"/>
          </w:tcPr>
          <w:p>
            <w:pPr>
              <w:ind w:left="51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262,744</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$ 240,538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 and equity interests.</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CMR distribution of Saratoga CLO investments at May 31, 2015 and February 28, 2015 was as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At May 31, 2015</w:t>
            </w:r>
          </w:p>
        </w:tc>
        <w:tc>
          <w:tcPr>
            <w:tcW w:w="20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4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Color Score</w:t>
            </w:r>
          </w:p>
        </w:tc>
        <w:tc>
          <w:tcPr>
            <w:tcW w:w="512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at</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of Total</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65"/>
        </w:trPr>
        <w:tc>
          <w:tcPr>
            <w:tcW w:w="740" w:type="dxa"/>
            <w:vAlign w:val="bottom"/>
            <w:gridSpan w:val="2"/>
            <w:vMerge w:val="continue"/>
          </w:tcPr>
          <w:p>
            <w:pPr>
              <w:spacing w:after="0"/>
              <w:rPr>
                <w:sz w:val="14"/>
                <w:szCs w:val="14"/>
                <w:color w:val="auto"/>
              </w:rPr>
            </w:pPr>
          </w:p>
        </w:tc>
        <w:tc>
          <w:tcPr>
            <w:tcW w:w="5120" w:type="dxa"/>
            <w:vAlign w:val="bottom"/>
          </w:tcPr>
          <w:p>
            <w:pPr>
              <w:spacing w:after="0"/>
              <w:rPr>
                <w:sz w:val="14"/>
                <w:szCs w:val="14"/>
                <w:color w:val="auto"/>
              </w:rPr>
            </w:pPr>
          </w:p>
        </w:tc>
        <w:tc>
          <w:tcPr>
            <w:tcW w:w="130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3"/>
              </w:rPr>
              <w:t>Portfolio</w:t>
            </w:r>
          </w:p>
        </w:tc>
        <w:tc>
          <w:tcPr>
            <w:tcW w:w="10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Fair Value</w:t>
            </w:r>
          </w:p>
        </w:tc>
        <w:tc>
          <w:tcPr>
            <w:tcW w:w="9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7"/>
              </w:rPr>
              <w:t>Portfolio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4"/>
          </w:tcPr>
          <w:p>
            <w:pPr>
              <w:ind w:left="380"/>
              <w:spacing w:after="0" w:line="149"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Green</w:t>
            </w:r>
          </w:p>
        </w:tc>
        <w:tc>
          <w:tcPr>
            <w:tcW w:w="6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$ 284,908</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$ 278,769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Yellow</w:t>
            </w:r>
          </w:p>
        </w:tc>
        <w:tc>
          <w:tcPr>
            <w:tcW w:w="6420" w:type="dxa"/>
            <w:vAlign w:val="bottom"/>
            <w:gridSpan w:val="3"/>
          </w:tcPr>
          <w:p>
            <w:pPr>
              <w:jc w:val="right"/>
              <w:ind w:right="540"/>
              <w:spacing w:after="0"/>
              <w:rPr>
                <w:sz w:val="20"/>
                <w:szCs w:val="20"/>
                <w:color w:val="auto"/>
              </w:rPr>
            </w:pPr>
            <w:r>
              <w:rPr>
                <w:rFonts w:ascii="Arial" w:cs="Arial" w:eastAsia="Arial" w:hAnsi="Arial"/>
                <w:sz w:val="18"/>
                <w:szCs w:val="18"/>
                <w:color w:val="auto"/>
              </w:rPr>
              <w:t>16,166</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12,875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Red</w:t>
            </w:r>
          </w:p>
        </w:tc>
        <w:tc>
          <w:tcPr>
            <w:tcW w:w="6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3,118</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N/A(1)</w:t>
            </w:r>
          </w:p>
        </w:tc>
        <w:tc>
          <w:tcPr>
            <w:tcW w:w="6420" w:type="dxa"/>
            <w:vAlign w:val="bottom"/>
            <w:gridSpan w:val="3"/>
          </w:tcPr>
          <w:p>
            <w:pPr>
              <w:jc w:val="right"/>
              <w:ind w:right="540"/>
              <w:spacing w:after="0"/>
              <w:rPr>
                <w:sz w:val="20"/>
                <w:szCs w:val="20"/>
                <w:color w:val="auto"/>
              </w:rPr>
            </w:pPr>
            <w:r>
              <w:rPr>
                <w:rFonts w:ascii="Arial" w:cs="Arial" w:eastAsia="Arial" w:hAnsi="Arial"/>
                <w:sz w:val="18"/>
                <w:szCs w:val="18"/>
                <w:color w:val="auto"/>
              </w:rPr>
              <w:t>491</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617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$ 304,683</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$ 295,239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Comprised of Saratoga CLO’s equity interests.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Portfolio composition by industry grouping at fair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portfolio composition by industry grouping at fair value at May 31, 2015 and February 28,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At May 31, 2015</w:t>
            </w:r>
          </w:p>
        </w:tc>
        <w:tc>
          <w:tcPr>
            <w:tcW w:w="120" w:type="dxa"/>
            <w:vAlign w:val="bottom"/>
          </w:tcPr>
          <w:p>
            <w:pPr>
              <w:spacing w:after="0"/>
              <w:rPr>
                <w:sz w:val="14"/>
                <w:szCs w:val="14"/>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At February 28, 2015</w:t>
            </w:r>
          </w:p>
        </w:tc>
      </w:tr>
      <w:tr>
        <w:trPr>
          <w:trHeight w:val="119"/>
        </w:trPr>
        <w:tc>
          <w:tcPr>
            <w:tcW w:w="5860" w:type="dxa"/>
            <w:vAlign w:val="bottom"/>
          </w:tcPr>
          <w:p>
            <w:pPr>
              <w:spacing w:after="0"/>
              <w:rPr>
                <w:sz w:val="10"/>
                <w:szCs w:val="10"/>
                <w:color w:val="auto"/>
              </w:rPr>
            </w:pPr>
          </w:p>
        </w:tc>
        <w:tc>
          <w:tcPr>
            <w:tcW w:w="13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4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0"/>
                <w:szCs w:val="10"/>
                <w:color w:val="auto"/>
              </w:rPr>
            </w:pPr>
          </w:p>
        </w:tc>
      </w:tr>
      <w:tr>
        <w:trPr>
          <w:trHeight w:val="149"/>
        </w:trPr>
        <w:tc>
          <w:tcPr>
            <w:tcW w:w="5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at</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of Total</w:t>
            </w:r>
          </w:p>
        </w:tc>
        <w:tc>
          <w:tcPr>
            <w:tcW w:w="12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of Total</w:t>
            </w:r>
          </w:p>
        </w:tc>
      </w:tr>
      <w:tr>
        <w:trPr>
          <w:trHeight w:val="171"/>
        </w:trPr>
        <w:tc>
          <w:tcPr>
            <w:tcW w:w="5860" w:type="dxa"/>
            <w:vAlign w:val="bottom"/>
          </w:tcPr>
          <w:p>
            <w:pPr>
              <w:spacing w:after="0"/>
              <w:rPr>
                <w:sz w:val="14"/>
                <w:szCs w:val="14"/>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Portfolio</w:t>
            </w: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Portfolio</w:t>
            </w:r>
          </w:p>
        </w:tc>
      </w:tr>
      <w:tr>
        <w:trPr>
          <w:trHeight w:val="142"/>
        </w:trPr>
        <w:tc>
          <w:tcPr>
            <w:tcW w:w="5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ind w:left="380"/>
              <w:spacing w:after="0" w:line="142" w:lineRule="exact"/>
              <w:rPr>
                <w:sz w:val="20"/>
                <w:szCs w:val="20"/>
                <w:color w:val="auto"/>
              </w:rPr>
            </w:pPr>
            <w:r>
              <w:rPr>
                <w:rFonts w:ascii="Arial" w:cs="Arial" w:eastAsia="Arial" w:hAnsi="Arial"/>
                <w:sz w:val="14"/>
                <w:szCs w:val="14"/>
                <w:b w:val="1"/>
                <w:bCs w:val="1"/>
                <w:color w:val="auto"/>
                <w:w w:val="96"/>
              </w:rPr>
              <w:t>($ in thousands)</w:t>
            </w: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Software as a Service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59,940</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50,362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Business Services</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52,494</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52,128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21.7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28,977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27,332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Healthcare Services</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20,027</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20,641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17,285</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10,348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Structured Finance (1)</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16,860</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17,031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Media</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15,494</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15,026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Metals</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15,262</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15,262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Automotive Aftermarket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10,540</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10,980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Electronics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6,576</w:t>
            </w:r>
          </w:p>
        </w:tc>
        <w:tc>
          <w:tcPr>
            <w:tcW w:w="54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6,667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Utilities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5,955</w:t>
            </w:r>
          </w:p>
        </w:tc>
        <w:tc>
          <w:tcPr>
            <w:tcW w:w="54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5,955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Consumer Products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3,035</w:t>
            </w:r>
          </w:p>
        </w:tc>
        <w:tc>
          <w:tcPr>
            <w:tcW w:w="54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3,284</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r>
      <w:tr>
        <w:trPr>
          <w:trHeight w:val="20"/>
        </w:trPr>
        <w:tc>
          <w:tcPr>
            <w:tcW w:w="5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1"/>
        </w:trPr>
        <w:tc>
          <w:tcPr>
            <w:tcW w:w="58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262,744</w:t>
            </w:r>
          </w:p>
        </w:tc>
        <w:tc>
          <w:tcPr>
            <w:tcW w:w="54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240,538</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r>
      <w:tr>
        <w:trPr>
          <w:trHeight w:val="20"/>
        </w:trPr>
        <w:tc>
          <w:tcPr>
            <w:tcW w:w="5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ind w:left="5620" w:right="5160" w:hanging="5612"/>
        <w:spacing w:after="0" w:line="536" w:lineRule="auto"/>
        <w:tabs>
          <w:tab w:leader="none" w:pos="45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Comprised of our investment in the subordinated notes of Saratoga CLO. 43</w:t>
      </w:r>
    </w:p>
    <w:p>
      <w:pPr>
        <w:sectPr>
          <w:pgSz w:w="11900" w:h="16838" w:orient="portrait"/>
          <w:cols w:equalWidth="0" w:num="1">
            <w:col w:w="10960"/>
          </w:cols>
          <w:pgMar w:left="240" w:top="459" w:right="6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Saratoga CLO’s portfolio composition by industry grouping at fair value at May 31, 2015 and February 28, 2015:</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At May 31, 2015</w:t>
            </w:r>
          </w:p>
        </w:tc>
        <w:tc>
          <w:tcPr>
            <w:tcW w:w="120" w:type="dxa"/>
            <w:vAlign w:val="bottom"/>
          </w:tcPr>
          <w:p>
            <w:pPr>
              <w:spacing w:after="0"/>
              <w:rPr>
                <w:sz w:val="14"/>
                <w:szCs w:val="14"/>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62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at</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of Total</w:t>
            </w:r>
          </w:p>
        </w:tc>
        <w:tc>
          <w:tcPr>
            <w:tcW w:w="120" w:type="dxa"/>
            <w:vAlign w:val="bottom"/>
          </w:tcPr>
          <w:p>
            <w:pPr>
              <w:spacing w:after="0"/>
              <w:rPr>
                <w:sz w:val="12"/>
                <w:szCs w:val="12"/>
                <w:color w:val="auto"/>
              </w:rPr>
            </w:pPr>
          </w:p>
        </w:tc>
        <w:tc>
          <w:tcPr>
            <w:tcW w:w="9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Portfolio</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Portfolio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w w:val="94"/>
              </w:rPr>
              <w:t>($ in thousands)</w:t>
            </w: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42,819</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42,751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34,030</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35,341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Chemicals/Plastics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26,610</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25,758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Conglomerate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21,103</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19,928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Retailers (Except Food and Drugs)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20,873</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22,026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Financial Intermediaries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16,026</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10,806</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14,933</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15,290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Electronics/Electric</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12,448</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12,904</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Leisure Goods/Activities/Movies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11,587</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12,629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Telecommunications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8,950</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6,675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8,733</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7,287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Automotive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6,651</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6,650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6,243</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Food Products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5,866</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5,856</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Lodging and Casinos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5,702</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Oil &amp; Gas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5,699</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6,070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5,584</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Insurance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5,415</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5,425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Food Services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5,378</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Brokers/Dealers/Investment Houses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4,866</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4,832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Containers/Glass Products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4,320</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Drugs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4,043</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10,091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4,013</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Technology</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3,959</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1,008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Media</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3,500</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2,004</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Food/Drug Retailers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2,917</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5,861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Cable and Satellite Television</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2,632</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Telecommunications/Cellular</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2,425</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2,431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2,114</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Nonferrous Metals/Minerals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1,790</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Hotels, Gaming, and Leisure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1,010</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995</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Services: Consumer</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502</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Broadcast Radio and Television</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445</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467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Environmental</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251</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Building and Development</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304,683</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295,239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20" w:type="dxa"/>
            <w:vAlign w:val="bottom"/>
            <w:vMerge w:val="restart"/>
          </w:tcPr>
          <w:p>
            <w:pPr>
              <w:jc w:val="right"/>
              <w:ind w:right="470"/>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Portfolio composition by geographic location at fair value</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shows our portfolio composition by geographic location at fair value at May 31, 2015 and February 28, 2015. The geographic composition is determined by the location of the corporate headquarters of the portfolio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610"/>
              <w:spacing w:after="0"/>
              <w:rPr>
                <w:sz w:val="20"/>
                <w:szCs w:val="20"/>
                <w:color w:val="auto"/>
              </w:rPr>
            </w:pPr>
            <w:r>
              <w:rPr>
                <w:rFonts w:ascii="Arial" w:cs="Arial" w:eastAsia="Arial" w:hAnsi="Arial"/>
                <w:sz w:val="14"/>
                <w:szCs w:val="14"/>
                <w:b w:val="1"/>
                <w:bCs w:val="1"/>
                <w:color w:val="auto"/>
              </w:rPr>
              <w:t>At May 31, 2015</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At February 28, 2015</w:t>
            </w:r>
          </w:p>
        </w:tc>
      </w:tr>
      <w:tr>
        <w:trPr>
          <w:trHeight w:val="119"/>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3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Investments</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Percentage</w:t>
            </w:r>
          </w:p>
        </w:tc>
        <w:tc>
          <w:tcPr>
            <w:tcW w:w="260" w:type="dxa"/>
            <w:vAlign w:val="bottom"/>
          </w:tcPr>
          <w:p>
            <w:pPr>
              <w:spacing w:after="0"/>
              <w:rPr>
                <w:sz w:val="10"/>
                <w:szCs w:val="10"/>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at</w:t>
            </w:r>
          </w:p>
        </w:tc>
        <w:tc>
          <w:tcPr>
            <w:tcW w:w="840" w:type="dxa"/>
            <w:vAlign w:val="bottom"/>
            <w:gridSpan w:val="4"/>
          </w:tcPr>
          <w:p>
            <w:pPr>
              <w:jc w:val="center"/>
              <w:ind w:right="110"/>
              <w:spacing w:after="0" w:line="149" w:lineRule="exact"/>
              <w:rPr>
                <w:sz w:val="20"/>
                <w:szCs w:val="20"/>
                <w:color w:val="auto"/>
              </w:rPr>
            </w:pPr>
            <w:r>
              <w:rPr>
                <w:rFonts w:ascii="Arial" w:cs="Arial" w:eastAsia="Arial" w:hAnsi="Arial"/>
                <w:sz w:val="14"/>
                <w:szCs w:val="14"/>
                <w:b w:val="1"/>
                <w:bCs w:val="1"/>
                <w:color w:val="auto"/>
                <w:w w:val="94"/>
              </w:rPr>
              <w:t>of Total</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6"/>
              </w:rPr>
              <w:t>at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Total</w:t>
            </w: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Fair Value</w:t>
            </w:r>
          </w:p>
        </w:tc>
        <w:tc>
          <w:tcPr>
            <w:tcW w:w="84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93"/>
              </w:rPr>
              <w:t>Portfolio</w:t>
            </w:r>
          </w:p>
        </w:tc>
        <w:tc>
          <w:tcPr>
            <w:tcW w:w="5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Portfolio</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Southeast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116,223</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r>
      <w:tr>
        <w:trPr>
          <w:trHeight w:val="216"/>
        </w:trPr>
        <w:tc>
          <w:tcPr>
            <w:tcW w:w="92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Midwest</w:t>
            </w: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55,152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55,767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ind w:right="260"/>
              <w:spacing w:after="0"/>
              <w:rPr>
                <w:sz w:val="20"/>
                <w:szCs w:val="20"/>
                <w:color w:val="auto"/>
              </w:rPr>
            </w:pPr>
            <w:r>
              <w:rPr>
                <w:rFonts w:ascii="Arial" w:cs="Arial" w:eastAsia="Arial" w:hAnsi="Arial"/>
                <w:sz w:val="18"/>
                <w:szCs w:val="18"/>
                <w:color w:val="auto"/>
              </w:rPr>
              <w:t>23.2</w:t>
            </w:r>
          </w:p>
        </w:tc>
      </w:tr>
      <w:tr>
        <w:trPr>
          <w:trHeight w:val="216"/>
        </w:trPr>
        <w:tc>
          <w:tcPr>
            <w:tcW w:w="92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West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39,415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r>
      <w:tr>
        <w:trPr>
          <w:trHeight w:val="216"/>
        </w:trPr>
        <w:tc>
          <w:tcPr>
            <w:tcW w:w="92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Northeast</w:t>
            </w: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34,094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ind w:right="260"/>
              <w:spacing w:after="0"/>
              <w:rPr>
                <w:sz w:val="20"/>
                <w:szCs w:val="20"/>
                <w:color w:val="auto"/>
              </w:rPr>
            </w:pPr>
            <w:r>
              <w:rPr>
                <w:rFonts w:ascii="Arial" w:cs="Arial" w:eastAsia="Arial" w:hAnsi="Arial"/>
                <w:sz w:val="18"/>
                <w:szCs w:val="18"/>
                <w:color w:val="auto"/>
              </w:rPr>
              <w:t>14.3</w:t>
            </w:r>
          </w:p>
        </w:tc>
      </w:tr>
      <w:tr>
        <w:trPr>
          <w:trHeight w:val="216"/>
        </w:trPr>
        <w:tc>
          <w:tcPr>
            <w:tcW w:w="92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16,860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r>
      <w:tr>
        <w:trPr>
          <w:trHeight w:val="216"/>
        </w:trPr>
        <w:tc>
          <w:tcPr>
            <w:tcW w:w="92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ind w:right="260"/>
              <w:spacing w:after="0"/>
              <w:rPr>
                <w:sz w:val="20"/>
                <w:szCs w:val="20"/>
                <w:color w:val="auto"/>
              </w:rPr>
            </w:pPr>
            <w:r>
              <w:rPr>
                <w:rFonts w:ascii="Arial" w:cs="Arial" w:eastAsia="Arial" w:hAnsi="Arial"/>
                <w:sz w:val="18"/>
                <w:szCs w:val="18"/>
                <w:color w:val="auto"/>
              </w:rPr>
              <w:t>0.4</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262,744</w:t>
            </w:r>
          </w:p>
        </w:tc>
        <w:tc>
          <w:tcPr>
            <w:tcW w:w="5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240,538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50"/>
        </w:trPr>
        <w:tc>
          <w:tcPr>
            <w:tcW w:w="5780" w:type="dxa"/>
            <w:vAlign w:val="bottom"/>
            <w:gridSpan w:val="4"/>
          </w:tcPr>
          <w:p>
            <w:pPr>
              <w:spacing w:after="0"/>
              <w:rPr>
                <w:sz w:val="20"/>
                <w:szCs w:val="20"/>
                <w:color w:val="auto"/>
              </w:rPr>
            </w:pPr>
            <w:r>
              <w:rPr>
                <w:rFonts w:ascii="Arial" w:cs="Arial" w:eastAsia="Arial" w:hAnsi="Arial"/>
                <w:sz w:val="18"/>
                <w:szCs w:val="18"/>
                <w:color w:val="auto"/>
                <w:w w:val="93"/>
              </w:rPr>
              <w:t>(1)   Comprised of our investment in the subordinated notes of Saratoga CLO.</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18"/>
                <w:szCs w:val="18"/>
                <w:b w:val="1"/>
                <w:bCs w:val="1"/>
                <w:color w:val="auto"/>
              </w:rPr>
              <w:t>Results of operations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7940" w:type="dxa"/>
            <w:vAlign w:val="bottom"/>
            <w:gridSpan w:val="11"/>
          </w:tcPr>
          <w:p>
            <w:pPr>
              <w:jc w:val="right"/>
              <w:ind w:right="710"/>
              <w:spacing w:after="0"/>
              <w:rPr>
                <w:sz w:val="20"/>
                <w:szCs w:val="20"/>
                <w:color w:val="auto"/>
              </w:rPr>
            </w:pPr>
            <w:r>
              <w:rPr>
                <w:rFonts w:ascii="Arial" w:cs="Arial" w:eastAsia="Arial" w:hAnsi="Arial"/>
                <w:sz w:val="18"/>
                <w:szCs w:val="18"/>
                <w:color w:val="auto"/>
                <w:w w:val="96"/>
              </w:rPr>
              <w:t>Operating results for the three months ended May 31, 2015 and May 31, 2014 are as follows: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10"/>
          </w:tcPr>
          <w:p>
            <w:pPr>
              <w:ind w:left="100"/>
              <w:spacing w:after="0"/>
              <w:rPr>
                <w:sz w:val="20"/>
                <w:szCs w:val="20"/>
                <w:color w:val="auto"/>
              </w:rPr>
            </w:pPr>
            <w:r>
              <w:rPr>
                <w:rFonts w:ascii="Arial" w:cs="Arial" w:eastAsia="Arial" w:hAnsi="Arial"/>
                <w:sz w:val="14"/>
                <w:szCs w:val="14"/>
                <w:b w:val="1"/>
                <w:bCs w:val="1"/>
                <w:color w:val="auto"/>
              </w:rPr>
              <w:t>For the three months ended</w:t>
            </w:r>
          </w:p>
        </w:tc>
      </w:tr>
      <w:tr>
        <w:trPr>
          <w:trHeight w:val="119"/>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31"/>
              <w:spacing w:after="0" w:line="119" w:lineRule="exact"/>
              <w:rPr>
                <w:sz w:val="20"/>
                <w:szCs w:val="20"/>
                <w:color w:val="auto"/>
              </w:rPr>
            </w:pPr>
            <w:r>
              <w:rPr>
                <w:rFonts w:ascii="Arial" w:cs="Arial" w:eastAsia="Arial" w:hAnsi="Arial"/>
                <w:sz w:val="13"/>
                <w:szCs w:val="13"/>
                <w:b w:val="1"/>
                <w:bCs w:val="1"/>
                <w:color w:val="auto"/>
              </w:rPr>
              <w:t>May 31,</w:t>
            </w: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50"/>
              <w:spacing w:after="0" w:line="119" w:lineRule="exact"/>
              <w:rPr>
                <w:sz w:val="20"/>
                <w:szCs w:val="20"/>
                <w:color w:val="auto"/>
              </w:rPr>
            </w:pPr>
            <w:r>
              <w:rPr>
                <w:rFonts w:ascii="Arial" w:cs="Arial" w:eastAsia="Arial" w:hAnsi="Arial"/>
                <w:sz w:val="13"/>
                <w:szCs w:val="13"/>
                <w:b w:val="1"/>
                <w:bCs w:val="1"/>
                <w:color w:val="auto"/>
              </w:rPr>
              <w:t>May 31,</w:t>
            </w:r>
          </w:p>
        </w:tc>
        <w:tc>
          <w:tcPr>
            <w:tcW w:w="560" w:type="dxa"/>
            <w:vAlign w:val="bottom"/>
            <w:gridSpan w:val="3"/>
          </w:tcPr>
          <w:p>
            <w:pPr>
              <w:spacing w:after="0"/>
              <w:rPr>
                <w:sz w:val="10"/>
                <w:szCs w:val="10"/>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0" w:type="dxa"/>
            <w:vAlign w:val="bottom"/>
            <w:gridSpan w:val="5"/>
          </w:tcPr>
          <w:p>
            <w:pPr>
              <w:jc w:val="right"/>
              <w:ind w:right="49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60" w:type="dxa"/>
            <w:vAlign w:val="bottom"/>
            <w:gridSpan w:val="3"/>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6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expenses, net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5,790</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realized gains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5"/>
              </w:rPr>
              <w:t>Net unrealized appreciation/(depreciation) on investments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20" w:type="dxa"/>
            <w:vAlign w:val="bottom"/>
            <w:gridSpan w:val="2"/>
          </w:tcPr>
          <w:p>
            <w:pPr>
              <w:ind w:left="220"/>
              <w:spacing w:after="0"/>
              <w:rPr>
                <w:sz w:val="20"/>
                <w:szCs w:val="20"/>
                <w:color w:val="auto"/>
              </w:rPr>
            </w:pPr>
            <w:r>
              <w:rPr>
                <w:rFonts w:ascii="Arial" w:cs="Arial" w:eastAsia="Arial" w:hAnsi="Arial"/>
                <w:sz w:val="18"/>
                <w:szCs w:val="18"/>
                <w:color w:val="auto"/>
              </w:rPr>
              <w:t>Net increase in net assets resulting from operations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7,385</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 income for the three months ended May 31, 2015 and May 31, 2014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r>
      <w:tr>
        <w:trPr>
          <w:trHeight w:val="119"/>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rPr>
              <w:t>May 31,</w:t>
            </w: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rPr>
              <w:t>May 31,</w:t>
            </w:r>
          </w:p>
        </w:tc>
        <w:tc>
          <w:tcPr>
            <w:tcW w:w="100" w:type="dxa"/>
            <w:vAlign w:val="bottom"/>
          </w:tcPr>
          <w:p>
            <w:pPr>
              <w:spacing w:after="0"/>
              <w:rPr>
                <w:sz w:val="10"/>
                <w:szCs w:val="10"/>
                <w:color w:val="auto"/>
              </w:rPr>
            </w:pPr>
          </w:p>
        </w:tc>
      </w:t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4"/>
          </w:tcPr>
          <w:p>
            <w:pPr>
              <w:jc w:val="right"/>
              <w:ind w:right="477"/>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Management fees from Saratoga CLO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w:t>
            </w:r>
          </w:p>
        </w:tc>
        <w:tc>
          <w:tcPr>
            <w:tcW w:w="6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May 31, 2015, total investment income increased $1.4 million, or 23.1% compared to the three months ended May 31,</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2014. Interest income from investments increased $1.3 million, or 23.7%, to $6.9 million for the three months ended May 31, 2015 from $5.6 million for the three months ended May 31, 2014. This reflects an increase of 20.1% in total investments to $262.7 million at May 31, 2015 from $218.7 million at May 31, 2014, despite the weighted average current coupon reducing from 12.9% to 11.9%.</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May 31, 2015 and May 31, 2014, total PIK income was $0.7 million and $0.3 million, respectively.</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Saratoga CLO was refinanced in October 2013. As a result, proceeds from principal payments in the loan portfolio of Saratoga CLO must now be used to paydown its outstanding notes. The management fee income and investment income that we receive from Saratoga CLO has remained relatively unchanged at $0.4 million for the three months ended May 31, 2015 and 2014.</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operating expenses for the three months ended May 31, 2015 and May 31, 2014 are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r>
      <w:tr>
        <w:trPr>
          <w:trHeight w:val="119"/>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36"/>
              <w:spacing w:after="0" w:line="119" w:lineRule="exact"/>
              <w:rPr>
                <w:sz w:val="20"/>
                <w:szCs w:val="20"/>
                <w:color w:val="auto"/>
              </w:rPr>
            </w:pPr>
            <w:r>
              <w:rPr>
                <w:rFonts w:ascii="Arial" w:cs="Arial" w:eastAsia="Arial" w:hAnsi="Arial"/>
                <w:sz w:val="13"/>
                <w:szCs w:val="13"/>
                <w:b w:val="1"/>
                <w:bCs w:val="1"/>
                <w:color w:val="auto"/>
              </w:rPr>
              <w:t>May 31,</w:t>
            </w: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34"/>
              <w:spacing w:after="0" w:line="119" w:lineRule="exact"/>
              <w:rPr>
                <w:sz w:val="20"/>
                <w:szCs w:val="20"/>
                <w:color w:val="auto"/>
              </w:rPr>
            </w:pPr>
            <w:r>
              <w:rPr>
                <w:rFonts w:ascii="Arial" w:cs="Arial" w:eastAsia="Arial" w:hAnsi="Arial"/>
                <w:sz w:val="13"/>
                <w:szCs w:val="13"/>
                <w:b w:val="1"/>
                <w:bCs w:val="1"/>
                <w:color w:val="auto"/>
              </w:rPr>
              <w:t>May 31,</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4"/>
          </w:tcPr>
          <w:p>
            <w:pPr>
              <w:jc w:val="right"/>
              <w:ind w:right="474"/>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Base management fees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1,798</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Insurance</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May 31, 2015, total operating expenses increased $1.7 million, or 41.9% compared to the three months ended May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For the three months ended May 31, 2015 and May 31, 2014, the increase in interest and credit facility expense is primarily attributable to an increase in outstanding debt as compared to the prior years, with increased levels of both the SBA debentures and the revolving credit facility outstanding. The credit facility increased from $4.7 million at May 31, 2014 to $11.8 million at May 31, 2015, while our SBA debentures increased from $64.0 million to $79.0 million for these same periods. For the three months ended May 31, 2015, the weighted average interest rate on our outstanding indebtedness was 4.94% compared to 5.27% for the three months ended May 31, 2014. This decrease was primarily driven by an increase in SBA debentures that carry a lower interest rate but now make up a higher proportion of our overall debt, increasing from 54.7% of overall debt as of May 31, 2014 to 56.8% as of May 31, 2015.</w:t>
      </w:r>
    </w:p>
    <w:p>
      <w:pPr>
        <w:spacing w:after="0" w:line="16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For the three months ended May 31, 2015, base management fees increased $0.2 million, or 16.1% compared to the three months ended May 31, 2014. The increase in base management fees results from the increase in the average value of our total assets, less cash and cash equivalents, from $219.6 million to $254.8 million as of May 31, 2014 and May 31, 2015,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May 31, 2015, professional fees decreased $0.1 million, or 23.4% compared to the three months ended May 31, 2014.</w:t>
      </w:r>
    </w:p>
    <w:p>
      <w:pPr>
        <w:spacing w:after="0" w:line="24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For the three months ended May 31, 2015, incentive management fees increased $1.4 million, or 375.0% compared to the three months ended May 31, 2014. These increased fees reflect two factors, being (i) an increase in accrued incentive fees this year, as higher total assets has led to increased net investment income above the hurdle rate pursuant to the investment advisory and management agreement, and (ii) increased second part of the incentive fees of $1.1 million, related primarily to the redemption of one of our investments in which we held both debt and equity, resulting in an unrealized gain of $4.2 million for the three months ended May 31, 2015.</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 discussed above, the increase in interest and credit facility expense for three months ended May 31, 2015 and May 31, 2014 is primarily attributable to an increase in the amount of outstanding debt as compared to the prior periods. For the three months ended May 31, 2015 and May 31, 2014, the weighted average interest rate on the outstanding borrowings under the Credit Facility for three months ended May 31, 2015 and May 31, 2014 was 6.00% and 7.50%, respectively. For three months ended May 31, 2015 and May 31, 2014, the weighted average interest rate on the outstanding borrowings of the SBA debentures was 3.25% and 3.06%, respectively.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For the three months ended May 31, 2015, the Company had $7.3 million of sales, repayments, exits or restructurings resulting in $0.1 million of net realized gains. The most significant realized gains and losses during the three months ended May 31, 2015 were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May 31, 2015</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Gross</w:t>
            </w:r>
          </w:p>
        </w:tc>
        <w:tc>
          <w:tcPr>
            <w:tcW w:w="10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880" w:type="dxa"/>
            <w:vAlign w:val="bottom"/>
          </w:tcPr>
          <w:p>
            <w:pPr>
              <w:spacing w:after="0"/>
              <w:rPr>
                <w:sz w:val="12"/>
                <w:szCs w:val="12"/>
                <w:color w:val="auto"/>
              </w:rPr>
            </w:pPr>
          </w:p>
        </w:tc>
        <w:tc>
          <w:tcPr>
            <w:tcW w:w="338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Asset Type</w:t>
            </w:r>
          </w:p>
        </w:tc>
        <w:tc>
          <w:tcPr>
            <w:tcW w:w="600" w:type="dxa"/>
            <w:vAlign w:val="bottom"/>
            <w:vMerge w:val="continue"/>
          </w:tcPr>
          <w:p>
            <w:pPr>
              <w:spacing w:after="0"/>
              <w:rPr>
                <w:sz w:val="12"/>
                <w:szCs w:val="12"/>
                <w:color w:val="auto"/>
              </w:rPr>
            </w:pPr>
          </w:p>
        </w:tc>
        <w:tc>
          <w:tcPr>
            <w:tcW w:w="108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Cost</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171"/>
        </w:trPr>
        <w:tc>
          <w:tcPr>
            <w:tcW w:w="286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3380" w:type="dxa"/>
            <w:vAlign w:val="bottom"/>
            <w:gridSpan w:val="2"/>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2"/>
              </w:rPr>
              <w:t>Proceeds</w:t>
            </w:r>
          </w:p>
        </w:tc>
        <w:tc>
          <w:tcPr>
            <w:tcW w:w="1080" w:type="dxa"/>
            <w:vAlign w:val="bottom"/>
            <w:vMerge w:val="continue"/>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42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First Lien Term Loan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2,065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Expedited Travel, LLC</w:t>
            </w:r>
          </w:p>
        </w:tc>
        <w:tc>
          <w:tcPr>
            <w:tcW w:w="4260" w:type="dxa"/>
            <w:vAlign w:val="bottom"/>
            <w:gridSpan w:val="3"/>
          </w:tcPr>
          <w:p>
            <w:pPr>
              <w:ind w:left="880"/>
              <w:spacing w:after="0"/>
              <w:rPr>
                <w:sz w:val="20"/>
                <w:szCs w:val="20"/>
                <w:color w:val="auto"/>
              </w:rPr>
            </w:pPr>
            <w:r>
              <w:rPr>
                <w:rFonts w:ascii="Arial" w:cs="Arial" w:eastAsia="Arial" w:hAnsi="Arial"/>
                <w:sz w:val="18"/>
                <w:szCs w:val="18"/>
                <w:color w:val="auto"/>
              </w:rPr>
              <w:t>First Lien Term Loan</w:t>
            </w:r>
          </w:p>
        </w:tc>
        <w:tc>
          <w:tcPr>
            <w:tcW w:w="600" w:type="dxa"/>
            <w:vAlign w:val="bottom"/>
          </w:tcPr>
          <w:p>
            <w:pPr>
              <w:jc w:val="right"/>
              <w:spacing w:after="0"/>
              <w:rPr>
                <w:sz w:val="20"/>
                <w:szCs w:val="20"/>
                <w:color w:val="auto"/>
              </w:rPr>
            </w:pPr>
            <w:r>
              <w:rPr>
                <w:rFonts w:ascii="Arial" w:cs="Arial" w:eastAsia="Arial" w:hAnsi="Arial"/>
                <w:sz w:val="18"/>
                <w:szCs w:val="18"/>
                <w:color w:val="auto"/>
              </w:rPr>
              <w:t>732</w:t>
            </w:r>
          </w:p>
        </w:tc>
        <w:tc>
          <w:tcPr>
            <w:tcW w:w="1080" w:type="dxa"/>
            <w:vAlign w:val="bottom"/>
          </w:tcPr>
          <w:p>
            <w:pPr>
              <w:jc w:val="right"/>
              <w:ind w:right="159"/>
              <w:spacing w:after="0"/>
              <w:rPr>
                <w:sz w:val="20"/>
                <w:szCs w:val="20"/>
                <w:color w:val="auto"/>
              </w:rPr>
            </w:pPr>
            <w:r>
              <w:rPr>
                <w:rFonts w:ascii="Arial" w:cs="Arial" w:eastAsia="Arial" w:hAnsi="Arial"/>
                <w:sz w:val="18"/>
                <w:szCs w:val="18"/>
                <w:color w:val="auto"/>
              </w:rPr>
              <w:t>722</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For the three months ended May 31, 2014, the Company had $8.7 million of sales, repayments, exits or restructurings resulting in $0.1 million of net realized gains. There were no significant realized gains and losses during the three months ended May 31, 2014.</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three months ended May 31, 2015, our investments had net unrealized appreciation of $5.5 million versus net unrealized depreciation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$0.4 million for the three months ended May 31, 2014. The most significant cumulative changes in unrealized appreciation and depreciation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May 31, 2015, were the following: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May 31,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jc w:val="center"/>
              <w:ind w:left="40"/>
              <w:spacing w:after="0"/>
              <w:rPr>
                <w:sz w:val="20"/>
                <w:szCs w:val="20"/>
                <w:color w:val="auto"/>
              </w:rPr>
            </w:pPr>
            <w:r>
              <w:rPr>
                <w:rFonts w:ascii="Arial" w:cs="Arial" w:eastAsia="Arial" w:hAnsi="Arial"/>
                <w:sz w:val="14"/>
                <w:szCs w:val="14"/>
                <w:b w:val="1"/>
                <w:bCs w:val="1"/>
                <w:color w:val="auto"/>
                <w:w w:val="89"/>
              </w:rPr>
              <w:t>Total</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Fair</w:t>
            </w:r>
          </w:p>
        </w:tc>
        <w:tc>
          <w:tcPr>
            <w:tcW w:w="1540" w:type="dxa"/>
            <w:vAlign w:val="bottom"/>
          </w:tcPr>
          <w:p>
            <w:pPr>
              <w:jc w:val="center"/>
              <w:ind w:left="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460" w:type="dxa"/>
            <w:vAlign w:val="bottom"/>
          </w:tcPr>
          <w:p>
            <w:pPr>
              <w:spacing w:after="0"/>
              <w:rPr>
                <w:sz w:val="12"/>
                <w:szCs w:val="12"/>
                <w:color w:val="auto"/>
              </w:rPr>
            </w:pPr>
          </w:p>
        </w:tc>
        <w:tc>
          <w:tcPr>
            <w:tcW w:w="300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Asset Type</w:t>
            </w: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Cost</w:t>
            </w:r>
          </w:p>
        </w:tc>
        <w:tc>
          <w:tcPr>
            <w:tcW w:w="780" w:type="dxa"/>
            <w:vAlign w:val="bottom"/>
            <w:vMerge w:val="continue"/>
          </w:tcPr>
          <w:p>
            <w:pPr>
              <w:spacing w:after="0"/>
              <w:rPr>
                <w:sz w:val="12"/>
                <w:szCs w:val="12"/>
                <w:color w:val="auto"/>
              </w:rPr>
            </w:pPr>
          </w:p>
        </w:tc>
        <w:tc>
          <w:tcPr>
            <w:tcW w:w="1540" w:type="dxa"/>
            <w:vAlign w:val="bottom"/>
          </w:tcPr>
          <w:p>
            <w:pPr>
              <w:jc w:val="center"/>
              <w:ind w:left="4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rPr>
              <w:t>Value</w:t>
            </w:r>
          </w:p>
        </w:tc>
        <w:tc>
          <w:tcPr>
            <w:tcW w:w="1540" w:type="dxa"/>
            <w:vAlign w:val="bottom"/>
          </w:tcPr>
          <w:p>
            <w:pPr>
              <w:jc w:val="center"/>
              <w:ind w:left="40"/>
              <w:spacing w:after="0"/>
              <w:rPr>
                <w:sz w:val="20"/>
                <w:szCs w:val="20"/>
                <w:color w:val="auto"/>
              </w:rPr>
            </w:pPr>
            <w:r>
              <w:rPr>
                <w:rFonts w:ascii="Arial" w:cs="Arial" w:eastAsia="Arial" w:hAnsi="Arial"/>
                <w:sz w:val="14"/>
                <w:szCs w:val="14"/>
                <w:b w:val="1"/>
                <w:bCs w:val="1"/>
                <w:color w:val="auto"/>
                <w:w w:val="95"/>
              </w:rPr>
              <w:t>(Depreciation)</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2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ind w:right="440"/>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Saratoga CLO</w:t>
            </w:r>
          </w:p>
        </w:tc>
        <w:tc>
          <w:tcPr>
            <w:tcW w:w="34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Other/Structured Finance Securities</w:t>
            </w: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8"/>
              </w:rPr>
              <w:t>15,173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16,860</w:t>
            </w:r>
          </w:p>
        </w:tc>
        <w:tc>
          <w:tcPr>
            <w:tcW w:w="154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1,687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Network Communications, Inc.</w:t>
            </w:r>
          </w:p>
        </w:tc>
        <w:tc>
          <w:tcPr>
            <w:tcW w:w="3460" w:type="dxa"/>
            <w:vAlign w:val="bottom"/>
            <w:gridSpan w:val="3"/>
          </w:tcPr>
          <w:p>
            <w:pPr>
              <w:ind w:left="460"/>
              <w:spacing w:after="0"/>
              <w:rPr>
                <w:sz w:val="20"/>
                <w:szCs w:val="20"/>
                <w:color w:val="auto"/>
              </w:rPr>
            </w:pPr>
            <w:r>
              <w:rPr>
                <w:rFonts w:ascii="Arial" w:cs="Arial" w:eastAsia="Arial" w:hAnsi="Arial"/>
                <w:sz w:val="18"/>
                <w:szCs w:val="18"/>
                <w:color w:val="auto"/>
              </w:rPr>
              <w:t>Common Stock</w:t>
            </w:r>
          </w:p>
        </w:tc>
        <w:tc>
          <w:tcPr>
            <w:tcW w:w="80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3,206</w:t>
            </w:r>
          </w:p>
        </w:tc>
        <w:tc>
          <w:tcPr>
            <w:tcW w:w="1540" w:type="dxa"/>
            <w:vAlign w:val="bottom"/>
          </w:tcPr>
          <w:p>
            <w:pPr>
              <w:jc w:val="right"/>
              <w:ind w:right="180"/>
              <w:spacing w:after="0"/>
              <w:rPr>
                <w:sz w:val="20"/>
                <w:szCs w:val="20"/>
                <w:color w:val="auto"/>
              </w:rPr>
            </w:pPr>
            <w:r>
              <w:rPr>
                <w:rFonts w:ascii="Arial" w:cs="Arial" w:eastAsia="Arial" w:hAnsi="Arial"/>
                <w:sz w:val="18"/>
                <w:szCs w:val="18"/>
                <w:color w:val="auto"/>
              </w:rPr>
              <w:t>3,206</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Communications, Inc.</w:t>
            </w:r>
          </w:p>
        </w:tc>
        <w:tc>
          <w:tcPr>
            <w:tcW w:w="34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Unsecured Notes</w:t>
            </w: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2,868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54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346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Smile Brands Group, Inc.</w:t>
            </w:r>
          </w:p>
        </w:tc>
        <w:tc>
          <w:tcPr>
            <w:tcW w:w="3460" w:type="dxa"/>
            <w:vAlign w:val="bottom"/>
            <w:gridSpan w:val="3"/>
          </w:tcPr>
          <w:p>
            <w:pPr>
              <w:ind w:left="460"/>
              <w:spacing w:after="0"/>
              <w:rPr>
                <w:sz w:val="20"/>
                <w:szCs w:val="20"/>
                <w:color w:val="auto"/>
              </w:rPr>
            </w:pPr>
            <w:r>
              <w:rPr>
                <w:rFonts w:ascii="Arial" w:cs="Arial" w:eastAsia="Arial" w:hAnsi="Arial"/>
                <w:sz w:val="18"/>
                <w:szCs w:val="18"/>
                <w:color w:val="auto"/>
              </w:rPr>
              <w:t>First Lien Term Loan</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4,366</w:t>
            </w:r>
          </w:p>
        </w:tc>
        <w:tc>
          <w:tcPr>
            <w:tcW w:w="780" w:type="dxa"/>
            <w:vAlign w:val="bottom"/>
          </w:tcPr>
          <w:p>
            <w:pPr>
              <w:jc w:val="right"/>
              <w:spacing w:after="0"/>
              <w:rPr>
                <w:sz w:val="20"/>
                <w:szCs w:val="20"/>
                <w:color w:val="auto"/>
              </w:rPr>
            </w:pPr>
            <w:r>
              <w:rPr>
                <w:rFonts w:ascii="Arial" w:cs="Arial" w:eastAsia="Arial" w:hAnsi="Arial"/>
                <w:sz w:val="18"/>
                <w:szCs w:val="18"/>
                <w:color w:val="auto"/>
              </w:rPr>
              <w:t>3,745</w:t>
            </w:r>
          </w:p>
        </w:tc>
        <w:tc>
          <w:tcPr>
            <w:tcW w:w="1540" w:type="dxa"/>
            <w:vAlign w:val="bottom"/>
          </w:tcPr>
          <w:p>
            <w:pPr>
              <w:jc w:val="right"/>
              <w:ind w:right="120"/>
              <w:spacing w:after="0"/>
              <w:rPr>
                <w:sz w:val="20"/>
                <w:szCs w:val="20"/>
                <w:color w:val="auto"/>
              </w:rPr>
            </w:pPr>
            <w:r>
              <w:rPr>
                <w:rFonts w:ascii="Arial" w:cs="Arial" w:eastAsia="Arial" w:hAnsi="Arial"/>
                <w:sz w:val="18"/>
                <w:szCs w:val="18"/>
                <w:color w:val="auto"/>
              </w:rPr>
              <w:t>(621)</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$2.9 million and $1.3 million of unrealized appreciation in our investments in Network Communications, Inc. is due to the sale of the company to a third party and reflects the realization value pursuant to that transaction.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$0.6 million unrealized appreciation in our investment in the Saratoga CLO was primarily due to a decline in the discount rate based on prevailing market conditions.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most significant cumulative changes in unrealized appreciation and depreciation for the three months ended May 31, 2014, were the following: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May 31, 2014</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center"/>
              <w:ind w:right="317"/>
              <w:spacing w:after="0"/>
              <w:rPr>
                <w:sz w:val="20"/>
                <w:szCs w:val="20"/>
                <w:color w:val="auto"/>
              </w:rPr>
            </w:pPr>
            <w:r>
              <w:rPr>
                <w:rFonts w:ascii="Arial" w:cs="Arial" w:eastAsia="Arial" w:hAnsi="Arial"/>
                <w:sz w:val="14"/>
                <w:szCs w:val="14"/>
                <w:b w:val="1"/>
                <w:bCs w:val="1"/>
                <w:color w:val="auto"/>
                <w:w w:val="95"/>
              </w:rPr>
              <w:t>Total</w:t>
            </w:r>
          </w:p>
        </w:tc>
        <w:tc>
          <w:tcPr>
            <w:tcW w:w="1220" w:type="dxa"/>
            <w:vAlign w:val="bottom"/>
            <w:gridSpan w:val="3"/>
          </w:tcPr>
          <w:p>
            <w:pPr>
              <w:jc w:val="center"/>
              <w:ind w:left="44"/>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Fair</w:t>
            </w:r>
          </w:p>
        </w:tc>
        <w:tc>
          <w:tcPr>
            <w:tcW w:w="560" w:type="dxa"/>
            <w:vAlign w:val="bottom"/>
          </w:tcPr>
          <w:p>
            <w:pPr>
              <w:spacing w:after="0"/>
              <w:rPr>
                <w:sz w:val="12"/>
                <w:szCs w:val="12"/>
                <w:color w:val="auto"/>
              </w:rPr>
            </w:pPr>
          </w:p>
        </w:tc>
        <w:tc>
          <w:tcPr>
            <w:tcW w:w="108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20" w:type="dxa"/>
            <w:vAlign w:val="bottom"/>
            <w:gridSpan w:val="3"/>
          </w:tcPr>
          <w:p>
            <w:pPr>
              <w:jc w:val="center"/>
              <w:ind w:left="44"/>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380" w:type="dxa"/>
            <w:vAlign w:val="bottom"/>
          </w:tcPr>
          <w:p>
            <w:pPr>
              <w:spacing w:after="0"/>
              <w:rPr>
                <w:sz w:val="12"/>
                <w:szCs w:val="12"/>
                <w:color w:val="auto"/>
              </w:rPr>
            </w:pPr>
          </w:p>
        </w:tc>
        <w:tc>
          <w:tcPr>
            <w:tcW w:w="292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Asset Type</w:t>
            </w: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Cost</w:t>
            </w:r>
          </w:p>
        </w:tc>
        <w:tc>
          <w:tcPr>
            <w:tcW w:w="880" w:type="dxa"/>
            <w:vAlign w:val="bottom"/>
            <w:vMerge w:val="continue"/>
          </w:tcPr>
          <w:p>
            <w:pPr>
              <w:spacing w:after="0"/>
              <w:rPr>
                <w:sz w:val="12"/>
                <w:szCs w:val="12"/>
                <w:color w:val="auto"/>
              </w:rPr>
            </w:pPr>
          </w:p>
        </w:tc>
        <w:tc>
          <w:tcPr>
            <w:tcW w:w="1640" w:type="dxa"/>
            <w:vAlign w:val="bottom"/>
            <w:gridSpan w:val="2"/>
          </w:tcPr>
          <w:p>
            <w:pPr>
              <w:jc w:val="center"/>
              <w:ind w:left="84"/>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220" w:type="dxa"/>
            <w:vAlign w:val="bottom"/>
            <w:gridSpan w:val="3"/>
          </w:tcPr>
          <w:p>
            <w:pPr>
              <w:jc w:val="center"/>
              <w:ind w:left="24"/>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4"/>
                <w:szCs w:val="14"/>
                <w:b w:val="1"/>
                <w:bCs w:val="1"/>
                <w:color w:val="auto"/>
              </w:rPr>
              <w:t>Value</w:t>
            </w:r>
          </w:p>
        </w:tc>
        <w:tc>
          <w:tcPr>
            <w:tcW w:w="1640" w:type="dxa"/>
            <w:vAlign w:val="bottom"/>
            <w:gridSpan w:val="2"/>
          </w:tcPr>
          <w:p>
            <w:pPr>
              <w:jc w:val="center"/>
              <w:ind w:left="84"/>
              <w:spacing w:after="0"/>
              <w:rPr>
                <w:sz w:val="20"/>
                <w:szCs w:val="20"/>
                <w:color w:val="auto"/>
              </w:rPr>
            </w:pPr>
            <w:r>
              <w:rPr>
                <w:rFonts w:ascii="Arial" w:cs="Arial" w:eastAsia="Arial" w:hAnsi="Arial"/>
                <w:sz w:val="14"/>
                <w:szCs w:val="14"/>
                <w:b w:val="1"/>
                <w:bCs w:val="1"/>
                <w:color w:val="auto"/>
                <w:w w:val="93"/>
              </w:rPr>
              <w:t>(Depreciation)</w:t>
            </w:r>
          </w:p>
        </w:tc>
        <w:tc>
          <w:tcPr>
            <w:tcW w:w="1220" w:type="dxa"/>
            <w:vAlign w:val="bottom"/>
            <w:gridSpan w:val="3"/>
          </w:tcPr>
          <w:p>
            <w:pPr>
              <w:jc w:val="center"/>
              <w:ind w:left="24"/>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2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center"/>
              <w:ind w:right="537"/>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Saratoga CLO</w:t>
            </w:r>
          </w:p>
        </w:tc>
        <w:tc>
          <w:tcPr>
            <w:tcW w:w="3300" w:type="dxa"/>
            <w:vAlign w:val="bottom"/>
            <w:gridSpan w:val="3"/>
            <w:shd w:val="clear" w:color="auto" w:fill="CCEEFF"/>
          </w:tcPr>
          <w:p>
            <w:pPr>
              <w:ind w:left="380"/>
              <w:spacing w:after="0" w:line="201" w:lineRule="exact"/>
              <w:rPr>
                <w:sz w:val="20"/>
                <w:szCs w:val="20"/>
                <w:color w:val="auto"/>
              </w:rPr>
            </w:pPr>
            <w:r>
              <w:rPr>
                <w:rFonts w:ascii="Arial" w:cs="Arial" w:eastAsia="Arial" w:hAnsi="Arial"/>
                <w:sz w:val="18"/>
                <w:szCs w:val="18"/>
                <w:color w:val="auto"/>
              </w:rPr>
              <w:t>Other/Structured Finance</w:t>
            </w: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3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Securities</w:t>
            </w: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9"/>
              </w:rPr>
              <w:t>$16,556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3,563</w:t>
            </w:r>
          </w:p>
        </w:tc>
        <w:tc>
          <w:tcPr>
            <w:tcW w:w="54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Elyria Foundry Company, LLC</w:t>
            </w:r>
          </w:p>
        </w:tc>
        <w:tc>
          <w:tcPr>
            <w:tcW w:w="3300" w:type="dxa"/>
            <w:vAlign w:val="bottom"/>
            <w:gridSpan w:val="3"/>
          </w:tcPr>
          <w:p>
            <w:pPr>
              <w:ind w:left="380"/>
              <w:spacing w:after="0"/>
              <w:rPr>
                <w:sz w:val="20"/>
                <w:szCs w:val="20"/>
                <w:color w:val="auto"/>
              </w:rPr>
            </w:pPr>
            <w:r>
              <w:rPr>
                <w:rFonts w:ascii="Arial" w:cs="Arial" w:eastAsia="Arial" w:hAnsi="Arial"/>
                <w:sz w:val="18"/>
                <w:szCs w:val="18"/>
                <w:color w:val="auto"/>
              </w:rPr>
              <w:t>First Lien Term Loan</w:t>
            </w: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8,860</w:t>
            </w:r>
          </w:p>
        </w:tc>
        <w:tc>
          <w:tcPr>
            <w:tcW w:w="880" w:type="dxa"/>
            <w:vAlign w:val="bottom"/>
          </w:tcPr>
          <w:p>
            <w:pPr>
              <w:jc w:val="right"/>
              <w:spacing w:after="0"/>
              <w:rPr>
                <w:sz w:val="20"/>
                <w:szCs w:val="20"/>
                <w:color w:val="auto"/>
              </w:rPr>
            </w:pPr>
            <w:r>
              <w:rPr>
                <w:rFonts w:ascii="Arial" w:cs="Arial" w:eastAsia="Arial" w:hAnsi="Arial"/>
                <w:sz w:val="18"/>
                <w:szCs w:val="18"/>
                <w:color w:val="auto"/>
              </w:rPr>
              <w:t>5,721</w:t>
            </w:r>
          </w:p>
        </w:tc>
        <w:tc>
          <w:tcPr>
            <w:tcW w:w="560" w:type="dxa"/>
            <w:vAlign w:val="bottom"/>
          </w:tcPr>
          <w:p>
            <w:pPr>
              <w:spacing w:after="0"/>
              <w:rPr>
                <w:sz w:val="18"/>
                <w:szCs w:val="18"/>
                <w:color w:val="auto"/>
              </w:rPr>
            </w:pPr>
          </w:p>
        </w:tc>
        <w:tc>
          <w:tcPr>
            <w:tcW w:w="1080" w:type="dxa"/>
            <w:vAlign w:val="bottom"/>
          </w:tcPr>
          <w:p>
            <w:pPr>
              <w:jc w:val="right"/>
              <w:ind w:right="157"/>
              <w:spacing w:after="0"/>
              <w:rPr>
                <w:sz w:val="20"/>
                <w:szCs w:val="20"/>
                <w:color w:val="auto"/>
              </w:rPr>
            </w:pPr>
            <w:r>
              <w:rPr>
                <w:rFonts w:ascii="Arial" w:cs="Arial" w:eastAsia="Arial" w:hAnsi="Arial"/>
                <w:sz w:val="18"/>
                <w:szCs w:val="18"/>
                <w:color w:val="auto"/>
              </w:rPr>
              <w:t>(3,139)</w:t>
            </w:r>
          </w:p>
        </w:tc>
        <w:tc>
          <w:tcPr>
            <w:tcW w:w="5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USS Parent Holding Corp.</w:t>
            </w:r>
          </w:p>
        </w:tc>
        <w:tc>
          <w:tcPr>
            <w:tcW w:w="33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Voting Common Stock</w:t>
            </w: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3,026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1,484</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$0.5 million of unrealized appreciation in our investment in the Saratoga CLO subordinated notes was due to decline in the discount rate for CLO equity securities from fiscal year end.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$0.9 million of unrealized depreciation in our investment in Elyria Foundry Company, LLC was due to a decline in oil and gas end markets from fiscal year end.</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$0.5 million of unrealized depreciation in our investment in the common stock of USS Parent Holding Corp. was due to a decline in the EBITDA multiple from fiscal year end used to determined equity value.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17"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For the three months ended May 31, 2015 and May 31, 2014, we recorded a net increase in net assets resulting from operations of $7.4 million and $1.8 million, respectively. Based on 5,422,491 weighted average common shares outstanding as of May 31, 2015, our per share net increase in net assets resulting from operations was $1.36 for the three months ended May 31, 2015. Based on 5,379,616 weighted average common shares outstanding as of May 31, 2014, our per share net increase in net assets resulting from operations was $0.33 for the three months ended May 31, 2014.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intend to continue to generate cash primarily from cash flows from operations, including interest earned from our investments in debt in middle market companies, interest earned from the temporary investment of cash in U.S. government securities and other high-quality debt investments that mature in one year or less, future borrowings and future offerings of securities.</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Although we expect to fund the growth of our investment portfolio through the net proceeds from SBA debenture drawdowns and future equity offerings, including our dividend reinvestment plan,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 Our stockholders approved a proposal at our annual meeting of stockholders held on September 30, 2014 that authorizes us to sell shares of our common stock at an offering price per share to investors that is not less than 85% of our then current net asset value per share in one or more offerings for a period ending on the earlier of September 30, 2015 or the date of our next annual meeting of stockholders. We would need stockholder approval of a similar proposal to issue shares below net asset value per share at any time after the earlier of September 30, 2015 or our next annual meeting of stockholders.</w:t>
      </w:r>
    </w:p>
    <w:p>
      <w:pPr>
        <w:spacing w:after="0" w:line="18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we intend to distribute to our stockholders substantially all of our taxable income in order to satisfy the distribution requirement applicable to RICs under Subchapter M of the Code. In satisfying this distribution requirement, we have in the past relied 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 of the aggregate declared distribution. We may rely on these IRS private letter rulings in future periods to satisfy our RIC distribution requirement.</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Also, as a BDC, we generally are required to meet a coverage ratio of total assets, less liabilities and indebtedness not represented by senior securities, to total senior securities, which include all of our borrowings and any outstanding preferred stock, of at least 200%. This requirement limits the amount that we may borrow. Our asset coverage ratio, as defined in the 1940 Act, was 313.8% as of May 31, 2015 and 321.1% as of February 28, 2015.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Madison revolving credit facility</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Below is a summary of the terms of the senior secured revolving credit facility we entered into with Madison Capital Funding (the “Credit Facility”) on June 30, 2010.</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Availability. </w:t>
      </w:r>
      <w:r>
        <w:rPr>
          <w:rFonts w:ascii="Arial" w:cs="Arial" w:eastAsia="Arial" w:hAnsi="Arial"/>
          <w:sz w:val="18"/>
          <w:szCs w:val="18"/>
          <w:color w:val="auto"/>
        </w:rPr>
        <w:t>The Company can draw up to the lesser of (i) $40.0 million (the “Facility Amount”) and (ii) the product of the applicable advance rate</w:t>
      </w:r>
      <w:r>
        <w:rPr>
          <w:rFonts w:ascii="Arial" w:cs="Arial" w:eastAsia="Arial" w:hAnsi="Arial"/>
          <w:sz w:val="18"/>
          <w:szCs w:val="18"/>
          <w:i w:val="1"/>
          <w:iCs w:val="1"/>
          <w:color w:val="auto"/>
        </w:rPr>
        <w:t xml:space="preserve"> </w:t>
      </w:r>
      <w:r>
        <w:rPr>
          <w:rFonts w:ascii="Arial" w:cs="Arial" w:eastAsia="Arial" w:hAnsi="Arial"/>
          <w:sz w:val="18"/>
          <w:szCs w:val="18"/>
          <w:color w:val="auto"/>
        </w:rPr>
        <w:t>(which varies from 50.0% to 75.0% depending on the type of loan asset) and the value, determined in accordance with the Credit Facility (the “Adjusted Borrowing Value”), of certain “eligible” loan assets pledged as security for the loan (the “Borrowing Base”), in each case less (a) the amount of any undrawn funding commitments the Company has under any loan asset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and which are not covered by amounts in the Unfunded Exposure Account referred to below (the “Unfunded Exposure Amount”) and (b) outstanding borrowings. Each loan asset held by the Company as of the date on which the Credit Facility was closed was valued as of that date and each loan asset that the Company acquires after such date will be valued at the lowest of its fair value, its face value (excluding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Credit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 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i w:val="1"/>
          <w:iCs w:val="1"/>
          <w:color w:val="auto"/>
        </w:rPr>
        <w:t xml:space="preserve">Collateral. </w:t>
      </w:r>
      <w:r>
        <w:rPr>
          <w:rFonts w:ascii="Arial" w:cs="Arial" w:eastAsia="Arial" w:hAnsi="Arial"/>
          <w:sz w:val="16"/>
          <w:szCs w:val="16"/>
          <w:color w:val="auto"/>
        </w:rPr>
        <w:t>The Credit Facility is secured by substantially all of the assets of the Company (other than assets held by our SBIC subsidiary) and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the subordinated notes (“CLO Notes”) issued by Saratoga CLO and the Company’s rights under the CLO Management Agreement (as defined below).</w:t>
      </w:r>
    </w:p>
    <w:p>
      <w:pPr>
        <w:spacing w:after="0" w:line="124" w:lineRule="exact"/>
        <w:rPr>
          <w:sz w:val="20"/>
          <w:szCs w:val="20"/>
          <w:color w:val="auto"/>
        </w:rPr>
      </w:pPr>
    </w:p>
    <w:p>
      <w:pPr>
        <w:jc w:val="both"/>
        <w:ind w:right="240" w:firstLine="456"/>
        <w:spacing w:after="0" w:line="288" w:lineRule="auto"/>
        <w:rPr>
          <w:sz w:val="20"/>
          <w:szCs w:val="20"/>
          <w:color w:val="auto"/>
        </w:rPr>
      </w:pPr>
      <w:r>
        <w:rPr>
          <w:rFonts w:ascii="Arial" w:cs="Arial" w:eastAsia="Arial" w:hAnsi="Arial"/>
          <w:sz w:val="16"/>
          <w:szCs w:val="16"/>
          <w:i w:val="1"/>
          <w:iCs w:val="1"/>
          <w:color w:val="auto"/>
        </w:rPr>
        <w:t xml:space="preserve">Interest Rate and Fees. </w:t>
      </w:r>
      <w:r>
        <w:rPr>
          <w:rFonts w:ascii="Arial" w:cs="Arial" w:eastAsia="Arial" w:hAnsi="Arial"/>
          <w:sz w:val="16"/>
          <w:szCs w:val="16"/>
          <w:color w:val="auto"/>
        </w:rPr>
        <w:t>Under the Credit Facility, funds are borrowed from or through certain lenders at the greater of the prevailing LIBOR 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w:t>
      </w:r>
    </w:p>
    <w:p>
      <w:pPr>
        <w:ind w:right="140"/>
        <w:spacing w:after="0" w:line="323" w:lineRule="auto"/>
        <w:rPr>
          <w:sz w:val="20"/>
          <w:szCs w:val="20"/>
          <w:color w:val="auto"/>
        </w:rPr>
      </w:pPr>
      <w:r>
        <w:rPr>
          <w:rFonts w:ascii="Arial" w:cs="Arial" w:eastAsia="Arial" w:hAnsi="Arial"/>
          <w:sz w:val="16"/>
          <w:szCs w:val="16"/>
          <w:color w:val="auto"/>
        </w:rPr>
        <w:t>0.75% per year on the unused amount of the Credit Facility for the duration of the Revolving Period (defined below). Accrued interest and commitment fees are payable monthly. The Company was also obligated to pay certain other fees to the lenders in connection with the closing of the Credit Facility.</w:t>
      </w:r>
    </w:p>
    <w:p>
      <w:pPr>
        <w:spacing w:after="0" w:line="13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Revolving Period and Maturity Date. </w:t>
      </w:r>
      <w:r>
        <w:rPr>
          <w:rFonts w:ascii="Arial" w:cs="Arial" w:eastAsia="Arial" w:hAnsi="Arial"/>
          <w:sz w:val="18"/>
          <w:szCs w:val="18"/>
          <w:color w:val="auto"/>
        </w:rPr>
        <w:t>The Company may make and repay borrowings under the Credit Facility for a period of three years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of the Credit Facility (the “Revolving Period”). The Revolving Period may be terminated at an earlier time by the Company or, upon the occurrence of an event of default, by action of the lenders or automatically. All borrowings and other amounts payable under the Credit Facility are due and payable in full five years after the end of the Revolving Period.</w:t>
      </w:r>
    </w:p>
    <w:p>
      <w:pPr>
        <w:spacing w:after="0" w:line="187"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i w:val="1"/>
          <w:iCs w:val="1"/>
          <w:color w:val="auto"/>
        </w:rPr>
        <w:t xml:space="preserve">Collateral Tests. </w:t>
      </w:r>
      <w:r>
        <w:rPr>
          <w:rFonts w:ascii="Arial" w:cs="Arial" w:eastAsia="Arial" w:hAnsi="Arial"/>
          <w:sz w:val="16"/>
          <w:szCs w:val="16"/>
          <w:color w:val="auto"/>
        </w:rPr>
        <w:t>It is a condition precedent to any borrowing under the Credit Facility that the principal amount outstanding under the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after giving effect to the proposed borrowings, not exceed the lesser of the Borrowing Base or the Facility Amount (the “Borrowing Base Test”). In addition to satisfying the Borrowing Base Test, the following tests must also be satisfied (together with Borrowing Base Test, the “Collateral Tests”):</w:t>
      </w:r>
    </w:p>
    <w:p>
      <w:pPr>
        <w:spacing w:after="0" w:line="52" w:lineRule="exact"/>
        <w:rPr>
          <w:sz w:val="20"/>
          <w:szCs w:val="20"/>
          <w:color w:val="auto"/>
        </w:rPr>
      </w:pPr>
    </w:p>
    <w:p>
      <w:pPr>
        <w:ind w:left="900" w:right="20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ratio (expressed as a percentage) of interest collections with respect to pledged loan assets, less certain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the Credit Facility, to accrued interest and commitment fees and any breakage costs payable to the lenders under the Credit Facility for the last 6 payment periods must equal at least 175.0%.</w:t>
      </w:r>
    </w:p>
    <w:p>
      <w:pPr>
        <w:spacing w:after="0" w:line="86" w:lineRule="exact"/>
        <w:rPr>
          <w:rFonts w:ascii="Arial" w:cs="Arial" w:eastAsia="Arial" w:hAnsi="Arial"/>
          <w:sz w:val="18"/>
          <w:szCs w:val="18"/>
          <w:color w:val="auto"/>
        </w:rPr>
      </w:pPr>
    </w:p>
    <w:p>
      <w:pPr>
        <w:ind w:left="900" w:right="220" w:hanging="446"/>
        <w:spacing w:after="0" w:line="286"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Overcollateralization Ratio. </w:t>
      </w:r>
      <w:r>
        <w:rPr>
          <w:rFonts w:ascii="Arial" w:cs="Arial" w:eastAsia="Arial" w:hAnsi="Arial"/>
          <w:sz w:val="17"/>
          <w:szCs w:val="17"/>
          <w:color w:val="auto"/>
        </w:rPr>
        <w:t>The ratio (expressed as a percentage) of the aggregate Adjusted Borrowing Value of “eligible” pledged loan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plus the fair value of certain ineligible pledged loan assets and the CLO Notes (in each case, subject to certain adjustments) to outstanding borrowings under the Credit Facility plus the Unfunded Exposure Amount must equal at least 200.0%.</w:t>
      </w:r>
    </w:p>
    <w:p>
      <w:pPr>
        <w:spacing w:after="0" w:line="70" w:lineRule="exact"/>
        <w:rPr>
          <w:rFonts w:ascii="Arial" w:cs="Arial" w:eastAsia="Arial" w:hAnsi="Arial"/>
          <w:sz w:val="17"/>
          <w:szCs w:val="17"/>
          <w:color w:val="auto"/>
        </w:rPr>
      </w:pPr>
    </w:p>
    <w:p>
      <w:pPr>
        <w:ind w:left="900" w:right="340" w:hanging="446"/>
        <w:spacing w:after="0" w:line="286"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Weighted Average FMV Test. </w:t>
      </w:r>
      <w:r>
        <w:rPr>
          <w:rFonts w:ascii="Arial" w:cs="Arial" w:eastAsia="Arial" w:hAnsi="Arial"/>
          <w:sz w:val="17"/>
          <w:szCs w:val="17"/>
          <w:color w:val="auto"/>
        </w:rPr>
        <w:t>The aggregate adjusted or weighted value of “eligible” pledged loan assets as a percentage of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balance of “eligible” pledged loan assets must be equal to or greater than 72.0% and 80.0% during the one-year periods prior to the first and second anniversary of the closing date, respectively, and 85.0% at all times thereafter.</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Credit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5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i w:val="1"/>
          <w:iCs w:val="1"/>
          <w:color w:val="auto"/>
        </w:rPr>
        <w:t xml:space="preserve">Priority of Payments. </w:t>
      </w:r>
      <w:r>
        <w:rPr>
          <w:rFonts w:ascii="Arial" w:cs="Arial" w:eastAsia="Arial" w:hAnsi="Arial"/>
          <w:sz w:val="17"/>
          <w:szCs w:val="17"/>
          <w:color w:val="auto"/>
        </w:rPr>
        <w:t>During the Revolving Period, the priority of payments provisions of the Credit Facility require, after payment of specified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expenses and any necessary funding of the Unfunded Exposure Account, that collections of principal 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Reserve Account. </w:t>
      </w:r>
      <w:r>
        <w:rPr>
          <w:rFonts w:ascii="Arial" w:cs="Arial" w:eastAsia="Arial" w:hAnsi="Arial"/>
          <w:sz w:val="17"/>
          <w:szCs w:val="17"/>
          <w:color w:val="auto"/>
        </w:rPr>
        <w:t>The Credit Facility requires the Company to set aside an amount equal to the sum of accrued interest, commitment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 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7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i w:val="1"/>
          <w:iCs w:val="1"/>
          <w:color w:val="auto"/>
        </w:rPr>
        <w:t xml:space="preserve">Unfunded Exposure Account. </w:t>
      </w:r>
      <w:r>
        <w:rPr>
          <w:rFonts w:ascii="Arial" w:cs="Arial" w:eastAsia="Arial" w:hAnsi="Arial"/>
          <w:sz w:val="17"/>
          <w:szCs w:val="17"/>
          <w:color w:val="auto"/>
        </w:rPr>
        <w:t>With respect to revolver or delayed draw loan assets, the Company is required to set aside in a designated account (the</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Exposure Account”) 100.0% of its outstanding and undrawn funding commitments with respect to such loan assets. The Unfunded Exposure Account is funded at the time the Company acquires a revolver or delayed draw loan asset and requests a related borrowing under the Credit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priority of payments provision of the Credit Facility provides for the payment of certain operating expenses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 of collections on principal and interest during the Revolving Period and out of collections on interest following the termination of the Revolving Period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priority established in such provision. The operating expenses payable pursuant to the priority of payment provisions is limited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$350,000 for each monthly payment date or $2.5 million for the immediately preceding period of twelve consecutive monthly payment dates. This ceiling 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increased by the lesser of 5.0% or the percentage increase in the fair market value of all the Company’s assets only on the first monthly payment date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 after each one-year anniversary following the closing of the Credit Facility. Upon the occurrence of a Manager Event (described below), the consent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is required in order to pay operating expenses through the priority of payments provision.</w:t>
      </w:r>
    </w:p>
    <w:p>
      <w:pPr>
        <w:spacing w:after="0" w:line="21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The Credit Facility contains certain negative covenants, customary representations and warranties and affirmative covenants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events of default. The Credit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Credit Facility include, among other things, the following:</w:t>
      </w:r>
    </w:p>
    <w:p>
      <w:pPr>
        <w:spacing w:after="0" w:line="7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Interest Coverage Ratio of less than 150.0%;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Overcollateralization Ratio of less than 175.0%;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filing of certain ERISA or tax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occurrence of certain “Manager Events” such as:</w:t>
      </w:r>
    </w:p>
    <w:p>
      <w:pPr>
        <w:spacing w:after="0" w:line="130" w:lineRule="exact"/>
        <w:rPr>
          <w:rFonts w:ascii="Arial" w:cs="Arial" w:eastAsia="Arial" w:hAnsi="Arial"/>
          <w:sz w:val="18"/>
          <w:szCs w:val="18"/>
          <w:color w:val="auto"/>
        </w:rPr>
      </w:pPr>
    </w:p>
    <w:p>
      <w:pPr>
        <w:ind w:left="1480" w:right="200" w:hanging="446"/>
        <w:spacing w:after="0" w:line="308" w:lineRule="auto"/>
        <w:tabs>
          <w:tab w:leader="none" w:pos="14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failure by Saratoga Investment Advisors and its affiliates to maintain collectively, directly or indirectly, a cash equity investment in the Company in an amount equal to at least $5,000,000 at any time prior to the third anniversary of the closing date;</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failure of the Management Agreement between Saratoga Investment Advisors and the Company to be in full force and effect;</w:t>
      </w:r>
    </w:p>
    <w:p>
      <w:pPr>
        <w:spacing w:after="0" w:line="142" w:lineRule="exact"/>
        <w:rPr>
          <w:rFonts w:ascii="Arial" w:cs="Arial" w:eastAsia="Arial" w:hAnsi="Arial"/>
          <w:sz w:val="17"/>
          <w:szCs w:val="17"/>
          <w:color w:val="auto"/>
        </w:rPr>
      </w:pPr>
    </w:p>
    <w:p>
      <w:pPr>
        <w:ind w:left="1480" w:right="160" w:hanging="446"/>
        <w:spacing w:after="0" w:line="312" w:lineRule="auto"/>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52" w:lineRule="exact"/>
        <w:rPr>
          <w:rFonts w:ascii="Arial" w:cs="Arial" w:eastAsia="Arial" w:hAnsi="Arial"/>
          <w:sz w:val="16"/>
          <w:szCs w:val="16"/>
          <w:color w:val="auto"/>
        </w:rPr>
      </w:pPr>
    </w:p>
    <w:p>
      <w:pPr>
        <w:ind w:left="1480" w:right="40" w:hanging="446"/>
        <w:spacing w:after="0" w:line="264"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86"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occurrence of any event constituting “cause” under the Collateral Management Agreement between the Company and Saratoga CLO (the “CLO Management Agreement”), delivery of a notice under Section 12(c) of the CLO Management Agreement with respect to the removal of the Company as collateral manager or the Company ceases to act as collateral manager under the CLO Management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Conditions to Acquisitions and Pledges of Loan Assets. </w:t>
      </w:r>
      <w:r>
        <w:rPr>
          <w:rFonts w:ascii="Arial" w:cs="Arial" w:eastAsia="Arial" w:hAnsi="Arial"/>
          <w:sz w:val="18"/>
          <w:szCs w:val="18"/>
          <w:color w:val="auto"/>
        </w:rPr>
        <w:t>The Credit Facility imposes certain additional conditions to the acquisition and pledge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Company paid certain fees and reimbursed Madison Capital Funding for the aggregate amount of all documented, out-of-pocket costs and expenses, including the reasonable fees and expenses of lawyers, incurred by Madison Capital Funding in connection with the Credit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extend the Revolving Period from July 30, 2013 to February 24, 2015;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remove the condition that we may not acquire additional loan assets without the prior written consent of the administrative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17, 2014, we entered into a second amendment to the Revolving Facility with Madison Capital Funding LLC to, among other things:</w:t>
      </w:r>
    </w:p>
    <w:p>
      <w:pPr>
        <w:spacing w:after="0" w:line="15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extend the maturity date of the Revolving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As of May 31, 2015, we had $11.8 million outstanding under the Credit Facility and $79.0 million SBA-guaranteed debentures outstanding (which are discussed below). As of February 28, 2015, we had $9.6 million outstanding under the Credit Facility and $79.0 million SBA-guaranteed debentures outstanding. Our borrowing base under the Credit Facility at May 31, 2015 and February 28, 2015 was $35.5 million and $36.3 million,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 coverage ratio, as defined in the 1940 Act, was 313.8% as of May 31, 2015 and 321.1% as of February 28, 2015.</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addition, we, through a wholly-owned subsidiary, sought and obtained a license from the SBA to operate an SBIC. In this regard, on March 28, 2012, our wholly-owned subsidiary, Saratoga Investment Corp. SBIC, LP, received a license from the SBA to operate as an SBIC under Section 301(c) of the Small Business Investment Act of 1958. SBICs are designated to stimulate the flow of private equity capital to eligible small businesses. Under SBA regulations, SBICs may make loans to eligible small businesses and invest in the equity securities of small businesses.</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87"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SBA regulations currently limit the amount that our SBIC subsidiary may borrow to a maximum of $150 million when it has at least $75 million in regulatory capital, receives a capital commitment from the SBA and has been through an examination by the SBA subsequent to licensing. As of May 31, 2015, our SBIC subsidiary had $59.3 million in regulatory capital and $79.0 million SBA-guaranteed debentures outstanding.</w:t>
      </w:r>
    </w:p>
    <w:p>
      <w:pPr>
        <w:spacing w:after="0" w:line="166"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received exemptive relief from the Securities and Exchange Commission to permit us to exclude the debt of our SBIC subsidiary guaranteed by the SBA from the definition of senior securities in the 200% asset coverage test under the 1940 Act. This allows us increased flexibility under the 200% asset coverage test by permitting us to borrow up to $150 million more than we would otherwise be able to absent the receipt of this exemptive relief.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$75 million of additional SBA-guaranteed debentures in addition to the $150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Unsecured notes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In connection with the issuance of the notes, we agreed to the following covenants for the period of time during which the notes are outstanding:</w:t>
      </w:r>
    </w:p>
    <w:p>
      <w:pPr>
        <w:spacing w:after="0" w:line="99" w:lineRule="exact"/>
        <w:rPr>
          <w:sz w:val="20"/>
          <w:szCs w:val="20"/>
          <w:color w:val="auto"/>
        </w:rPr>
      </w:pPr>
    </w:p>
    <w:p>
      <w:pPr>
        <w:ind w:left="900" w:right="34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92" w:lineRule="exact"/>
        <w:rPr>
          <w:rFonts w:ascii="Arial" w:cs="Arial" w:eastAsia="Arial" w:hAnsi="Arial"/>
          <w:sz w:val="18"/>
          <w:szCs w:val="18"/>
          <w:color w:val="auto"/>
        </w:rPr>
      </w:pPr>
    </w:p>
    <w:p>
      <w:pPr>
        <w:ind w:left="900" w:hanging="446"/>
        <w:spacing w:after="0" w:line="271"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Subchapter M of the Internal Revenue Code of 1986. Currently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are listed on the NYSE under the trading symbol “SAQ” with a par value of $25.00 per share.</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May 29, 2015, we entered into a Debt Distribution Agreement with Landenburg Thalmann &amp; Co. through which we may offer for sale, from time to time, up to $20.0 million in aggregate principal amount of the Notes through an ATM offering. As of July 14, 2015, the Company sold 227,863 bonds with a principal of $5,696,575 at an average price of $25.32 for aggregate net proceeds of $5,653,305 (net of transaction costs).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At May 31, 2015 and February 28, 2015, the fair value of investments, cash and cash equivalents and cash and cash equivalents, securitization accounts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At May 31, 2015</w:t>
            </w:r>
          </w:p>
        </w:tc>
        <w:tc>
          <w:tcPr>
            <w:tcW w:w="220" w:type="dxa"/>
            <w:vAlign w:val="bottom"/>
          </w:tcPr>
          <w:p>
            <w:pPr>
              <w:spacing w:after="0"/>
              <w:rPr>
                <w:sz w:val="14"/>
                <w:szCs w:val="14"/>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At February 28, 2015</w:t>
            </w: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Percent</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Percent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6"/>
          </w:tcPr>
          <w:p>
            <w:pPr>
              <w:jc w:val="right"/>
              <w:ind w:right="880"/>
              <w:spacing w:after="0" w:line="142" w:lineRule="exact"/>
              <w:rPr>
                <w:sz w:val="20"/>
                <w:szCs w:val="20"/>
                <w:color w:val="auto"/>
              </w:rPr>
            </w:pPr>
            <w:r>
              <w:rPr>
                <w:rFonts w:ascii="Arial" w:cs="Arial" w:eastAsia="Arial" w:hAnsi="Arial"/>
                <w:sz w:val="14"/>
                <w:szCs w:val="14"/>
                <w:b w:val="1"/>
                <w:bCs w:val="1"/>
                <w:color w:val="auto"/>
              </w:rPr>
              <w:t>($ in thousands)</w:t>
            </w: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CEEFF"/>
          </w:tcPr>
          <w:p>
            <w:pPr>
              <w:ind w:left="150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Cash and cash equivalents, securitization accounts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5,864</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18,175</w:t>
            </w: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17,794</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18,302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First lien term loans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157,072</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145,207</w:t>
            </w:r>
          </w:p>
        </w:tc>
        <w:tc>
          <w:tcPr>
            <w:tcW w:w="3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40,551</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35,603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Unsecured notes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5,861</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4,230</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16,860</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17,031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Equity Interest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24,606</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20,165</w:t>
            </w: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ind w:left="1500"/>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269,307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260,601</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July 8, 2015 the Company declared a dividend of $0.33 per share payable for the fiscal quarter ended May 31, 2015 to all stockholders of record at the close of business on August 3, 2015. Shareholders will have the option to receive payment of the dividend in cash, or receive shares of common stock pursuant to the Company’s dividend reinvestment plan.</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On May 14, 2015, the Company declared a dividend of $1.00 per share payable on June 5, 2015. Shareholders have the option to receive payment of the dividend in cash, or receive shares of common stock, pursuant our DRIP. Based on shareholder elections, the dividend consisted of approximately $3.4 million in cash and 126,230 newly issued shares of common stock.</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April 9, 2015, the Company declared a dividend of $0.27 per share payable on May 29, 2015. Shareholders have the option to receive payment of the dividend in cash, or receive shares of common stock, pursuant our DRIP. Based on shareholder elections, the dividend consisted of approximately $0.9 million in cash and 33,766 newly issued shares of common stock.</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September 24, 2014, the Company declared a dividend of $0.22 per share payable on February 27, 2015. Shareholders have the option to receive payment of the dividend in cash, or receive shares of common stock, pursuant our DRIP. 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Also on September 24, 2014, the Company declared a dividend of $0.18 per share payable on November 28, 2014. Shareholders had the option to receive payment of the dividend in cash, or receive shares of common stock pursuant to our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7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October 30, 2013, our board of directors declared a dividend of $2.65 per share payable on December 27, 2013, to common stockholders of record on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 This dividend was declared in reliance on certain private letter rulings issued by the IRS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On November 9, 2012, our board of directors declared a dividend of $4.25 per share payable on December 31, 2012, to common stockholders of record on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On November 15, 2011, our board of directors declared a dividend of $3.00 per share payable on December 30, 2011, to common stockholders of record on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$13.117067 per share, which equaled the volume weighted average trading price per share of the common stock on December 20, 21 and 22, 2011.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12, 2010, our board of directors declared a dividend of $4.40 per share to shareholders payable in cash or shares of our common stock, in accordance with the provisions of the IRS Revenue Procedure 2010-12, which allows a publicly-traded regulated investment company to satisfy its distribution requirements with a distribution paid partly in common stock provided that at least 10.0% of the distribution is payable in cash. The dividend was paid on December 29, 2010 to common shareholders of record on November 19, 2010.</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On November 13, 2009, our board of directors declared a dividend of $18.25 per share payable on December 31, 2009, to common stockholders of record on November 25, 2009. Shareholders had the option to receive payment of the dividend in cash, shares of common stock, or a combination of cash and shares of common stock, provided that the aggregate cash payable to all shareholders was limited to $2.1 million or $0.25 per share.</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shareholders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provide any assurance that these measures will provide sufficient sources of liquidity to support our operations and growth.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May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720" w:type="dxa"/>
            <w:vAlign w:val="bottom"/>
            <w:gridSpan w:val="2"/>
          </w:tcPr>
          <w:p>
            <w:pPr>
              <w:jc w:val="center"/>
              <w:ind w:left="184"/>
              <w:spacing w:after="0" w:line="119" w:lineRule="exact"/>
              <w:rPr>
                <w:sz w:val="20"/>
                <w:szCs w:val="20"/>
                <w:color w:val="auto"/>
              </w:rPr>
            </w:pPr>
            <w:r>
              <w:rPr>
                <w:rFonts w:ascii="Arial" w:cs="Arial" w:eastAsia="Arial" w:hAnsi="Arial"/>
                <w:sz w:val="13"/>
                <w:szCs w:val="13"/>
                <w:b w:val="1"/>
                <w:bCs w:val="1"/>
                <w:color w:val="auto"/>
                <w:w w:val="97"/>
              </w:rPr>
              <w:t>1 -3</w:t>
            </w:r>
          </w:p>
        </w:tc>
        <w:tc>
          <w:tcPr>
            <w:tcW w:w="240" w:type="dxa"/>
            <w:vAlign w:val="bottom"/>
          </w:tcPr>
          <w:p>
            <w:pPr>
              <w:spacing w:after="0"/>
              <w:rPr>
                <w:sz w:val="10"/>
                <w:szCs w:val="10"/>
                <w:color w:val="auto"/>
              </w:rPr>
            </w:pPr>
          </w:p>
        </w:tc>
        <w:tc>
          <w:tcPr>
            <w:tcW w:w="600" w:type="dxa"/>
            <w:vAlign w:val="bottom"/>
            <w:gridSpan w:val="2"/>
          </w:tcPr>
          <w:p>
            <w:pPr>
              <w:jc w:val="right"/>
              <w:ind w:right="108"/>
              <w:spacing w:after="0" w:line="119" w:lineRule="exact"/>
              <w:rPr>
                <w:sz w:val="20"/>
                <w:szCs w:val="20"/>
                <w:color w:val="auto"/>
              </w:rPr>
            </w:pPr>
            <w:r>
              <w:rPr>
                <w:rFonts w:ascii="Arial" w:cs="Arial" w:eastAsia="Arial" w:hAnsi="Arial"/>
                <w:sz w:val="13"/>
                <w:szCs w:val="13"/>
                <w:b w:val="1"/>
                <w:bCs w:val="1"/>
                <w:color w:val="auto"/>
              </w:rPr>
              <w:t>3 -5</w:t>
            </w:r>
          </w:p>
        </w:tc>
        <w:tc>
          <w:tcPr>
            <w:tcW w:w="3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Years</w:t>
            </w:r>
          </w:p>
        </w:tc>
        <w:tc>
          <w:tcPr>
            <w:tcW w:w="2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jc w:val="center"/>
              <w:ind w:left="422"/>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33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139,100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9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48,300</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90,800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Company’s off-balance sheet arrangements consisted of $11.2 million and $11.2 million of unfunded commitments to provide debt financing to its portfolio companies or to fund limited partnership interests as of May 31, 2015 and February 28, 2015,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 of Assets and Liabilities and are not reflected in the Company’s Consolidated Statements of Assets and Liabilities.</w:t>
      </w:r>
    </w:p>
    <w:p>
      <w:pPr>
        <w:spacing w:after="0" w:line="18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May 31, 2015 and February 28, 2015 is shown in the table below (dollars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May 31,</w:t>
            </w:r>
          </w:p>
        </w:tc>
        <w:tc>
          <w:tcPr>
            <w:tcW w:w="13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Bristol Hospice, LLC</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HMN Holdco, LLC</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2,400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Knowland Technology Holdings, L.L.C</w:t>
            </w:r>
          </w:p>
        </w:tc>
        <w:tc>
          <w:tcPr>
            <w:tcW w:w="1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11,200</w:t>
            </w:r>
          </w:p>
        </w:tc>
        <w:tc>
          <w:tcPr>
            <w:tcW w:w="7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 risks have not changed materially from the risks reported in our Form 10-K for the year ended February 28,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left="460" w:right="60" w:hanging="452"/>
        <w:spacing w:after="0" w:line="25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defined in Rule 13a-15(e) and 15d-15(e) of the Securities Exchange Act of 1934). Based on that evaluation, our chief executive officer and our chief financial officer have concluded that our current disclosure controls and procedures are effective in facilitating timely decisions regarding required disclosure of any material information relating to us that is required to be disclosed by us in the reports we file or submit under the Securities Exchange Act of 1934.</w:t>
      </w:r>
    </w:p>
    <w:p>
      <w:pPr>
        <w:spacing w:after="0" w:line="98"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have been no changes in our internal control over financial reporting that occurred during the quarter ended May 31, 2015 that have materially affected, or are reasonably likely to materially affect, our internal control over financial reporting.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31, 2012, a complaint was filed in the United States Bankruptcy Court for the Southern District of New York by GSC Acquisition Holdings, LLC against us to recover, among other things, approximately $2.6 million for the benefit of the estates and the general unsecured creditors of GSC</w:t>
      </w:r>
    </w:p>
    <w:p>
      <w:pPr>
        <w:ind w:right="20"/>
        <w:spacing w:after="0" w:line="252" w:lineRule="auto"/>
        <w:rPr>
          <w:sz w:val="20"/>
          <w:szCs w:val="20"/>
          <w:color w:val="auto"/>
        </w:rPr>
      </w:pPr>
      <w:r>
        <w:rPr>
          <w:rFonts w:ascii="Arial" w:cs="Arial" w:eastAsia="Arial" w:hAnsi="Arial"/>
          <w:sz w:val="18"/>
          <w:szCs w:val="18"/>
          <w:color w:val="auto"/>
        </w:rPr>
        <w:t>Group, Inc. and its affiliates, including the Company’s former investment adviser, GSCP (NJ), L.P. The complaint alleges that the former investment adviser made a constructively fraudulent transfer of $2.6 million in deferred incentive fees by waiving them in connection with the termination of the Management Agreement with us, and that the termination of the Management Agreement was itself a fraudulent transfer. These transfers, the complaint alleges, were made without receipt of reasonably equivalent value and while the former investment adviser was insolvent. The complaint has not yet been served, and the plaintiff’s motion for authority to prosecute the case on behalf of the estates was taken under advisement by the court on October 1, 2012. We opposed that motion. We believe that the claims in this lawsuit are without merit and, if the plaintiff is authorized to proceed, intend to vigorously defend against this action.</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Except as discussed above, neither we nor our wholly-owned subsidiaries, Saratoga Investment Funding LLC and Saratoga Investment Corp. SBIC LP, are currently subject to any material legal proceedings.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addition to other information set forth in this report, you should carefully consider the “Risk Factors” discussed in our annual report on Form 10-K filed with the SEC on May 20, 2015 which could materially affect our business, financial condition and/or operating results. Additional risks or uncertainties not currently known to us or that we currently deem to be immaterial also may materially affect our business, financial condition and/or operating results. There have been no material changes from the risk factors set forth in our Annual Report on Form 10-K for the year ended February 28, 2015.</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right"/>
        <w:ind w:right="932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right"/>
        <w:ind w:right="93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the exhibits which are filed as part of this report (according to the number assigned to them in Item 601 of Regulation S-K):</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496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25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96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6"/>
              </w:rPr>
              <w:t>Certification of Chief Executive Officer Pursuant to Rule 13a-14(a) under the Securities Exchange Act of 1934</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7"/>
              </w:rPr>
              <w:t>Certification of Chief Financial Officer Pursuant to Rule 13a-14(a) under the Securities Exchange Act of 1934</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1"/>
              </w:rPr>
              <w:t>Certification of Chief Executive Officer Pursuant to Section 906 of the Sarbanes-Oxley Act of 2002 (18 U.S.C. 1350)</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Submitted herewith.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620"/>
          </w:cols>
          <w:pgMar w:left="240" w:top="459"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240"/>
              <w:spacing w:after="0"/>
              <w:rPr>
                <w:sz w:val="20"/>
                <w:szCs w:val="20"/>
                <w:color w:val="auto"/>
              </w:rPr>
            </w:pPr>
            <w:r>
              <w:rPr>
                <w:rFonts w:ascii="Arial" w:cs="Arial" w:eastAsia="Arial" w:hAnsi="Arial"/>
                <w:sz w:val="18"/>
                <w:szCs w:val="18"/>
                <w:color w:val="auto"/>
              </w:rPr>
              <w:t>SARATOGA INVESTMENT CORP.</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July 14, 2015</w:t>
            </w:r>
          </w:p>
        </w:tc>
        <w:tc>
          <w:tcPr>
            <w:tcW w:w="2620" w:type="dxa"/>
            <w:vAlign w:val="bottom"/>
          </w:tcPr>
          <w:p>
            <w:pPr>
              <w:ind w:left="22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CHRISTIAN L. OBERBECK</w:t>
            </w:r>
          </w:p>
        </w:tc>
      </w:tr>
      <w:tr>
        <w:trPr>
          <w:trHeight w:val="209"/>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Christian L. Oberbeck</w:t>
            </w: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w:t>
            </w:r>
          </w:p>
        </w:tc>
      </w:tr>
      <w:tr>
        <w:trPr>
          <w:trHeight w:val="432"/>
        </w:trPr>
        <w:tc>
          <w:tcPr>
            <w:tcW w:w="3660" w:type="dxa"/>
            <w:vAlign w:val="bottom"/>
          </w:tcPr>
          <w:p>
            <w:pPr>
              <w:spacing w:after="0"/>
              <w:rPr>
                <w:sz w:val="24"/>
                <w:szCs w:val="24"/>
                <w:color w:val="auto"/>
              </w:rPr>
            </w:pPr>
          </w:p>
        </w:tc>
        <w:tc>
          <w:tcPr>
            <w:tcW w:w="2620" w:type="dxa"/>
            <w:vAlign w:val="bottom"/>
          </w:tcPr>
          <w:p>
            <w:pPr>
              <w:ind w:left="22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HENRI J. STEENKAMP</w:t>
            </w:r>
          </w:p>
        </w:tc>
      </w:tr>
      <w:tr>
        <w:trPr>
          <w:trHeight w:val="224"/>
        </w:trPr>
        <w:tc>
          <w:tcPr>
            <w:tcW w:w="3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Henri J. Steenkamp</w:t>
            </w:r>
          </w:p>
        </w:tc>
      </w:tr>
    </w:tbl>
    <w:p>
      <w:pPr>
        <w:ind w:left="6900"/>
        <w:spacing w:after="0"/>
        <w:rPr>
          <w:sz w:val="20"/>
          <w:szCs w:val="20"/>
          <w:color w:val="auto"/>
        </w:rPr>
      </w:pPr>
      <w:r>
        <w:rPr>
          <w:rFonts w:ascii="Arial" w:cs="Arial" w:eastAsia="Arial" w:hAnsi="Arial"/>
          <w:sz w:val="18"/>
          <w:szCs w:val="18"/>
          <w:i w:val="1"/>
          <w:iCs w:val="1"/>
          <w:color w:val="auto"/>
        </w:rPr>
        <w:t>Chief Financial Officer and Chief Compliance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Christian L. Oberbeck, certify that:</w:t>
      </w:r>
    </w:p>
    <w:p>
      <w:pPr>
        <w:spacing w:after="0" w:line="225" w:lineRule="exact"/>
        <w:rPr>
          <w:sz w:val="20"/>
          <w:szCs w:val="20"/>
          <w:color w:val="auto"/>
        </w:rPr>
      </w:pPr>
    </w:p>
    <w:p>
      <w:pPr>
        <w:ind w:left="1100" w:hanging="179"/>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120" w:firstLine="921"/>
        <w:spacing w:after="0" w:line="342" w:lineRule="auto"/>
        <w:tabs>
          <w:tab w:leader="none" w:pos="1093"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921"/>
        <w:spacing w:after="0" w:line="308" w:lineRule="auto"/>
        <w:tabs>
          <w:tab w:leader="none" w:pos="1093"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60" w:firstLine="921"/>
        <w:spacing w:after="0" w:line="277" w:lineRule="auto"/>
        <w:tabs>
          <w:tab w:leader="none" w:pos="10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920" w:right="220" w:firstLine="421"/>
        <w:spacing w:after="0" w:line="264" w:lineRule="auto"/>
        <w:tabs>
          <w:tab w:leader="none" w:pos="158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firstLine="421"/>
        <w:spacing w:after="0" w:line="264" w:lineRule="auto"/>
        <w:tabs>
          <w:tab w:leader="none" w:pos="15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160" w:firstLine="421"/>
        <w:spacing w:after="0" w:line="342" w:lineRule="auto"/>
        <w:tabs>
          <w:tab w:leader="none" w:pos="1585"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140" w:firstLine="421"/>
        <w:spacing w:after="0" w:line="264" w:lineRule="auto"/>
        <w:tabs>
          <w:tab w:leader="none" w:pos="15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921"/>
        <w:spacing w:after="0" w:line="308" w:lineRule="auto"/>
        <w:tabs>
          <w:tab w:leader="none" w:pos="109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340" w:firstLine="421"/>
        <w:spacing w:after="0" w:line="308" w:lineRule="auto"/>
        <w:tabs>
          <w:tab w:leader="none" w:pos="1585"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20" w:firstLine="421"/>
        <w:spacing w:after="0" w:line="277" w:lineRule="auto"/>
        <w:tabs>
          <w:tab w:leader="none" w:pos="15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14,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Henri J. Steenkamp, certify that:</w:t>
      </w:r>
    </w:p>
    <w:p>
      <w:pPr>
        <w:spacing w:after="0" w:line="225" w:lineRule="exact"/>
        <w:rPr>
          <w:sz w:val="20"/>
          <w:szCs w:val="20"/>
          <w:color w:val="auto"/>
        </w:rPr>
      </w:pPr>
    </w:p>
    <w:p>
      <w:pPr>
        <w:ind w:left="1100" w:hanging="179"/>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120" w:firstLine="921"/>
        <w:spacing w:after="0" w:line="342" w:lineRule="auto"/>
        <w:tabs>
          <w:tab w:leader="none" w:pos="1093"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921"/>
        <w:spacing w:after="0" w:line="308" w:lineRule="auto"/>
        <w:tabs>
          <w:tab w:leader="none" w:pos="1093"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60" w:firstLine="921"/>
        <w:spacing w:after="0" w:line="277" w:lineRule="auto"/>
        <w:tabs>
          <w:tab w:leader="none" w:pos="10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920" w:right="220" w:firstLine="421"/>
        <w:spacing w:after="0" w:line="264" w:lineRule="auto"/>
        <w:tabs>
          <w:tab w:leader="none" w:pos="158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firstLine="421"/>
        <w:spacing w:after="0" w:line="264" w:lineRule="auto"/>
        <w:tabs>
          <w:tab w:leader="none" w:pos="15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160" w:firstLine="421"/>
        <w:spacing w:after="0" w:line="342" w:lineRule="auto"/>
        <w:tabs>
          <w:tab w:leader="none" w:pos="1585"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140" w:firstLine="421"/>
        <w:spacing w:after="0" w:line="264" w:lineRule="auto"/>
        <w:tabs>
          <w:tab w:leader="none" w:pos="15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921"/>
        <w:spacing w:after="0" w:line="308" w:lineRule="auto"/>
        <w:tabs>
          <w:tab w:leader="none" w:pos="109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340" w:firstLine="421"/>
        <w:spacing w:after="0" w:line="308" w:lineRule="auto"/>
        <w:tabs>
          <w:tab w:leader="none" w:pos="1585"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20" w:firstLine="421"/>
        <w:spacing w:after="0" w:line="277" w:lineRule="auto"/>
        <w:tabs>
          <w:tab w:leader="none" w:pos="15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14,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Christian L. Oberbeck, the Chief Executive Officer, certifies that, to the best of his knowledge:</w:t>
      </w:r>
    </w:p>
    <w:p>
      <w:pPr>
        <w:spacing w:after="0" w:line="131"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14,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Henri J. Steenkamp, the Chief Financial Officer, Chief Compliance Officer and Secretary of Saratoga Investment Corp., certifies that, to the best of his knowledge:</w:t>
      </w:r>
    </w:p>
    <w:p>
      <w:pPr>
        <w:spacing w:after="0" w:line="76"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14,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Letter"/>
      <w:start w:val="1"/>
    </w:lvl>
  </w:abstractNum>
  <w:abstractNum w:abstractNumId="3">
    <w:nsid w:val="257130A3"/>
    <w:multiLevelType w:val="hybridMultilevel"/>
    <w:lvl w:ilvl="0">
      <w:lvlJc w:val="left"/>
      <w:lvlText w:val="(%1)"/>
      <w:numFmt w:val="lowerLetter"/>
      <w:start w:val="7"/>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7"/>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lvl w:ilvl="1">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2019-12-29T17:00:15Z</dcterms:created>
  <dcterms:modified xsi:type="dcterms:W3CDTF">2019-12-29T17:00:15Z</dcterms:modified>
</cp:coreProperties>
</file>