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x ANNUAL REPORT PURSUANT TO SECTION 13 OR 15(d) OF THE SECURITIES EXCHANGE ACT OF 1934</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February 28, 2014</w:t>
      </w:r>
    </w:p>
    <w:p>
      <w:pPr>
        <w:spacing w:after="0" w:line="135" w:lineRule="exact"/>
        <w:rPr>
          <w:sz w:val="24"/>
          <w:szCs w:val="24"/>
          <w:color w:val="auto"/>
        </w:rPr>
      </w:pPr>
    </w:p>
    <w:p>
      <w:pPr>
        <w:ind w:left="660" w:right="660" w:hanging="328"/>
        <w:spacing w:after="0" w:line="256" w:lineRule="auto"/>
        <w:tabs>
          <w:tab w:leader="none" w:pos="5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40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172085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SARATOGA INVESTMENT CORP.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3" w:right="279" w:bottom="127" w:gutter="0" w:footer="0" w:header="0"/>
        </w:sectPr>
      </w:pPr>
    </w:p>
    <w:p>
      <w:pPr>
        <w:spacing w:after="0" w:line="124"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20-8700615</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Identification Number)</w:t>
      </w:r>
    </w:p>
    <w:p>
      <w:pPr>
        <w:spacing w:after="0" w:line="149" w:lineRule="exact"/>
        <w:rPr>
          <w:sz w:val="24"/>
          <w:szCs w:val="24"/>
          <w:color w:val="auto"/>
        </w:rPr>
      </w:pPr>
    </w:p>
    <w:p>
      <w:pPr>
        <w:sectPr>
          <w:pgSz w:w="11900" w:h="16838" w:orient="portrait"/>
          <w:cols w:equalWidth="0" w:num="2">
            <w:col w:w="7080" w:space="720"/>
            <w:col w:w="3580"/>
          </w:cols>
          <w:pgMar w:left="240" w:top="233" w:right="279" w:bottom="127"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535 Madison Avenue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380"/>
          </w:cols>
          <w:pgMar w:left="240" w:top="233" w:right="279" w:bottom="127" w:gutter="0" w:footer="0" w:header="0"/>
          <w:type w:val="continuous"/>
        </w:sectPr>
      </w:pP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906-7800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13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6"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Title of Each Class</w:t>
            </w: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5"/>
        </w:trPr>
        <w:tc>
          <w:tcPr>
            <w:tcW w:w="220" w:type="dxa"/>
            <w:vAlign w:val="bottom"/>
          </w:tcPr>
          <w:p>
            <w:pPr>
              <w:spacing w:after="0"/>
              <w:rPr>
                <w:sz w:val="16"/>
                <w:szCs w:val="16"/>
                <w:color w:val="auto"/>
              </w:rPr>
            </w:pPr>
          </w:p>
        </w:tc>
        <w:tc>
          <w:tcPr>
            <w:tcW w:w="5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220" w:type="dxa"/>
            <w:vAlign w:val="bottom"/>
          </w:tcPr>
          <w:p>
            <w:pPr>
              <w:spacing w:after="0"/>
              <w:rPr>
                <w:sz w:val="16"/>
                <w:szCs w:val="16"/>
                <w:color w:val="auto"/>
              </w:rPr>
            </w:pPr>
          </w:p>
        </w:tc>
        <w:tc>
          <w:tcPr>
            <w:tcW w:w="5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New York Stock Exchange</w:t>
            </w:r>
          </w:p>
        </w:tc>
      </w:tr>
      <w:tr>
        <w:trPr>
          <w:trHeight w:val="230"/>
        </w:trPr>
        <w:tc>
          <w:tcPr>
            <w:tcW w:w="220" w:type="dxa"/>
            <w:vAlign w:val="bottom"/>
          </w:tcPr>
          <w:p>
            <w:pPr>
              <w:spacing w:after="0"/>
              <w:rPr>
                <w:sz w:val="20"/>
                <w:szCs w:val="20"/>
                <w:color w:val="auto"/>
              </w:rPr>
            </w:pPr>
          </w:p>
        </w:tc>
        <w:tc>
          <w:tcPr>
            <w:tcW w:w="54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7.50% Notes due 2020</w:t>
            </w:r>
          </w:p>
        </w:tc>
        <w:tc>
          <w:tcPr>
            <w:tcW w:w="518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351"/>
        </w:trPr>
        <w:tc>
          <w:tcPr>
            <w:tcW w:w="568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180" w:type="dxa"/>
            <w:vAlign w:val="bottom"/>
          </w:tcPr>
          <w:p>
            <w:pPr>
              <w:spacing w:after="0"/>
              <w:rPr>
                <w:sz w:val="24"/>
                <w:szCs w:val="24"/>
                <w:color w:val="auto"/>
              </w:rPr>
            </w:pPr>
          </w:p>
        </w:tc>
      </w:tr>
    </w:tbl>
    <w:p>
      <w:pPr>
        <w:spacing w:after="0" w:line="121" w:lineRule="exact"/>
        <w:rPr>
          <w:sz w:val="24"/>
          <w:szCs w:val="24"/>
          <w:color w:val="auto"/>
        </w:rPr>
      </w:pPr>
    </w:p>
    <w:p>
      <w:pPr>
        <w:ind w:left="340" w:right="1680"/>
        <w:spacing w:after="0" w:line="458"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15(d) of the Act. Yes o No x</w:t>
      </w: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0"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00" w:lineRule="exact"/>
        <w:rPr>
          <w:sz w:val="24"/>
          <w:szCs w:val="24"/>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00" w:lineRule="exact"/>
        <w:rPr>
          <w:sz w:val="24"/>
          <w:szCs w:val="24"/>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127" w:gutter="0" w:footer="0" w:header="0"/>
          <w:type w:val="continuous"/>
        </w:sectPr>
      </w:pPr>
    </w:p>
    <w:p>
      <w:pPr>
        <w:spacing w:after="0" w:line="43"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20"/>
          </w:cols>
          <w:pgMar w:left="240" w:top="233" w:right="279" w:bottom="127"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83" w:lineRule="exact"/>
        <w:rPr>
          <w:sz w:val="24"/>
          <w:szCs w:val="24"/>
          <w:color w:val="auto"/>
        </w:rPr>
      </w:pPr>
    </w:p>
    <w:p>
      <w:pPr>
        <w:sectPr>
          <w:pgSz w:w="11900" w:h="16838" w:orient="portrait"/>
          <w:cols w:equalWidth="0" w:num="2">
            <w:col w:w="6860" w:space="720"/>
            <w:col w:w="3800"/>
          </w:cols>
          <w:pgMar w:left="240" w:top="233" w:right="279" w:bottom="127"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144"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as of August 30, 2013 was approximately $54.9 million based upon a closing price of $18.31 reported for such date by the New York Stock Exchange.</w:t>
      </w:r>
    </w:p>
    <w:p>
      <w:pPr>
        <w:spacing w:after="0" w:line="8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common shares of the registrant as of May 27, 2014 was 5,379,616.</w:t>
      </w:r>
    </w:p>
    <w:p>
      <w:pPr>
        <w:spacing w:after="0" w:line="14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263765" cy="4763"/>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380"/>
          </w:cols>
          <w:pgMar w:left="240" w:top="233" w:right="279" w:bottom="127" w:gutter="0" w:footer="0" w:header="0"/>
          <w:type w:val="continuous"/>
        </w:sectPr>
      </w:pPr>
    </w:p>
    <w:bookmarkStart w:id="1" w:name="page2"/>
    <w:bookmarkEnd w:id="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 ABOUT REFERENCES</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this Annual Report on Form 10-K (the “Annual Report”), the “Company,” “we,” “us” and “our” refer to Saratoga Investment Corp. and its wholly owned subsidiaries, Saratoga Investment Funding LLC and Saratoga Investment Corp. SBIC, L.P., unless the context otherwise requires. We refer to Saratoga Investment Advisors, LLC, our investment adviser, as “Saratoga Investment Advisors” or the “Investment Adviser.”</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Some of the statements in this Annual Report constitute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terms such as “anticipate,” “believe,” “could,” “estimate,” “expect,” “intend,” “may,” “plan,” “potential,” “project,” “should,” “will” and “would” or the negative of these terms or other comparable terminology.</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forward-looking statements contained in this Annual Report involve risks and uncertainties, including statements as to:</w:t>
      </w:r>
    </w:p>
    <w:p>
      <w:pPr>
        <w:spacing w:after="0" w:line="225"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regulatory structure and tax treatment, including our ability to operate as a business development company, or to operate our small business investment company subsidiary, and to continue to qualify to be taxed as a regulated investment company;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For a discussion of factors that could cause our actual results to differ from forward-looking statements contained in this Annual Report, please see the discussion under Part I, Item 1A “Risk Factors”.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of this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15"/>
          </w:tcPr>
          <w:p>
            <w:pPr>
              <w:jc w:val="right"/>
              <w:ind w:right="14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050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20" w:type="dxa"/>
            <w:vAlign w:val="bottom"/>
            <w:gridSpan w:val="5"/>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66"/>
        </w:trPr>
        <w:tc>
          <w:tcPr>
            <w:tcW w:w="1050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500" w:type="dxa"/>
            <w:vAlign w:val="bottom"/>
            <w:gridSpan w:val="18"/>
            <w:vMerge w:val="continue"/>
          </w:tcPr>
          <w:p>
            <w:pPr>
              <w:spacing w:after="0"/>
              <w:rPr>
                <w:sz w:val="13"/>
                <w:szCs w:val="13"/>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103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Item 1A. Risk Factors</w:t>
              </w:r>
            </w:hyperlink>
          </w:p>
        </w:tc>
        <w:tc>
          <w:tcPr>
            <w:tcW w:w="8720" w:type="dxa"/>
            <w:vAlign w:val="bottom"/>
            <w:gridSpan w:val="11"/>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1B. Unresolved Staff Comments</w:t>
              </w:r>
            </w:hyperlink>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5"/>
          </w:tcPr>
          <w:p>
            <w:pPr>
              <w:spacing w:after="0"/>
              <w:rPr>
                <w:sz w:val="17"/>
                <w:szCs w:val="17"/>
                <w:color w:val="auto"/>
              </w:rPr>
            </w:pPr>
          </w:p>
        </w:tc>
        <w:tc>
          <w:tcPr>
            <w:tcW w:w="7600" w:type="dxa"/>
            <w:vAlign w:val="bottom"/>
            <w:gridSpan w:val="7"/>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3. Legal Proceedings</w:t>
              </w:r>
            </w:hyperlink>
          </w:p>
        </w:tc>
        <w:tc>
          <w:tcPr>
            <w:tcW w:w="8420" w:type="dxa"/>
            <w:vAlign w:val="bottom"/>
            <w:gridSpan w:val="10"/>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4. Mine Safety Disclosures</w:t>
              </w:r>
            </w:hyperlink>
          </w:p>
        </w:tc>
        <w:tc>
          <w:tcPr>
            <w:tcW w:w="7980" w:type="dxa"/>
            <w:vAlign w:val="bottom"/>
            <w:gridSpan w:val="8"/>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50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6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5. Market for Registrant’s Common Equity, Related Stockholder Matters and Issuer Purchases of Equity Securities</w:t>
              </w:r>
            </w:hyperlink>
          </w:p>
        </w:tc>
        <w:tc>
          <w:tcPr>
            <w:tcW w:w="1680" w:type="dxa"/>
            <w:vAlign w:val="bottom"/>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6. Selected Financial Data</w:t>
              </w:r>
            </w:hyperlink>
          </w:p>
        </w:tc>
        <w:tc>
          <w:tcPr>
            <w:tcW w:w="8040" w:type="dxa"/>
            <w:vAlign w:val="bottom"/>
            <w:gridSpan w:val="9"/>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7. Management’s Discussion and Analysis of Financial Condition and Results of Operations</w:t>
              </w:r>
            </w:hyperlink>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0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7A. Quantitative and Qualitative Disclosures about Market Risk</w:t>
              </w:r>
            </w:hyperlink>
          </w:p>
        </w:tc>
        <w:tc>
          <w:tcPr>
            <w:tcW w:w="3280" w:type="dxa"/>
            <w:vAlign w:val="bottom"/>
            <w:gridSpan w:val="2"/>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Item 8. Financial Statements and Supplementary Data</w:t>
              </w:r>
            </w:hyperlink>
          </w:p>
        </w:tc>
        <w:tc>
          <w:tcPr>
            <w:tcW w:w="1100" w:type="dxa"/>
            <w:vAlign w:val="bottom"/>
            <w:tcBorders>
              <w:top w:val="single" w:sz="8" w:color="0000EE"/>
            </w:tcBorders>
            <w:gridSpan w:val="2"/>
          </w:tcPr>
          <w:p>
            <w:pPr>
              <w:spacing w:after="0"/>
              <w:rPr>
                <w:sz w:val="17"/>
                <w:szCs w:val="17"/>
                <w:color w:val="auto"/>
              </w:rPr>
            </w:pPr>
          </w:p>
        </w:tc>
        <w:tc>
          <w:tcPr>
            <w:tcW w:w="5320" w:type="dxa"/>
            <w:vAlign w:val="bottom"/>
            <w:gridSpan w:val="4"/>
          </w:tcPr>
          <w:p>
            <w:pPr>
              <w:spacing w:after="0"/>
              <w:rPr>
                <w:sz w:val="17"/>
                <w:szCs w:val="17"/>
                <w:color w:val="auto"/>
              </w:rPr>
            </w:pP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20" w:type="dxa"/>
            <w:vAlign w:val="bottom"/>
            <w:gridSpan w:val="1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9. Changes in and Disagreements with Accountants on Accounting and Financial Disclosure</w:t>
              </w:r>
            </w:hyperlink>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-3088640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-3088640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03"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24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9A. Controls and Procedures</w:t>
              </w:r>
            </w:hyperlink>
          </w:p>
        </w:tc>
        <w:tc>
          <w:tcPr>
            <w:tcW w:w="7020" w:type="dxa"/>
            <w:vAlign w:val="bottom"/>
            <w:gridSpan w:val="6"/>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96"/>
        </w:trPr>
        <w:tc>
          <w:tcPr>
            <w:tcW w:w="18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Item 9B. Other Information</w:t>
              </w:r>
            </w:hyperlink>
          </w:p>
        </w:tc>
        <w:tc>
          <w:tcPr>
            <w:tcW w:w="7500" w:type="dxa"/>
            <w:vAlign w:val="bottom"/>
            <w:gridSpan w:val="8"/>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9680" w:type="dxa"/>
            <w:vAlign w:val="bottom"/>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PART III</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500" w:type="dxa"/>
            <w:vAlign w:val="bottom"/>
            <w:gridSpan w:val="1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10. Directors, Executive Officers and Corporate Governance</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4"/>
          </w:tcPr>
          <w:p>
            <w:pPr>
              <w:spacing w:after="0"/>
              <w:rPr>
                <w:sz w:val="17"/>
                <w:szCs w:val="17"/>
                <w:color w:val="auto"/>
              </w:rPr>
            </w:pPr>
          </w:p>
        </w:tc>
        <w:tc>
          <w:tcPr>
            <w:tcW w:w="4760" w:type="dxa"/>
            <w:vAlign w:val="bottom"/>
            <w:gridSpan w:val="3"/>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80" w:type="dxa"/>
            <w:vAlign w:val="bottom"/>
          </w:tcPr>
          <w:p>
            <w:pPr>
              <w:spacing w:after="0"/>
              <w:rPr>
                <w:sz w:val="17"/>
                <w:szCs w:val="17"/>
                <w:color w:val="auto"/>
              </w:rPr>
            </w:pPr>
          </w:p>
        </w:tc>
        <w:tc>
          <w:tcPr>
            <w:tcW w:w="9500" w:type="dxa"/>
            <w:vAlign w:val="bottom"/>
            <w:gridSpan w:val="1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12. Security Ownership of Certain Beneficial Owners and Management and Related Stockholder Matters</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80" w:type="dxa"/>
            <w:vAlign w:val="bottom"/>
          </w:tcPr>
          <w:p>
            <w:pPr>
              <w:spacing w:after="0"/>
              <w:rPr>
                <w:sz w:val="17"/>
                <w:szCs w:val="17"/>
                <w:color w:val="auto"/>
              </w:rPr>
            </w:pPr>
          </w:p>
        </w:tc>
        <w:tc>
          <w:tcPr>
            <w:tcW w:w="79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13. Certain Relationships and Related Transactions, and Director Independence</w:t>
              </w:r>
            </w:hyperlink>
          </w:p>
        </w:tc>
        <w:tc>
          <w:tcPr>
            <w:tcW w:w="1560" w:type="dxa"/>
            <w:vAlign w:val="bottom"/>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14. Principal Accountant Fees and Services</w:t>
              </w:r>
            </w:hyperlink>
          </w:p>
        </w:tc>
        <w:tc>
          <w:tcPr>
            <w:tcW w:w="2580" w:type="dxa"/>
            <w:vAlign w:val="bottom"/>
            <w:tcBorders>
              <w:top w:val="single" w:sz="8" w:color="0000EE"/>
            </w:tcBorders>
            <w:gridSpan w:val="3"/>
          </w:tcPr>
          <w:p>
            <w:pPr>
              <w:spacing w:after="0"/>
              <w:rPr>
                <w:sz w:val="17"/>
                <w:szCs w:val="17"/>
                <w:color w:val="auto"/>
              </w:rPr>
            </w:pPr>
          </w:p>
        </w:tc>
        <w:tc>
          <w:tcPr>
            <w:tcW w:w="3400" w:type="dxa"/>
            <w:vAlign w:val="bottom"/>
            <w:gridSpan w:val="2"/>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PART IV</w:t>
              </w:r>
            </w:hyperlink>
          </w:p>
        </w:tc>
        <w:tc>
          <w:tcPr>
            <w:tcW w:w="9000" w:type="dxa"/>
            <w:vAlign w:val="bottom"/>
            <w:gridSpan w:val="10"/>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80" w:type="dxa"/>
            <w:vAlign w:val="bottom"/>
          </w:tcPr>
          <w:p>
            <w:pPr>
              <w:spacing w:after="0"/>
              <w:rPr>
                <w:sz w:val="17"/>
                <w:szCs w:val="17"/>
                <w:color w:val="auto"/>
              </w:rPr>
            </w:pPr>
          </w:p>
        </w:tc>
        <w:tc>
          <w:tcPr>
            <w:tcW w:w="38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15. Exhibits and Financial Statement Schedules</w:t>
              </w:r>
            </w:hyperlink>
          </w:p>
        </w:tc>
        <w:tc>
          <w:tcPr>
            <w:tcW w:w="5680" w:type="dxa"/>
            <w:vAlign w:val="bottom"/>
            <w:gridSpan w:val="4"/>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9680" w:type="dxa"/>
            <w:vAlign w:val="bottom"/>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453"/>
        </w:trPr>
        <w:tc>
          <w:tcPr>
            <w:tcW w:w="760" w:type="dxa"/>
            <w:vAlign w:val="bottom"/>
            <w:tcBorders>
              <w:top w:val="single" w:sz="8" w:color="0000EE"/>
            </w:tcBorders>
            <w:gridSpan w:val="4"/>
          </w:tcPr>
          <w:p>
            <w:pPr>
              <w:spacing w:after="0"/>
              <w:rPr>
                <w:sz w:val="24"/>
                <w:szCs w:val="24"/>
                <w:color w:val="auto"/>
              </w:rPr>
            </w:pPr>
          </w:p>
        </w:tc>
        <w:tc>
          <w:tcPr>
            <w:tcW w:w="5520" w:type="dxa"/>
            <w:vAlign w:val="bottom"/>
            <w:gridSpan w:val="7"/>
          </w:tcPr>
          <w:p>
            <w:pPr>
              <w:jc w:val="right"/>
              <w:ind w:right="520"/>
              <w:spacing w:after="0"/>
              <w:rPr>
                <w:sz w:val="20"/>
                <w:szCs w:val="20"/>
                <w:color w:val="auto"/>
              </w:rPr>
            </w:pPr>
            <w:r>
              <w:rPr>
                <w:rFonts w:ascii="Arial" w:cs="Arial" w:eastAsia="Arial" w:hAnsi="Arial"/>
                <w:sz w:val="18"/>
                <w:szCs w:val="18"/>
                <w:color w:val="auto"/>
              </w:rPr>
              <w:t>3</w:t>
            </w: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are a specialty finance company that invests primarily in leveraged loans and mezzanine debt issued by private U.S. middle-market companies, which we define as companies having annual EBITDA (earnings before interest, taxes, depreciation and amortization) of $5 million and $50 million, both through direct lending and through participation in loan syndicates. Our investment objective is to generate current income and, to a lesser extent, capital appreciation from our investments. We are externally managed and advised by Saratoga Investment Advisors, LLC, a New York-based investment firm affiliated with Saratoga Partners, a middle market private equity investment firm.</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portfolio is comprised primarily of investments in leveraged loans (both first and second lien term loans) issued by middle market companies. Leveraged loans are generally senior debt instruments that rank ahead of subordinated debt of the portfolio company. Leveraged loans also have the benefit of security interests on the assets of the portfolio company, which may rank ahead of, or be junior to, other security interests. Term loans are loans that do not allow the borrowers to repay all or a portion of the loans prior to maturity and then re-borrow such repaid amounts under the loan again. We also purchase mezzanine debt and make equity investments in middle market companies. Mezzanine debt is typically unsecured and subordinated to senior debt of the portfolio company.</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While our primary focus is to generate current income and capital appreciation from our debt and equity investments in middle market companies, we may invest up to 30.0% of our portfolio in opportunistic investments in order to seek to enhance returns to stockholders. Such investments may include investments in distressed debt, including securities of companies in bankruptcy, foreign debt, private equity, securities of public companies that are not thinly traded and structured finance vehicles such as collateralized loan obligation funds.</w:t>
      </w:r>
    </w:p>
    <w:p>
      <w:pPr>
        <w:spacing w:after="0" w:line="18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As of February 28, 2014, we had total assets of $219.2 million and investments in 37 portfolio companies and an additional investment in the subordinated notes of one collateralized loan obligation fund, Saratoga Investment Corp. CLO 2013-1, Ltd. (“Saratoga CLO”), which investment had a fair value of $19.6 million as of February 28, 2014. The overall portfolio composition as of February 28, 2014 consisted of 15.7% of middle market loans, 39.0% of first lien term loans, 13.5% of second lien term loans, 14.6% of senior secured notes, 2.7% of unsecured notes, 9.5% of subordinated notes of Saratoga CLO and 5.0% of common equity. As of February 28, 2014 the weighted average yield on all of our debt investments, including our investment in the subordinated notes of Saratoga CLO, was approximately 11.8%. As of February 28, 2014, approximately 99% of our first lien debt investments were fully collateralized in the sense that the portfolio companies in which we held such investments had an enterprise value or our investment had an asset coverage equal to or greater than the principal amount of the related debt investment. Our investment in the subordinated notes of Saratoga CLO represents a first loss position in a portfolio that, at February 28, 2014, was composed of $301.3 million in aggregate principal amount of predominantly senior secured first lien term loans. A first loss position means that we will suffer the first economic losses if losses are incurred on loans held by the Saratoga CLO. As a result, this investment is subject to unique risks. See Part I, Item 1A. “Risk Factors—Our investment in Saratoga CLO constitutes a leveraged investment in a portfolio of predominantly senior secured first lien term loans and is subject to additional risks and volatility.”</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an externally managed, closed-end, non-diversified management investment company that has elected to be regulated as a business development company (“BDC”) under the Investment Company Act of 1940 (“1940 Act”). As a BDC, we are required to comply with various regulatory requirements, including limitations on our use of debt. We finance our investments through borrowings. However, as a BDC, we are only generally allowed to borrow amounts such that our asset coverage, as defined in the 1940 Act, equals at least 200.0% after such borrowing. Pursuant to the 200.0% asset coverage ratio limitation, we are permitted to borrow one dollar to make investments for every dollar we have in assets less all liabilities and indebtedness not represented by preferred stock or debt securities issued by us or loans obtained by us so that for every one dollar of outstanding indebtness we have two dollars of assets.</w:t>
      </w:r>
    </w:p>
    <w:p>
      <w:pPr>
        <w:spacing w:after="0" w:line="18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have elected to be treated for U.S. federal income tax purposes as a regulated investment company (“RIC”), under Subchapter M of the Internal Revenue Code of 1986 (the “Code”). As a RIC, we generally will not have to pay corporate-level federal income taxes on any net ordinary income or capital gains that we distribute to our stockholders if we meet certain source-of-income, distribution and asset diversification requirements.</w:t>
      </w:r>
    </w:p>
    <w:p>
      <w:pPr>
        <w:spacing w:after="0" w:line="166"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In addition, we have a wholly-owned subsidiary that is licensed as a small business investment company (“SBIC”) and regulated by the Small Business Administration (“SBA”). See “Item 1. Business—Regulation—Small Business Investment Company Regulations.” The SBIC license allows us, through our wholly-owned subsidiary, to issue SBA-guaranteed debentures. We received exemptive relief from the Securities and Exchange Commission (“SEC”) to permit us to exclude the debt of our SBIC subsidiary guaranteed by the SBA from the 200.0% asset coverage ratio we are required to maintain under the 1940 Act. This allows us increased flexibility under the 200.0% asset coverage test by permitting us to borrow up to $150.0 million more than we would otherwise be able to absent the receipt of this exemptive relief.</w:t>
      </w:r>
    </w:p>
    <w:p>
      <w:pPr>
        <w:sectPr>
          <w:pgSz w:w="11900" w:h="16838" w:orient="portrait"/>
          <w:cols w:equalWidth="0" w:num="1">
            <w:col w:w="11460"/>
          </w:cols>
          <w:pgMar w:left="240" w:top="108" w:right="199" w:bottom="111" w:gutter="0" w:footer="0" w:header="0"/>
        </w:sectPr>
      </w:pP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08" w:right="199" w:bottom="111" w:gutter="0" w:footer="0" w:header="0"/>
          <w:type w:val="continuous"/>
        </w:sectPr>
      </w:pPr>
    </w:p>
    <w:bookmarkStart w:id="3" w:name="page4"/>
    <w:bookmarkEnd w:id="3"/>
    <w:p>
      <w:pPr>
        <w:spacing w:after="0" w:line="3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Information</w:t>
      </w:r>
    </w:p>
    <w:p>
      <w:pPr>
        <w:spacing w:after="0" w:line="22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we engaged Saratoga Investment Advisors (“SIA”) to replace GSCP (NJ), L.P. as our investment adviser and changed our name to Saratoga Investment Corp.</w:t>
      </w:r>
    </w:p>
    <w:p>
      <w:pPr>
        <w:spacing w:after="0" w:line="17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recapitalization transaction consisted of (i) the private sale of 986,842 shares of our common stock for $15.0 million in aggregate purchase price to Saratoga Investment Advisors and certain of its affiliates and (ii) the entry into a $40.0 million senior secured revolving credit facility with Madison Capital Funding LLC (the “Credit Facility”). We used the net proceeds from the private sale of shares of our common stock and a portion of the funds available to us under the Credit Facility to pay the full amount of principal and accrued interest, including default interest, outstanding under our revolving securitized credit facility with Deutsche Bank AG, New York Branch. Specifically, in July 2009, we had exceeded permissible borrowing limits under the revolving securitized credit facility with Deutsche Bank, which resulted in an event of default under the revolving securitized credit facility. As a result of the event of default, Deutsche Bank had the right to accelerate repayment of the outstanding indebtedness under the revolving securitized credit facility and to foreclose and liquidate the collateral pledged under the revolving securitized credit facility. The revolving securitized credit facility with Deutsche Bank was terminated in connection with our payment of all amounts outstanding thereunder on July 30, 2010. In January 2011, we registered for public resale by Saratoga Investment Advisors and certain of its affiliates the 986,842 shares of our common stock issued to them in the recapitalization.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28, 2012, our wholly-owned subsidiary, Saratoga Investment Corp. SBIC, LP, received an SBIC license from the SBA.</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corporate offices are located at 535 Madison Avenue, New York, New York 10022. Our telephone number is (212) 906-7800. We maintain a website on the Internet at www.saratogainvestmentcorp.com. Information contained on our website is not incorporated by reference into this Annual Report, and you should not consider that information to be part of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Saratoga Investment Advisors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investment adviser was formed in 2010 as a Delaware limited liability company and became our investment adviser in July 2010. Our investment adviser is led by four principals, Christian L. Oberbeck, Michael J. Grisius, Thomas V. Inglesby, and Charles G. Phillips, with 26, 24, 27 and 17 years of experience in leveraged finance, respectively. Our investment adviser is affiliated with Saratoga Partners, a middle market private equity investment firm. Saratoga Partners was established in 1984 to be the middle market private investment arm of Dillon Read &amp; Co. Inc. and has been independent of Dillon Read since 1998. Saratoga Partners has a 28-year history of private investments in middle market companies and focuses on public and private equity, preferred stock, and senior and mezzanine debt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Relationship with Saratoga Investment Advisors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utilize the personnel, infrastructure, relationships and experience of Saratoga Investment Advisors to enhance the growth of our business. We currently have no employees and each of our executive officers is also an officer of Saratoga Investment Advisors.</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have entered into an investment advisory and management agreement (the “Management Agreement”) with Saratoga Investment Advisors. Pursuant to the 1940 Act, the initial term of the Management Agreement was for two years from its effective date of July 30, 2010, with automatic, one-year renewals, subject to approval by our board of directors, a majority of whom must be our independent directors. On July 15, 2013, our board of directors approved the renewal of the Management Agreement for an additional one-year term at an in-person meeting. Pursuant to the Management Agreement, Saratoga Investment Advisors implements our business strategy on a day-to-day basis and performs certain services for us under the direction of our board of directors. Saratoga Investment Advisors is responsible for, among other duties, performing all of our day-to-day functions, determining investment criteria, sourcing, analyzing and executing investments, asset sales, financings and performing asset management duties.</w:t>
      </w:r>
    </w:p>
    <w:p>
      <w:pPr>
        <w:spacing w:after="0" w:line="16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Saratoga Investment Advisors has formed an investment committee to advise and consult with its senior management team with respect to our investment policies, investment portfolio holdings, financing and leveraging strategies and investment guidelines. We believe that the collective experience of the investment committee members across a variety of fixed income asset classes will benefit us. The investment committee must unanimously approve all investments in excess of $1.0 million made by us. In addition, all sales of our investments must be approved by all four of our investment committee members. The current members of the investment committee are Messrs. Oberbeck, Grisius, Inglesby, and Phillips.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pay Saratoga Investment Advisors a fee for investment advisory and management services consisting of two components—a base management fee and an incentive fee. The base management fee is calculated at an annual rate of 1.75% of our gross assets which includes assets purchased with borrowed funds but excludes cash and cash equivalents. As a result, Saratoga Investment Advisors will benefit as we incur debt or use leverage to purchase assets. Our board of directors will monitor the conflicts presented by this compensation structure by approving the amount of leverage that we may incur.</w:t>
      </w:r>
    </w:p>
    <w:p>
      <w:pPr>
        <w:spacing w:after="0" w:line="154"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In addition to the base management fee, we pay Saratoga Investment Advisors an incentive fee which consists of two parts. First, we pay Saratoga Investment Advisors an incentive fee with respect to our pre-incentive fee net investment income in each calendar quarter as follows:</w:t>
      </w:r>
    </w:p>
    <w:p>
      <w:pPr>
        <w:spacing w:after="0" w:line="147" w:lineRule="exact"/>
        <w:rPr>
          <w:sz w:val="20"/>
          <w:szCs w:val="20"/>
          <w:color w:val="auto"/>
        </w:rPr>
      </w:pPr>
    </w:p>
    <w:p>
      <w:pPr>
        <w:ind w:left="980" w:right="2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income does not exceed a fixed “hurdle rate” of 1.875% per quarter (7.5% annualized); and</w:t>
      </w:r>
    </w:p>
    <w:p>
      <w:pPr>
        <w:spacing w:after="0" w:line="170" w:lineRule="exact"/>
        <w:rPr>
          <w:rFonts w:ascii="Arial" w:cs="Arial" w:eastAsia="Arial" w:hAnsi="Arial"/>
          <w:sz w:val="18"/>
          <w:szCs w:val="18"/>
          <w:color w:val="auto"/>
        </w:rPr>
      </w:pPr>
    </w:p>
    <w:p>
      <w:pPr>
        <w:ind w:left="980" w:hanging="324"/>
        <w:spacing w:after="0" w:line="302"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color w:val="auto"/>
        </w:rPr>
        <w:t>100.0% of our pre-incentive fee net investment income with respect to that portion of such pre-incentive fee net investment income, if any, that exceeds the hurdle rate but is less than or equal to 2.344% in any fiscal quarter (9.376% annualized) is payable to the investment adviser. We refer to this portion of our pre-incentive fee net investment income (which exceeds the hurdle rate but is less than or equal to 2.344%) as the “catch-up.” The “catch-up” provision is intended to provide our investment adviser with an incentive fee of 20.0% on all of our pre-incentive fee</w:t>
      </w:r>
    </w:p>
    <w:p>
      <w:pPr>
        <w:sectPr>
          <w:pgSz w:w="11900" w:h="16877" w:orient="portrait"/>
          <w:cols w:equalWidth="0" w:num="1">
            <w:col w:w="11420"/>
          </w:cols>
          <w:pgMar w:left="240" w:top="125" w:right="239" w:bottom="0" w:gutter="0" w:footer="0" w:header="0"/>
        </w:sectPr>
      </w:pPr>
    </w:p>
    <w:bookmarkStart w:id="4" w:name="page5"/>
    <w:bookmarkEnd w:id="4"/>
    <w:p>
      <w:pPr>
        <w:spacing w:after="0" w:line="69"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net investment income as if a hurdle rate did not apply when our pre-incentive fee net investment income exceeds 2.344% in any fiscal quarter. Notwithstanding the foregoing, with respect to any period ending on or prior to December 31, 2010, our investment adviser was only entitled to 20.0% of the amount of our pre-incentive fee net investment income, if any, that exceeded 1.875% in any fiscal quarter (7.5% annualized) without any catch-up provision; and</w:t>
      </w:r>
    </w:p>
    <w:p>
      <w:pPr>
        <w:spacing w:after="0" w:line="187" w:lineRule="exact"/>
        <w:rPr>
          <w:sz w:val="20"/>
          <w:szCs w:val="20"/>
          <w:color w:val="auto"/>
        </w:rPr>
      </w:pPr>
    </w:p>
    <w:p>
      <w:pPr>
        <w:ind w:left="980" w:right="6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2.344% in any fiscal quarter (9.376% annualized) is payable to the investment adviser (once the hurdle is reached and the catch-up is achieved, 20.0% of all pre-incentive fee net investment income thereafter is allocated to the investment adviser).</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Pre-incentive fee net investment income means interest income, dividend income and other income (including any other fees, such as commitment, origination, structuring, diligence, managerial and consulting fees or other fees that we receive from portfolio companies) earned during the calendar quarter, minus our operating expenses for the quarter.</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fiscal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have also entered into a separate administration agreement with Saratoga Investment Advisors pursuant to which Saratoga Investment Advisors furnishes us with office facilities, equipment and clerical, bookkeeping and record keeping services. The administration agreement has an initial term of two years from its effective date of July 30, 2010, with automatic one-year renewals, subject to approval by our board of directors, a majority of whom must be our independent directors. On July 15, 2013, our board of directors approved the renewal of the Administration Agreement for an additional one-year term and determined to maintain the cap on the payment or reimbursement of expenses by us thereunder to $1.0 million for the additional one-year term. Under the administration agreement, Saratoga Investment Advisors also performs, or oversees the performance of our required administrative services, which include, among other things, being responsible for the financial records which we are required to maintain, preparing reports for our stockholders and reports required to be filed with the SEC. Payments under the administration agreement will be equal to an amount based upon the allocable portion of Saratoga Investment Advisors’ overhead in performing its obligations under the administration agreement, including rent and the allocable portion of the cost of our officers and their respective staffs relating to the performance of services under the administration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portfolio is comprised primarily of investments in leveraged loans (both first and second lien term loans) issued by middle market companies. Investments in middle market companies are generally less liquid than equivalent investments in companies with larger capitalizations. These investments are sourced in both the primary and secondary markets through a network of relationships with commercial and investment banks, commercial finance companies and financial sponsors. The leveraged loans that we purchase are generally used to finance buyouts, acquisitions, growth, recapitalizations and other types of transactions. Leveraged loans are generally senior debt instruments that rank ahead of subordinated debt of the portfolio company. Leveraged loans also have the benefit of security interests on the assets of the portfolio company, which may rank ahead of, or be junior to, other security interests. For a discussion of the risks pertaining to our secured investments, see Part I, Item 1A. “Risk Factors—Our investments may be risky, and you could lose all or part of your investment.”</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part of our long-term strategy, we also purchase mezzanine debt and make equity investments in middle market companies. Mezzanine debt is typically unsecured and subordinated to senior debt of the portfolio company. See Part I, Item 1A. “Risk Factors—If we make unsecured debt investments, we may lack adequate protection in the event our portfolio companies become distressed or insolvent and will likely experience a lower recovery than more senior debtholders in the event our portfolio companies defaults on their indebtedness.”</w:t>
      </w:r>
    </w:p>
    <w:p>
      <w:pPr>
        <w:spacing w:after="0" w:line="18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Substantially all of the debt investments held in our portfolio hold a non-investment grade rating by one or more rating agencies or, if not rated, would be rated below investment grade if rated, which are often referred to as “junk.” As of February 28, 2014, 40.1% of our debt portfolio at fair value consisted of debt securities for which issuers were not required to make principal payments until the maturity of such debt securities, which could result in a substantial loss to us if such issuers are unable to refinance or repay their debt at maturity. In addition, 59.9% of our debt investments at February 28, 2014, had variable interest rates that reset periodically based on benchmarks such as LIBOR and the prime rate. As a result, significant increases in such benchmarks in the future may make it more difficult for these borrowers to service their obligations under the debt investments that we hold.</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BDC, we are required to comply with certain regulatory requirements. For instance, we have to invest at least 70.0% of our total assets in assets of the type listed in section 55(a) of the 1940 Act, including securities of U.S. operating companies whose securities are not listed on a national securities exchange (i.e., New York Stock Exchange, NYSE MKT and The NASDAQ Stock Market), U.S. operating companies with listed securities that have market capitalizations of less than $250.0 million, cash, cash equivalents, U.S. government securities and high-quality debt investments that mature in one year or less, which we refer to as “qualifying assets”.</w:t>
      </w:r>
    </w:p>
    <w:p>
      <w:pPr>
        <w:spacing w:after="0" w:line="188"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While our primary focus is to generate current income and capital appreciation from our debt and equity investments in middle market companies, we may invest up to 30.0% of the portfolio in opportunistic investments in order to seek to enhance returns to stockholders. Such investments may include investments in distressed debt, private equity, securities of public companies that are not thinly traded and structured finance vehicles such as collateralized loan obligation funds.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Leveraged loans</w:t>
      </w:r>
    </w:p>
    <w:p>
      <w:pPr>
        <w:spacing w:after="0" w:line="22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Our leveraged loan portfolio is comprised primarily of first lien and second lien term loans. First lien term loans are secured by a first priority perfected security interest on all or substantially all of the assets of the borrower and typically include a first priority pledge of the capital stock of the</w:t>
      </w:r>
    </w:p>
    <w:p>
      <w:pPr>
        <w:sectPr>
          <w:pgSz w:w="11900" w:h="16908" w:orient="portrait"/>
          <w:cols w:equalWidth="0" w:num="1">
            <w:col w:w="11420"/>
          </w:cols>
          <w:pgMar w:left="240" w:top="125" w:right="239" w:bottom="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t>borrower. First lien term loans hold a first priority with regard to right of payment. Generally, first lien term loans offer floating rate interest payments, have a stated maturity of five to seven years, and have a fixed amortization schedule. First lien term loans generally have restrictive financial and negative covenants. Second lien term loans are secured by a second priority perfected security interest on all or substantially all of the assets of the borrower and typically include a second priority pledge of the capital stock of the borrower. Second lien term loans hold a second priority with regard to right of payment. Second lien term loans offer either floating rate or fixed rate interest payments, generally have a stated maturity of five to eight years, and may or may not have a fixed amortization schedule. Second lien term loans that do not have fixed amortization schedules require payment of the principal amount of the loan upon the maturity date of the loan. Second lien term loans have less restrictive financial and negative covenants than those that govern first lien term loans.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Mezzanine debt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Mezzanine debt usually ranks subordinate in priority of payment to senior debt and is often unsecured. However, mezzanine debt ranks senior to common and preferred equity in a borrowers’ capital structure. Mezzanine debt typically has fixed rate interest payments and a stated maturity of six to eight years and does not have fixed amortization schedules.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some cases, our debt investments may provide for a portion of the interest payable to be paid-in-kind interest (“PIK”). To the extent interest is paid-in-kind, it will be payable through the increase of the principal amount of the obligation by the amount of interest due on the then-outstanding aggregate principal amount of such obligation.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Equity investments may consist of preferred equity that is expected to pay dividends on a current basis or preferred equity that does not pay current dividends. Preferred equity generally has a preference over common equity as to distributions on liquidation and dividends. In some cases, we may acquire common equity. In general, our equity investments are not control-oriented investments and we expect that in many cases we will acquire equity securities as part of a group of private equity investors in which we are not the lead investor.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Opportunistic Investments</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Opportunistic investments may include investments in distressed debt, which may include securities of companies in bankruptcy, debt and equity securities of public companies that are not thinly traded, emerging market debt, structured finance vehicles such as collateralized loan obligation funds and debt of middle market companies located outside the United States.</w:t>
      </w:r>
    </w:p>
    <w:p>
      <w:pPr>
        <w:spacing w:after="0" w:line="18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January 2008, we purchased for $30.0 million all of the outstanding subordinated notes of Saratoga CLO, a collateralized loan obligation fund managed by us that invests primarily in leveraged loans. As of February 28, 2014, the Saratoga CLO portfolio consisted of $301.3 million in aggregate principal amount of primarily senior secured first lien term loans to 148 obligors with an average obligor exposure of $2.0 million and $8.0 million in uninvested cash. The weighted average maturity of the portfolio is 4.5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Prospective portfolio company characteristics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 adviser generally selects portfolio companies with one or more of the following characteristics:</w:t>
      </w:r>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history of generating stable earnings and strong free cash flow;</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well-constructed balance sheets, including an established tangible liquidation value;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reasonable debt-to-cash flow multiples;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leadership with competitive advantages and sustainable market shares in attractive sectors;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structures that provide appropriate terms and reasonable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selection</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managing us, Saratoga Investment Advisors employs the same investment philosophy and portfolio management methodologies used by Saratoga Partners. Through this investment selection process, based on quantitative and qualitative analysis, Saratoga Investment Advisors seeks to identify portfolio companies with superior fundamental risk-reward profiles and strong, defensible business franchises with the goal of minimizing principal losses while maximizing risk-adjusted returns. Saratoga Investment Advisors’ investment process emphasizes the following:</w:t>
      </w:r>
    </w:p>
    <w:p>
      <w:pPr>
        <w:spacing w:after="0" w:line="171"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bottoms-up, company-specific research and analysis;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preservation, low volatility and minimization of downside risk; and</w:t>
      </w:r>
    </w:p>
    <w:p>
      <w:pPr>
        <w:spacing w:after="0" w:line="225" w:lineRule="exact"/>
        <w:rPr>
          <w:rFonts w:ascii="Arial" w:cs="Arial" w:eastAsia="Arial" w:hAnsi="Arial"/>
          <w:sz w:val="18"/>
          <w:szCs w:val="18"/>
          <w:color w:val="auto"/>
        </w:rPr>
      </w:pPr>
    </w:p>
    <w:p>
      <w:pPr>
        <w:ind w:left="660" w:right="2860" w:hanging="4"/>
        <w:spacing w:after="0" w:line="501" w:lineRule="auto"/>
        <w:tabs>
          <w:tab w:leader="none" w:pos="9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investing with experienced management teams that hold meaningful equity ownership in their businesses. Our investment adviser’s investment process generally includes the following steps:</w:t>
      </w:r>
    </w:p>
    <w:p>
      <w:pPr>
        <w:ind w:left="980" w:right="340" w:hanging="324"/>
        <w:spacing w:after="0" w:line="312" w:lineRule="auto"/>
        <w:tabs>
          <w:tab w:leader="none" w:pos="94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Initial screening. A brief analysis identifies the investment opportunity and reviews the merits of the transaction. The initial screening memorandum provides a brief description of the company, its industry, competitive position, capital structure, financials, equity sponsor and deal economics. If the deal is determined to be attractive by the senior members of the deal team, the opportunity is fully analyzed.</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analysis. A full analysis includes:</w:t>
      </w:r>
    </w:p>
    <w:p>
      <w:pPr>
        <w:spacing w:after="0" w:line="225" w:lineRule="exact"/>
        <w:rPr>
          <w:rFonts w:ascii="Arial" w:cs="Arial" w:eastAsia="Arial" w:hAnsi="Arial"/>
          <w:sz w:val="18"/>
          <w:szCs w:val="18"/>
          <w:color w:val="auto"/>
        </w:rPr>
      </w:pPr>
    </w:p>
    <w:p>
      <w:pPr>
        <w:ind w:left="1620" w:right="40" w:hanging="315"/>
        <w:spacing w:after="0" w:line="264" w:lineRule="auto"/>
        <w:tabs>
          <w:tab w:leader="none" w:pos="1584" w:val="left"/>
        </w:tabs>
        <w:numPr>
          <w:ilvl w:val="2"/>
          <w:numId w:val="7"/>
        </w:numPr>
        <w:rPr>
          <w:rFonts w:ascii="Arial" w:cs="Arial" w:eastAsia="Arial" w:hAnsi="Arial"/>
          <w:sz w:val="18"/>
          <w:szCs w:val="18"/>
          <w:color w:val="auto"/>
        </w:rPr>
      </w:pPr>
      <w:r>
        <w:rPr>
          <w:rFonts w:ascii="Arial" w:cs="Arial" w:eastAsia="Arial" w:hAnsi="Arial"/>
          <w:sz w:val="18"/>
          <w:szCs w:val="18"/>
          <w:color w:val="auto"/>
        </w:rPr>
        <w:t>Business and Industry analysis—a review of the company’s business position, competitive dynamics within its industry, cost and growth drivers and technological and geographic factors. Business and industry research often includes meetings with industry experts, consultants, other investors, customers and competitors.</w:t>
      </w:r>
    </w:p>
    <w:p>
      <w:pPr>
        <w:spacing w:after="0" w:line="181" w:lineRule="exact"/>
        <w:rPr>
          <w:rFonts w:ascii="Arial" w:cs="Arial" w:eastAsia="Arial" w:hAnsi="Arial"/>
          <w:sz w:val="18"/>
          <w:szCs w:val="18"/>
          <w:color w:val="auto"/>
        </w:rPr>
      </w:pPr>
    </w:p>
    <w:p>
      <w:pPr>
        <w:ind w:left="1620" w:right="200" w:hanging="315"/>
        <w:spacing w:after="0" w:line="264" w:lineRule="auto"/>
        <w:tabs>
          <w:tab w:leader="none" w:pos="1584" w:val="left"/>
        </w:tabs>
        <w:numPr>
          <w:ilvl w:val="2"/>
          <w:numId w:val="7"/>
        </w:numPr>
        <w:rPr>
          <w:rFonts w:ascii="Arial" w:cs="Arial" w:eastAsia="Arial" w:hAnsi="Arial"/>
          <w:sz w:val="18"/>
          <w:szCs w:val="18"/>
          <w:color w:val="auto"/>
        </w:rPr>
      </w:pPr>
      <w:r>
        <w:rPr>
          <w:rFonts w:ascii="Arial" w:cs="Arial" w:eastAsia="Arial" w:hAnsi="Arial"/>
          <w:sz w:val="18"/>
          <w:szCs w:val="18"/>
          <w:color w:val="auto"/>
        </w:rPr>
        <w:t>Company analysis—a review of the company’s historical financial performance, future projections, cash flow characteristics, balance sheet strength, liquidation value, legal, financial and accounting risks, contingent liabilities, market share analysis and growth prospects.</w:t>
      </w:r>
    </w:p>
    <w:p>
      <w:pPr>
        <w:spacing w:after="0" w:line="181" w:lineRule="exact"/>
        <w:rPr>
          <w:rFonts w:ascii="Arial" w:cs="Arial" w:eastAsia="Arial" w:hAnsi="Arial"/>
          <w:sz w:val="18"/>
          <w:szCs w:val="18"/>
          <w:color w:val="auto"/>
        </w:rPr>
      </w:pPr>
    </w:p>
    <w:p>
      <w:pPr>
        <w:ind w:left="1620" w:right="220" w:hanging="315"/>
        <w:spacing w:after="0" w:line="277" w:lineRule="auto"/>
        <w:tabs>
          <w:tab w:leader="none" w:pos="1584" w:val="left"/>
        </w:tabs>
        <w:numPr>
          <w:ilvl w:val="2"/>
          <w:numId w:val="7"/>
        </w:numPr>
        <w:rPr>
          <w:rFonts w:ascii="Arial" w:cs="Arial" w:eastAsia="Arial" w:hAnsi="Arial"/>
          <w:sz w:val="18"/>
          <w:szCs w:val="18"/>
          <w:color w:val="auto"/>
        </w:rPr>
      </w:pPr>
      <w:r>
        <w:rPr>
          <w:rFonts w:ascii="Arial" w:cs="Arial" w:eastAsia="Arial" w:hAnsi="Arial"/>
          <w:sz w:val="18"/>
          <w:szCs w:val="18"/>
          <w:color w:val="auto"/>
        </w:rPr>
        <w:t>Structural/security analysis—a thorough legal document analysis including but not limited to an assessment of financial and negative covenants, events of default, enforceability of liens and voting rights.</w:t>
      </w:r>
    </w:p>
    <w:p>
      <w:pPr>
        <w:spacing w:after="0" w:line="170" w:lineRule="exact"/>
        <w:rPr>
          <w:rFonts w:ascii="Arial" w:cs="Arial" w:eastAsia="Arial" w:hAnsi="Arial"/>
          <w:sz w:val="18"/>
          <w:szCs w:val="18"/>
          <w:color w:val="auto"/>
        </w:rPr>
      </w:pPr>
    </w:p>
    <w:p>
      <w:pPr>
        <w:ind w:left="980" w:right="100" w:hanging="324"/>
        <w:spacing w:after="0" w:line="259"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the investment committee. The investment is then presented to the investment committee for approval. The investment committee must unanimously approve all investments in excess of $1 million made by us. In addition, all sales of our investments must be approved by all four of our investment committee members. The members of our investment committee are Christian L. Oberbeck, Michael J. Grisius, Thomas V. Inglesby, and Charles G. Phillips.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 general, our Investment Adviser intends to select investments with financial covenants and terms that reduce leverage over time, thereby enhancing credit quality. These methods include:</w:t>
      </w:r>
    </w:p>
    <w:p>
      <w:pPr>
        <w:spacing w:after="0" w:line="170"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maintenance leverage covenants requiring a decreasing ratio of debt to cash flow;</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maintenance cash flow covenants requiring an increasing ratio of cash flow to the sum of interest expense and capital expenditures;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incurrence prohibitions, limiting a company’s ability to re-lever.</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addition, limitations on asset sales and capital expenditures should prevent a company from changing the nature of its business or capitalization without our consent.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 adviser seeks, where appropriate, to limit the downside potential of our investments by:</w:t>
      </w:r>
    </w:p>
    <w:p>
      <w:pPr>
        <w:spacing w:after="0" w:line="225"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companies to use a portion of their excess cash flow to repay debt;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selecting investments with covenants that incorporate call protection as part of the investment structure; and</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selecting investments with affirmative and negative covenants, default penalties, lien protection, change of control provisions and board rights, including either observation or participation rights.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Valuation process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carry our investments at fair value in accordance with the Financial Accounting Standards Board (“FASB”) Accounting Standards Codification (“ASC”) Topic 820, Fair Value Measurements and Disclosures (“ASC 820”), as approved in good faith using written policies and procedures adopted by our board of directors. Investments for which market quotations are readily available are recorded in our financial statements at such market quotations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Advisors, our audit committee and an independent valuation firm engaged by our board of directors that independently values approximately one quarter of these valuations each quarter. Determinations of fair value may involve subjective judgments and estimates. The types of factors that may be considered in determining the fair value of our investments include the nature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realizable value of any collateral, the portfolio company’s ability to make payments, the markets in which the portfolio company does business, market yield trend analysis, comparison to publicly traded companies, discounted cash flow and other relevant factors.</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investment in the subordinated notes of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similar collateralized loan obligation fund subordinated notes or equity, when available. Specifically, we use Intex cash flow models, or an appropriate substitute, to form the basis for Saratoga CLO’s valuation. The Intex cash flow models use a set of assumptions including projected default rates, recovery rates, reinvestment rate and prepayment rates in order to arrive at estimated cash flows. The assumptions are based on available market data and projections provided by third parties as well as management estimates. We use the output from the Intex models (i.e., the estimated cash flows from our investment in Saratoga CLO) to perform a discounted cash flows analysis on expected future cash flows from our investment in Saratoga CLO to determine a valuation for the subordinated notes of Saratoga CLO held by us.</w:t>
      </w:r>
    </w:p>
    <w:p>
      <w:pPr>
        <w:spacing w:after="0" w:line="16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ectPr>
          <w:pgSz w:w="11900" w:h="16888" w:orient="portrait"/>
          <w:cols w:equalWidth="0" w:num="1">
            <w:col w:w="11400"/>
          </w:cols>
          <w:pgMar w:left="240" w:top="368" w:right="259" w:bottom="0" w:gutter="0" w:footer="0" w:header="0"/>
        </w:sectPr>
      </w:pPr>
    </w:p>
    <w:bookmarkStart w:id="7" w:name="page8"/>
    <w:bookmarkEnd w:id="7"/>
    <w:p>
      <w:pPr>
        <w:ind w:left="980" w:right="52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independently values at least one quarter of our investments each quarter so that the valuation of each investment for which market quotes are not readily available is independently valued by an independent valuation firm at least annually.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225" w:lineRule="exact"/>
        <w:rPr>
          <w:sz w:val="20"/>
          <w:szCs w:val="20"/>
          <w:color w:val="auto"/>
        </w:rPr>
      </w:pPr>
    </w:p>
    <w:p>
      <w:pPr>
        <w:ind w:left="980" w:right="160" w:hanging="324"/>
        <w:spacing w:after="0" w:line="308"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our investment adviser and independent valuation firm (if applicable) will supplement the preliminary valuation to reflect any comments provided by the audit committee; and</w:t>
      </w:r>
    </w:p>
    <w:p>
      <w:pPr>
        <w:spacing w:after="0" w:line="146" w:lineRule="exact"/>
        <w:rPr>
          <w:rFonts w:ascii="Arial" w:cs="Arial" w:eastAsia="Arial" w:hAnsi="Arial"/>
          <w:sz w:val="17"/>
          <w:szCs w:val="17"/>
          <w:color w:val="auto"/>
        </w:rPr>
      </w:pPr>
    </w:p>
    <w:p>
      <w:pPr>
        <w:ind w:left="980" w:right="10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investment adviser, independent valuation firm (if applicable) and audit committee.</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Ongoing relationships with and monitoring of portfolio companies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Saratoga Investment Advisors will closely monitor each investment we make and, when appropriate, will conduct a regular dialogue with both the management team and other debtholders and seek specifically tailored financial reporting. In addition, in certain circumstances, senior investment professionals of Saratoga Investment Advisors may take board seats or board observation seats.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distributions, if any, will be determined by our board of directors and paid out of assets legally available for distribution. Any such distributions generally will be taxable to our stockholders, including to those stockholders who receive additional shares of our common stock pursuant to our dividend reinvestment plan. Prior to January 2009, we paid quarterly dividends to our stockholders. However, in January 2009, we suspended the practice of paying quarterly dividends to our stockholders and have only paid five dividend distributions (December 2013, 2012, 2011, 2010 and 2009) to our stockholders since such time, which distributions were made with a combination of cash and the issuance of shares of our common stock as discussed more fully below.</w:t>
      </w:r>
    </w:p>
    <w:p>
      <w:pPr>
        <w:spacing w:after="0" w:line="158"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In order to maintain our qualification as a RIC, we must for each fiscal year distribute an amount equal to at least 90.0% of our ordinary net taxable income and realized net short-term capital gains in excess of realized net long-term capital losses, if any, reduced by deductible expenses. In addition, we will be subject to federal excise taxes to the extent we do not distribute during the calendar year at least (1) 98.0% of our ordinary income for the calendar year,</w:t>
      </w:r>
    </w:p>
    <w:p>
      <w:pPr>
        <w:ind w:right="80" w:firstLine="8"/>
        <w:spacing w:after="0" w:line="271"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98.2% of our capital gains in excess of capital losses for the one year period ending on October 31 of the calendar year and (3) any ordinary income and net capital gains for preceding years that were not distributed during such years and on which we paid no federal income tax. For the 2013 calendar year, we made distributions sufficient such that we did not incur any federal excise taxes. We may elect to withhold from distribution a portion of our ordinary income for the 2014 calendar year and/or portion of the capital gains in excess of capital losses realized during the one year period ending October 31, 2014, if any, and, if we do so, we would expect to incur federal excise taxes as a result.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8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issued private rulings indicating that this rule will apply even where the total amount of cash that may be distributed is limited to no more than 20.0% of the total distribution. Under these rulings, if too many stockholders elect to receive their distributions in cash, each such stockholder would receive a pro rata share of the total cash to be distributed and would receive the remainder of their distribution in shares of stock. If we decide to make any distributions consistent with these rulings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United States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primary competitors in providing financing to private middle market companies include public and private investment funds (including private equity funds, mezzanine funds, BDCs and SBICs), commercial and investment banks and commercial financing companies. Many of our competitors are substantially larger and have considerably greater financial and marketing resources than us. For example, some competitors may have access to funding sources that are not available to us. In addition, some of our competitors may have higher risk tolerances or different risk assessments, which may allow them to consider a wider variety of investments. Furthermore, many of our competitors are not subject to the regulatory restrictions that the 1940 Act imposes on us</w:t>
      </w:r>
    </w:p>
    <w:p>
      <w:pPr>
        <w:sectPr>
          <w:pgSz w:w="11900" w:h="16838" w:orient="portrait"/>
          <w:cols w:equalWidth="0" w:num="1">
            <w:col w:w="11420"/>
          </w:cols>
          <w:pgMar w:left="240" w:top="341" w:right="239" w:bottom="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as a BDC. For additional information concerning the competitive risks we face, please see Part I, Item 1A, “Risk Factors—We operate in a highly competitive market for investment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do not currently have any employees and do not expect to have any employees in the future. Services necessary for our business are provided by individuals who are employees of Saratoga Investment Advisors, pursuant to the terms of the Management Agreement and the administration agreement. For a discussion of the Management Agreement, see “Business—Investment Advisory and Management Agreement” below. We reimburse Saratoga Investment Advisors for our allocable portion of expenses incurred by it in performing its obligations under the administration agreement, including rent and our allocable portion of the cost of our officers and their respective staffs, subject to certain limitations. For a discussion of the administration agreement, see “Business—Administration Agreement”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and Management Agreement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Saratoga Investment Advisors serves as our investment adviser. Our investment adviser was formed in 2010 as a Delaware limited liability company and became our investment advisor in July 2010. Subject to the overall supervision of our board of directors, Saratoga Investment Advisors manages our day-to-day operations and provides investment advisory and management services to us. Under the terms of the Management Agreement, Saratoga Investment Advisors:</w:t>
      </w:r>
    </w:p>
    <w:p>
      <w:pPr>
        <w:spacing w:after="0" w:line="187"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248" w:lineRule="exact"/>
        <w:rPr>
          <w:rFonts w:ascii="Arial" w:cs="Arial" w:eastAsia="Arial" w:hAnsi="Arial"/>
          <w:sz w:val="16"/>
          <w:szCs w:val="16"/>
          <w:color w:val="auto"/>
        </w:rPr>
      </w:pPr>
    </w:p>
    <w:p>
      <w:pPr>
        <w:ind w:left="980" w:right="26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determines the securities and other assets that we purchase, retain or sell.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Saratoga Investment Advisors services under the Management Agreement are not exclusive, and it is free to furnish similar services to other entities.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 Fee and Incentive Fee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Management Agreement with Saratoga Investment Advisors, we pay Saratoga Investment Advisors a fee for investment advisory and management services consisting of two components—a base management fee and an incentive fee.</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base management fee is paid quarterly in arrears, and equals 1.75% per annum of our gross assets (other than cash or cash equivalents but including assets purchased with borrowed funds) and calculated at the end of each fiscal quarter based on the average value of our gross assets (other than cash or cash equivalents but including assets purchased with borrowed funds) as of the end of such fiscal quarter and the end of the immediate prior fiscal quarter. Base management fees for any partial month or quarter are appropriately pro-rated.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incentive fee has the following two parts:</w:t>
      </w:r>
    </w:p>
    <w:p>
      <w:pPr>
        <w:spacing w:after="0" w:line="225" w:lineRule="exact"/>
        <w:rPr>
          <w:sz w:val="20"/>
          <w:szCs w:val="20"/>
          <w:color w:val="auto"/>
        </w:rPr>
      </w:pPr>
    </w:p>
    <w:p>
      <w:pPr>
        <w:ind w:left="660" w:right="40" w:firstLine="648"/>
        <w:spacing w:after="0" w:line="269" w:lineRule="auto"/>
        <w:rPr>
          <w:sz w:val="20"/>
          <w:szCs w:val="20"/>
          <w:color w:val="auto"/>
        </w:rPr>
      </w:pPr>
      <w:r>
        <w:rPr>
          <w:rFonts w:ascii="Arial" w:cs="Arial" w:eastAsia="Arial" w:hAnsi="Arial"/>
          <w:sz w:val="17"/>
          <w:szCs w:val="17"/>
          <w:color w:val="auto"/>
        </w:rPr>
        <w:t>The first part is calculated and payable quarterly in arrears based on our pre-incentive fee net investment income for the immediately preceding fiscal quarter. Pre-incentive fee net investment income means interest income, dividend income and any other income (including any other fees such as commitment, origination, structuring, diligence, managerial and consulting fees or other fees that we receive from portfolio companies) accrued during the fiscal quarter, minus our operating expenses for the quarter (including the base management fee, expenses payable under the administration agreement, and any interest expense and dividends paid on any issued and outstanding preferred stock or debt security, but excluding the incentive fee). Pre-incentive fee net investment income includes, in the case of investments with a deferred interest feature (such as market discount, debt instruments with payment-in-kind interest, preferred stock with payment-in-kind dividends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(defined as total assets less liabilities) at the end of the immediately preceding fiscal quarter, is compared to a “hurdle rate” of 1.875% per quarter (7.5% annualized), subject to a “catch up” provision. The base management fee is calculated prior to giving effect to the payment of any incentive fees.</w:t>
      </w:r>
    </w:p>
    <w:p>
      <w:pPr>
        <w:spacing w:after="0" w:line="180" w:lineRule="exact"/>
        <w:rPr>
          <w:sz w:val="20"/>
          <w:szCs w:val="20"/>
          <w:color w:val="auto"/>
        </w:rPr>
      </w:pPr>
    </w:p>
    <w:p>
      <w:pPr>
        <w:ind w:left="660" w:firstLine="648"/>
        <w:spacing w:after="0" w:line="269" w:lineRule="auto"/>
        <w:rPr>
          <w:sz w:val="20"/>
          <w:szCs w:val="20"/>
          <w:color w:val="auto"/>
        </w:rPr>
      </w:pPr>
      <w:r>
        <w:rPr>
          <w:rFonts w:ascii="Arial" w:cs="Arial" w:eastAsia="Arial" w:hAnsi="Arial"/>
          <w:sz w:val="17"/>
          <w:szCs w:val="17"/>
          <w:color w:val="auto"/>
        </w:rPr>
        <w:t>We pay Saratoga Investment Advisors an incentive fee with respect to our pre-incentive fee net investment income in each fiscal quarter as follows: (A) no incentive fee in any fiscal quarter in which our pre-incentive fee net investment income does not exceed the hurdle rate; (B) 100.0% of our pre-incentive fee net investment income with respect to that portion of such pre-incentive fee net investment income, if any, that exceeds the hurdle rate but is less than or equal to 2.344% in any fiscal quarter (9.376% annualized) is payable to Saratoga Investment Advisors; and (C) 20.0% of the amount of our pre-incentive fee net investment income, if any, that exceeds 2.344% in any fiscal quarter (9.376% annualized). We refer to the amount specified in clause (B) as the “catch-up.” The “catch-up” provision is intended to provide Saratoga Investment Advisors with an incentive fee of 20.0% on all of our pre-incentive fee net investment income as if a hurdle rate did not apply when our pre-incentive fee net investment income exceeds 2.344% in any fiscal quarter. Notwithstanding the foregoing, with respect to any period ending on or prior to December 31, 2010, Saratoga Investment Advisors was only entitled to 20.0% of the amount of our pre-incentive fee net investment income, if any, that exceeded 1.875% in any fiscal quarter (7.5% annualized) without any catch-up provision. These calculations are appropriately pro-rated when such calculations are applicable for any period of less than three months.</w:t>
      </w:r>
    </w:p>
    <w:p>
      <w:pPr>
        <w:spacing w:after="0" w:line="183" w:lineRule="exact"/>
        <w:rPr>
          <w:sz w:val="20"/>
          <w:szCs w:val="20"/>
          <w:color w:val="auto"/>
        </w:rPr>
      </w:pPr>
    </w:p>
    <w:p>
      <w:pPr>
        <w:ind w:left="660" w:right="260" w:firstLine="648"/>
        <w:spacing w:after="0" w:line="277" w:lineRule="auto"/>
        <w:rPr>
          <w:sz w:val="20"/>
          <w:szCs w:val="20"/>
          <w:color w:val="auto"/>
        </w:rPr>
      </w:pPr>
      <w:r>
        <w:rPr>
          <w:rFonts w:ascii="Arial" w:cs="Arial" w:eastAsia="Arial" w:hAnsi="Arial"/>
          <w:sz w:val="18"/>
          <w:szCs w:val="18"/>
          <w:color w:val="auto"/>
        </w:rPr>
        <w:t>The following is a graphical representation of the calculation of the income- related portion of the incentive fee subsequent to any period ending after December 31, 2010:</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Quarterly Incentive Fee Based on “Pre-Incentive Fee Net Investment Income”</w:t>
      </w:r>
    </w:p>
    <w:p>
      <w:pPr>
        <w:sectPr>
          <w:pgSz w:w="11900" w:h="16838" w:orient="portrait"/>
          <w:cols w:equalWidth="0" w:num="1">
            <w:col w:w="11420"/>
          </w:cols>
          <w:pgMar w:left="240" w:top="125" w:right="239" w:bottom="0" w:gutter="0" w:footer="0" w:header="0"/>
          <w:type w:val="continuous"/>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142875</wp:posOffset>
            </wp:positionV>
            <wp:extent cx="4459605" cy="132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5960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Percentage of Pre-Incentive Fee Net Investment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Income allocated to income-related portion of incentive fee</w:t>
      </w:r>
    </w:p>
    <w:p>
      <w:pPr>
        <w:spacing w:after="0" w:line="211" w:lineRule="exact"/>
        <w:rPr>
          <w:sz w:val="20"/>
          <w:szCs w:val="20"/>
          <w:color w:val="auto"/>
        </w:rPr>
      </w:pPr>
    </w:p>
    <w:p>
      <w:pPr>
        <w:ind w:left="660" w:right="40" w:firstLine="648"/>
        <w:spacing w:after="0" w:line="255" w:lineRule="auto"/>
        <w:rPr>
          <w:sz w:val="20"/>
          <w:szCs w:val="20"/>
          <w:color w:val="auto"/>
        </w:rPr>
      </w:pPr>
      <w:r>
        <w:rPr>
          <w:rFonts w:ascii="Arial" w:cs="Arial" w:eastAsia="Arial" w:hAnsi="Arial"/>
          <w:sz w:val="18"/>
          <w:szCs w:val="18"/>
          <w:color w:val="auto"/>
        </w:rPr>
        <w:t>The second part of the incentive fee, the capital gains fee, is determined and payable in arrears as of the end of each fiscal year (or, upon termination of the Management Agreement), and is calculated at the end of each applicable fiscal year by subtracting (1) the sum of our cumulative aggregate realized capital losses and aggregate unrealized capital depreciation from (2) our cumulative aggregate realized capital gains, in each case calculated from May 31, 2010. If such amount is positive at the end of such year, then the capital gains fee for such year is equal to 20.0% of such amount, less the cumulative aggregate amount of capital gains fees paid in all prior years. If such amount is negative, then there is no capital gains fee for such year.</w:t>
      </w:r>
    </w:p>
    <w:p>
      <w:pPr>
        <w:spacing w:after="0" w:line="193" w:lineRule="exact"/>
        <w:rPr>
          <w:sz w:val="20"/>
          <w:szCs w:val="20"/>
          <w:color w:val="auto"/>
        </w:rPr>
      </w:pPr>
    </w:p>
    <w:p>
      <w:pPr>
        <w:ind w:left="660" w:right="120" w:firstLine="648"/>
        <w:spacing w:after="0" w:line="257" w:lineRule="auto"/>
        <w:rPr>
          <w:sz w:val="20"/>
          <w:szCs w:val="20"/>
          <w:color w:val="auto"/>
        </w:rPr>
      </w:pPr>
      <w:r>
        <w:rPr>
          <w:rFonts w:ascii="Arial" w:cs="Arial" w:eastAsia="Arial" w:hAnsi="Arial"/>
          <w:sz w:val="18"/>
          <w:szCs w:val="18"/>
          <w:color w:val="auto"/>
        </w:rPr>
        <w:t>Under the Management Agreement,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20.0% of net capital gains that arise after May 31, 2010. In addition, the cost basis for computing our realized gains and losses on investments held by us as of May 31, 2010 equals the fair value of such investments as of such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Example 1: Income Related Portion of Incentive Fee(1):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Hurdle rate(2) = 1.875%</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fee(3) = 0.4375%</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expenses (legal, accounting, custodian, transfer agent, etc.)(4) = 0.33%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Alternative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Assumptions</w:t>
      </w:r>
    </w:p>
    <w:p>
      <w:pPr>
        <w:spacing w:after="0" w:line="225"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income (including interest, dividends, fees, etc.) = 1.25%</w:t>
      </w:r>
    </w:p>
    <w:p>
      <w:pPr>
        <w:spacing w:after="0" w:line="225" w:lineRule="exact"/>
        <w:rPr>
          <w:rFonts w:ascii="Arial" w:cs="Arial" w:eastAsia="Arial" w:hAnsi="Arial"/>
          <w:sz w:val="18"/>
          <w:szCs w:val="18"/>
          <w:color w:val="auto"/>
        </w:rPr>
      </w:pPr>
    </w:p>
    <w:p>
      <w:pPr>
        <w:ind w:left="660" w:right="2500" w:hanging="4"/>
        <w:spacing w:after="0" w:line="563" w:lineRule="auto"/>
        <w:tabs>
          <w:tab w:leader="none" w:pos="9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Pre-incentive fee net investment income (investment income–(management fee + other expenses)) = 0.4825% Pre-incentive fee net investment income does not exceed hurdle rate, therefore there is no incentive fee.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Alternative 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Additional Assumptions</w:t>
      </w:r>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income (including interest, dividends, fees, etc.) = 3.0%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Pre-incentive fee net investment income (investment income–(management fee + other expenses)) = 2.2325%</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Pre-incentive fee net investment income exceeds hurdle rate, but does not fully satisfy the “catch-up” provision, therefore the income related portion of the incentive fee is 0.3575%.</w:t>
      </w:r>
    </w:p>
    <w:p>
      <w:pPr>
        <w:spacing w:after="0" w:line="170" w:lineRule="exact"/>
        <w:rPr>
          <w:sz w:val="20"/>
          <w:szCs w:val="20"/>
          <w:color w:val="auto"/>
        </w:rPr>
      </w:pPr>
    </w:p>
    <w:p>
      <w:pPr>
        <w:spacing w:after="0"/>
        <w:tabs>
          <w:tab w:leader="none" w:pos="1780" w:val="left"/>
          <w:tab w:leader="none" w:pos="216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(100.0% × (pre-incentive fee net investment income–1.875%)</w:t>
      </w:r>
    </w:p>
    <w:p>
      <w:pPr>
        <w:spacing w:after="0" w:line="23" w:lineRule="exact"/>
        <w:rPr>
          <w:sz w:val="20"/>
          <w:szCs w:val="20"/>
          <w:color w:val="auto"/>
        </w:rPr>
      </w:pPr>
    </w:p>
    <w:p>
      <w:pPr>
        <w:ind w:left="2180" w:hanging="389"/>
        <w:spacing w:after="0"/>
        <w:tabs>
          <w:tab w:leader="none" w:pos="2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100.0% (2.2325%–1.875%)</w:t>
      </w:r>
    </w:p>
    <w:p>
      <w:pPr>
        <w:spacing w:after="0" w:line="9" w:lineRule="exact"/>
        <w:rPr>
          <w:rFonts w:ascii="Arial" w:cs="Arial" w:eastAsia="Arial" w:hAnsi="Arial"/>
          <w:sz w:val="18"/>
          <w:szCs w:val="18"/>
          <w:color w:val="auto"/>
        </w:rPr>
      </w:pPr>
    </w:p>
    <w:p>
      <w:pPr>
        <w:ind w:left="2180" w:hanging="389"/>
        <w:spacing w:after="0"/>
        <w:tabs>
          <w:tab w:leader="none" w:pos="2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100.0% (0.3575%)</w:t>
      </w:r>
    </w:p>
    <w:p>
      <w:pPr>
        <w:spacing w:after="0" w:line="9" w:lineRule="exact"/>
        <w:rPr>
          <w:rFonts w:ascii="Arial" w:cs="Arial" w:eastAsia="Arial" w:hAnsi="Arial"/>
          <w:sz w:val="18"/>
          <w:szCs w:val="18"/>
          <w:color w:val="auto"/>
        </w:rPr>
      </w:pPr>
    </w:p>
    <w:p>
      <w:pPr>
        <w:ind w:left="2180" w:hanging="389"/>
        <w:spacing w:after="0"/>
        <w:tabs>
          <w:tab w:leader="none" w:pos="2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0.3575%</w:t>
      </w:r>
    </w:p>
    <w:p>
      <w:pPr>
        <w:sectPr>
          <w:pgSz w:w="11900" w:h="16838" w:orient="portrait"/>
          <w:cols w:equalWidth="0" w:num="1">
            <w:col w:w="11360"/>
          </w:cols>
          <w:pgMar w:left="240" w:top="121" w:right="299" w:bottom="204" w:gutter="0" w:footer="0" w:header="0"/>
        </w:sect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204"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7.5% annualized hurdle rate.</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1.75% annualized management fee. For the purposes of this example, we have assumed that we have not incurred any indebtedness and that we maintain no cash or cash equivalents.</w:t>
      </w:r>
    </w:p>
    <w:p>
      <w:pPr>
        <w:spacing w:after="0" w:line="170" w:lineRule="exact"/>
        <w:rPr>
          <w:rFonts w:ascii="Arial" w:cs="Arial" w:eastAsia="Arial" w:hAnsi="Arial"/>
          <w:sz w:val="18"/>
          <w:szCs w:val="18"/>
          <w:color w:val="auto"/>
        </w:rPr>
      </w:pPr>
    </w:p>
    <w:p>
      <w:pPr>
        <w:ind w:left="660" w:right="440" w:hanging="652"/>
        <w:spacing w:after="0" w:line="277"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“catch-up” provision is intended to provide our investment adviser with an incentive fee of 20.0% on all pre-incentive fee net investment income as if a hurdle rate did not apply when our net investment income exceeds 2.344% in any fiscal quarter.</w:t>
      </w:r>
    </w:p>
    <w:p>
      <w:pPr>
        <w:spacing w:after="0" w:line="170" w:lineRule="exact"/>
        <w:rPr>
          <w:rFonts w:ascii="Arial" w:cs="Arial" w:eastAsia="Arial" w:hAnsi="Arial"/>
          <w:sz w:val="18"/>
          <w:szCs w:val="18"/>
          <w:color w:val="auto"/>
        </w:rPr>
      </w:pPr>
    </w:p>
    <w:p>
      <w:pPr>
        <w:ind w:left="660" w:right="8920"/>
        <w:spacing w:after="0" w:line="563"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Alternative 3 </w:t>
      </w:r>
      <w:r>
        <w:rPr>
          <w:rFonts w:ascii="Arial" w:cs="Arial" w:eastAsia="Arial" w:hAnsi="Arial"/>
          <w:sz w:val="16"/>
          <w:szCs w:val="16"/>
          <w:i w:val="1"/>
          <w:iCs w:val="1"/>
          <w:color w:val="auto"/>
        </w:rPr>
        <w:t>Additional Assumptions</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Investment income (including interest, dividends, fees, etc.) = 3.5%</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Pre-Incentive Fee Net Investment Income (investment income–(management fee + other expenses) = 2.7325%</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0.5467%.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Incentive fee</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ind w:left="160"/>
              <w:spacing w:after="0"/>
              <w:rPr>
                <w:sz w:val="20"/>
                <w:szCs w:val="20"/>
                <w:color w:val="auto"/>
              </w:rPr>
            </w:pPr>
            <w:r>
              <w:rPr>
                <w:rFonts w:ascii="Arial" w:cs="Arial" w:eastAsia="Arial" w:hAnsi="Arial"/>
                <w:sz w:val="18"/>
                <w:szCs w:val="18"/>
                <w:color w:val="auto"/>
                <w:w w:val="88"/>
              </w:rPr>
              <w:t>100.0%</w:t>
            </w:r>
          </w:p>
        </w:tc>
        <w:tc>
          <w:tcPr>
            <w:tcW w:w="5580" w:type="dxa"/>
            <w:vAlign w:val="bottom"/>
          </w:tcPr>
          <w:p>
            <w:pPr>
              <w:ind w:left="40"/>
              <w:spacing w:after="0"/>
              <w:rPr>
                <w:sz w:val="20"/>
                <w:szCs w:val="20"/>
                <w:color w:val="auto"/>
              </w:rPr>
            </w:pPr>
            <w:r>
              <w:rPr>
                <w:rFonts w:ascii="Arial" w:cs="Arial" w:eastAsia="Arial" w:hAnsi="Arial"/>
                <w:sz w:val="18"/>
                <w:szCs w:val="18"/>
                <w:color w:val="auto"/>
              </w:rPr>
              <w:t>× pre-incentive fee net investment income (subject to “catch-up”)(4)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Incentive fee</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ind w:left="160"/>
              <w:spacing w:after="0"/>
              <w:rPr>
                <w:sz w:val="20"/>
                <w:szCs w:val="20"/>
                <w:color w:val="auto"/>
              </w:rPr>
            </w:pPr>
            <w:r>
              <w:rPr>
                <w:rFonts w:ascii="Arial" w:cs="Arial" w:eastAsia="Arial" w:hAnsi="Arial"/>
                <w:sz w:val="18"/>
                <w:szCs w:val="18"/>
                <w:color w:val="auto"/>
                <w:w w:val="88"/>
              </w:rPr>
              <w:t>100.0%</w:t>
            </w:r>
          </w:p>
        </w:tc>
        <w:tc>
          <w:tcPr>
            <w:tcW w:w="5580" w:type="dxa"/>
            <w:vAlign w:val="bottom"/>
          </w:tcPr>
          <w:p>
            <w:pPr>
              <w:ind w:left="40"/>
              <w:spacing w:after="0"/>
              <w:rPr>
                <w:sz w:val="20"/>
                <w:szCs w:val="20"/>
                <w:color w:val="auto"/>
              </w:rPr>
            </w:pPr>
            <w:r>
              <w:rPr>
                <w:rFonts w:ascii="Arial" w:cs="Arial" w:eastAsia="Arial" w:hAnsi="Arial"/>
                <w:sz w:val="18"/>
                <w:szCs w:val="18"/>
                <w:color w:val="auto"/>
                <w:w w:val="91"/>
              </w:rPr>
              <w:t>× “catch-up” + (20.0% × (Pre-incentive fee net investment income–2.344%))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Catch up</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2.344%–1.875%</w:t>
            </w:r>
          </w:p>
        </w:tc>
      </w:tr>
      <w:tr>
        <w:trPr>
          <w:trHeight w:val="216"/>
        </w:trPr>
        <w:tc>
          <w:tcPr>
            <w:tcW w:w="14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ind w:left="160"/>
              <w:spacing w:after="0"/>
              <w:rPr>
                <w:sz w:val="20"/>
                <w:szCs w:val="20"/>
                <w:color w:val="auto"/>
              </w:rPr>
            </w:pPr>
            <w:r>
              <w:rPr>
                <w:rFonts w:ascii="Arial" w:cs="Arial" w:eastAsia="Arial" w:hAnsi="Arial"/>
                <w:sz w:val="18"/>
                <w:szCs w:val="18"/>
                <w:color w:val="auto"/>
                <w:w w:val="88"/>
              </w:rPr>
              <w:t>0.469%</w:t>
            </w:r>
          </w:p>
        </w:tc>
        <w:tc>
          <w:tcPr>
            <w:tcW w:w="5580" w:type="dxa"/>
            <w:vAlign w:val="bottom"/>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Incentive fee</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(100.0% × 0.469%) + (20.0% × (2.7325%–2.344%))</w:t>
            </w:r>
          </w:p>
        </w:tc>
      </w:tr>
      <w:tr>
        <w:trPr>
          <w:trHeight w:val="216"/>
        </w:trPr>
        <w:tc>
          <w:tcPr>
            <w:tcW w:w="14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ind w:left="160"/>
              <w:spacing w:after="0"/>
              <w:rPr>
                <w:sz w:val="20"/>
                <w:szCs w:val="20"/>
                <w:color w:val="auto"/>
              </w:rPr>
            </w:pPr>
            <w:r>
              <w:rPr>
                <w:rFonts w:ascii="Arial" w:cs="Arial" w:eastAsia="Arial" w:hAnsi="Arial"/>
                <w:sz w:val="18"/>
                <w:szCs w:val="18"/>
                <w:color w:val="auto"/>
                <w:w w:val="88"/>
              </w:rPr>
              <w:t>0.469%</w:t>
            </w:r>
          </w:p>
        </w:tc>
        <w:tc>
          <w:tcPr>
            <w:tcW w:w="5580" w:type="dxa"/>
            <w:vAlign w:val="bottom"/>
          </w:tcPr>
          <w:p>
            <w:pPr>
              <w:ind w:left="40"/>
              <w:spacing w:after="0"/>
              <w:rPr>
                <w:sz w:val="20"/>
                <w:szCs w:val="20"/>
                <w:color w:val="auto"/>
              </w:rPr>
            </w:pPr>
            <w:r>
              <w:rPr>
                <w:rFonts w:ascii="Arial" w:cs="Arial" w:eastAsia="Arial" w:hAnsi="Arial"/>
                <w:sz w:val="18"/>
                <w:szCs w:val="18"/>
                <w:color w:val="auto"/>
              </w:rPr>
              <w:t>+ (20.0% × 0.3885%)</w:t>
            </w:r>
          </w:p>
        </w:tc>
      </w:tr>
      <w:tr>
        <w:trPr>
          <w:trHeight w:val="216"/>
        </w:trPr>
        <w:tc>
          <w:tcPr>
            <w:tcW w:w="14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ind w:left="160"/>
              <w:spacing w:after="0"/>
              <w:rPr>
                <w:sz w:val="20"/>
                <w:szCs w:val="20"/>
                <w:color w:val="auto"/>
              </w:rPr>
            </w:pPr>
            <w:r>
              <w:rPr>
                <w:rFonts w:ascii="Arial" w:cs="Arial" w:eastAsia="Arial" w:hAnsi="Arial"/>
                <w:sz w:val="18"/>
                <w:szCs w:val="18"/>
                <w:color w:val="auto"/>
                <w:w w:val="88"/>
              </w:rPr>
              <w:t>0.469%</w:t>
            </w:r>
          </w:p>
        </w:tc>
        <w:tc>
          <w:tcPr>
            <w:tcW w:w="5580" w:type="dxa"/>
            <w:vAlign w:val="bottom"/>
          </w:tcPr>
          <w:p>
            <w:pPr>
              <w:ind w:left="40"/>
              <w:spacing w:after="0"/>
              <w:rPr>
                <w:sz w:val="20"/>
                <w:szCs w:val="20"/>
                <w:color w:val="auto"/>
              </w:rPr>
            </w:pPr>
            <w:r>
              <w:rPr>
                <w:rFonts w:ascii="Arial" w:cs="Arial" w:eastAsia="Arial" w:hAnsi="Arial"/>
                <w:sz w:val="18"/>
                <w:szCs w:val="18"/>
                <w:color w:val="auto"/>
              </w:rPr>
              <w:t>+ 0.0777%</w:t>
            </w:r>
          </w:p>
        </w:tc>
      </w:tr>
      <w:tr>
        <w:trPr>
          <w:trHeight w:val="230"/>
        </w:trPr>
        <w:tc>
          <w:tcPr>
            <w:tcW w:w="144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0.5467%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Alternative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Assumptions(1)</w:t>
      </w:r>
    </w:p>
    <w:p>
      <w:pPr>
        <w:spacing w:after="0" w:line="225"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Year 1: $20.0 million investment made in Company A (“Investment A”), and $30.0 million investment made in Company B (“Investment B”)</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2: Investment A is sold for $50.0 million and fair market value (“FMV”) of Investment B determined to be $32.0 million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3: FMV of Investment B determined to be $25.0 million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4: Investment B sold for $31.0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capital gains portion of the incentive fee, if any, calculated under the cumulative method would be:</w:t>
      </w:r>
    </w:p>
    <w:p>
      <w:pPr>
        <w:spacing w:after="0" w:line="225"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2: $6 million (20.0% multiplied by $30.0 million realized capital gains on sale of Investment A)</w:t>
      </w:r>
    </w:p>
    <w:p>
      <w:pPr>
        <w:spacing w:after="0" w:line="225" w:lineRule="exact"/>
        <w:rPr>
          <w:rFonts w:ascii="Arial" w:cs="Arial" w:eastAsia="Arial" w:hAnsi="Arial"/>
          <w:sz w:val="18"/>
          <w:szCs w:val="18"/>
          <w:color w:val="auto"/>
        </w:rPr>
      </w:pPr>
    </w:p>
    <w:p>
      <w:pPr>
        <w:ind w:left="980" w:right="90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3: None; $5 million (20.0% multiplied by ($30.0 million realized cumulative capital gains less $5.0 million cumulative capital depreciation)) less $6.0 million (capital gains incentive fee paid in Year 2)</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4: $200,000; $6.2 million (20.0% multiplied by $31.0 million cumulative realized capital gains) less $6.0 million (capital gains incentive fee paid in Year 2)</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Alternative 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Assumptions(1)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660" w:right="60" w:hanging="652"/>
        <w:spacing w:after="0" w:line="264" w:lineRule="auto"/>
        <w:tabs>
          <w:tab w:leader="none" w:pos="6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examples assume that Investment A and Investment B were acquired by us subsequent to May 31, 2010. If Investment A and B were acquired by us prior to May 31, 2010, then the cost basis for computing our realized gains and losses on such investments would equal the fair value of such investments as of May 31, 2010.</w:t>
      </w:r>
    </w:p>
    <w:p>
      <w:pPr>
        <w:spacing w:after="0" w:line="181" w:lineRule="exact"/>
        <w:rPr>
          <w:rFonts w:ascii="Arial" w:cs="Arial" w:eastAsia="Arial" w:hAnsi="Arial"/>
          <w:sz w:val="18"/>
          <w:szCs w:val="18"/>
          <w:color w:val="auto"/>
        </w:rPr>
      </w:pPr>
    </w:p>
    <w:p>
      <w:pPr>
        <w:ind w:left="980" w:right="140" w:hanging="324"/>
        <w:spacing w:after="0" w:line="277" w:lineRule="auto"/>
        <w:tabs>
          <w:tab w:leader="none" w:pos="9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Year 1: $20.0 million investment made in Company A (“Investment A”), $30.0 million investment made in Company B (“Investment B”) and $25.0 million investment made in Company C (“Investment C”)</w:t>
      </w:r>
    </w:p>
    <w:p>
      <w:pPr>
        <w:sectPr>
          <w:pgSz w:w="11900" w:h="16838" w:orient="portrait"/>
          <w:cols w:equalWidth="0" w:num="1">
            <w:col w:w="11300"/>
          </w:cols>
          <w:pgMar w:left="240" w:top="125" w:right="359" w:bottom="0" w:gutter="0" w:footer="0" w:header="0"/>
        </w:sectPr>
      </w:pPr>
    </w:p>
    <w:bookmarkStart w:id="11" w:name="page12"/>
    <w:bookmarkEnd w:id="11"/>
    <w:p>
      <w:pPr>
        <w:ind w:left="980" w:right="4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2: Investment A sold for $50.0 million, FMV of Investment B determined to be $25.0 million and FMV of Investment C determined to be $25.0 million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3: FMV of Investment B determined to be $27.0 million and Investment C sold for $30.0 million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4: FMV of Investment B determined to be $35.0 million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5: Investment B sold for $20.0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capital gains portion of the incentive fee, if any, calculated under the cumulative method would be:</w:t>
      </w:r>
    </w:p>
    <w:p>
      <w:pPr>
        <w:spacing w:after="0" w:line="225"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2: $5.0 million (20.0% multiplied by $25.0 million ($30.0 million realized capital gains on Investment A less $5.0 million unrealized capital depreciation on Investment B))</w:t>
      </w:r>
    </w:p>
    <w:p>
      <w:pPr>
        <w:spacing w:after="0" w:line="170" w:lineRule="exact"/>
        <w:rPr>
          <w:rFonts w:ascii="Arial" w:cs="Arial" w:eastAsia="Arial" w:hAnsi="Arial"/>
          <w:sz w:val="18"/>
          <w:szCs w:val="18"/>
          <w:color w:val="auto"/>
        </w:rPr>
      </w:pPr>
    </w:p>
    <w:p>
      <w:pPr>
        <w:ind w:left="980" w:right="60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3: $1.4 million ($6.4 million (20.0% multiplied by $32.0 million ($35.0 million cumulative realized capital gains less $3.0 million unrealized capital depreciation)) less $5.0 million (capital gains incentive fee paid in Year 2))</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5: None ($5.0 million (20.0% multiplied by $25.0 million (cumulative realized capital gains of $35.0 million less realized capital losses of $10.0 million)) less $6.4 million (cumulative capital gains incentive fee paid in Year 2 and Year 3))</w:t>
      </w:r>
    </w:p>
    <w:p>
      <w:pPr>
        <w:spacing w:after="0" w:line="170"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The Management Agreement with Saratoga Investment Advisors was approved by our board of directors at an in-person meeting of the directors, including a majority of our independent directors, and was approved by our stockholders at the special meeting of stockholders held on July 30, 2010. On July 15, 2013, our board of directors approved the renewal of the Management Agreement for an additional one-year term at an in-person meeting.</w:t>
      </w:r>
    </w:p>
    <w:p>
      <w:pPr>
        <w:spacing w:after="0" w:line="14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approving this Management Agreement, the directors considered, among other things, (i) the nature, extent and quality of the advisory and other services to be provided to us by Saratoga Investment Advisors; (ii) our investment performance and the investment performance of Saratoga Investment Advisors; (iii) the expected costs of the services to be provided by Saratoga Investment Advisors (including management fees, advisory fees and expense ratios) and the profits expected to be realized by Saratoga Investment Advisors; (iv) the limited potential for economies of scale in investment management associated with managing us; and (v) Saratoga Investment Advisors estimated pro forma profitability with respect to managing us.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22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Management Agreement provides that all investment professionals of Saratoga Investment Advisors and its staff, when and to the extent engaged in providing investment advisory services required to be provided by Saratoga Investment Advisors, and the compensation and routine overhead expenses of such personnel allocable to such services, will be provided and paid for by Saratoga Investment Advisors and not by us.</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bear all costs and expenses of our operations and transactions, including those relating to:</w:t>
      </w:r>
    </w:p>
    <w:p>
      <w:pPr>
        <w:spacing w:after="0" w:line="225" w:lineRule="exact"/>
        <w:rPr>
          <w:sz w:val="20"/>
          <w:szCs w:val="20"/>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jc w:val="both"/>
        <w:ind w:left="980" w:right="400" w:hanging="324"/>
        <w:spacing w:after="0" w:line="342" w:lineRule="auto"/>
        <w:tabs>
          <w:tab w:leader="none" w:pos="944"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expenses incurred by Saratoga Investment Advisors payable to third parties, including agents, consultants or other advisors, in monitoring financial and legal affairs for us and in monitoring our investments and performing due diligence on our prospective portfolio companies;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advisors, relating to, or associated with, evaluating and making investments;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ectPr>
          <w:pgSz w:w="11900" w:h="16838" w:orient="portrait"/>
          <w:cols w:equalWidth="0" w:num="1">
            <w:col w:w="11280"/>
          </w:cols>
          <w:pgMar w:left="240" w:top="125" w:right="379" w:bottom="0" w:gutter="0" w:footer="0" w:header="0"/>
        </w:sectPr>
      </w:pPr>
    </w:p>
    <w:bookmarkStart w:id="12" w:name="page13"/>
    <w:bookmarkEnd w:id="12"/>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70" w:lineRule="exact"/>
        <w:rPr>
          <w:rFonts w:ascii="Arial" w:cs="Arial" w:eastAsia="Arial" w:hAnsi="Arial"/>
          <w:sz w:val="18"/>
          <w:szCs w:val="18"/>
          <w:color w:val="auto"/>
        </w:rPr>
      </w:pPr>
    </w:p>
    <w:p>
      <w:pPr>
        <w:ind w:left="980" w:right="340" w:hanging="324"/>
        <w:spacing w:after="0" w:line="259"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the administration agreement, including rent and the allocable portion of the cost of our officers and their respective staffs (including travel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225"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The Management Agreement will remain in effect continuously, unless terminated under the termination provisions of the agreement. The Management Agreement provides that it may be terminated at any time, without the payment of any penalty, upon 60 days written notice, by the vote of stockholders holding a majority of our outstanding voting securities, or by the vote of our directors or by Saratoga Investment Advisors.</w:t>
      </w:r>
    </w:p>
    <w:p>
      <w:pPr>
        <w:spacing w:after="0" w:line="16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Management Agreement will, unless terminated as described above, continue in effect until July 30, 2014 and will continue in effect from year to year thereafter so long as it is approved at least annually by (i) the vote of the board of directors, or by the vote of stockholders holding a majority of our outstanding voting securities, and (ii) the vote of a majority of our directors who are not parties to the Management Agreement or “interested persons” (as such term is defined in Section 2(a)(19) of the 1940 Act) of any party to such agreement, in accordance with the requirements of the 1940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Under the Management Agreement, Saratoga Investment Advisors and certain of its affiliates are not liable to us for any action taken or omitted to be taken by Saratoga Investment Advisors in connection with the performance of any of its duties or obligations under the agreement or otherwise as an investment adviser to us, except to the extent specified in Section 36(b) of the 1940 Act concerning loss resulting from a breach of fiduciary duty (as the same is finally determined by judicial proceedings) with respect to the receipt of compensation for services and except to the extent such action or omission constitutes gross negligence, willful misfeasance, bad faith or reckless disregard of its duties and obligations under the agreement.</w:t>
      </w:r>
    </w:p>
    <w:p>
      <w:pPr>
        <w:spacing w:after="0" w:line="15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also provide indemnification to Saratoga Investment Advisors and certain of its affiliates for damages, liabilities, costs and expenses incurred by them in or by reason of any pending, threatened or completed action, suit, investigation or other proceeding arising out of or otherwise based upon the performance of any of its duties or obligations under the agreement or otherwise as an investment adviser to us. However, we would not provide indemnification against any liability to us or our security holders to which Saratoga Investment Advisors or such affiliates would otherwise be subject by reason of willful misfeasance, bad faith or gross negligence in the performance of any such person’s duties or by reason of the reckless disregard of its duties and obligations under the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Saratoga Investment Advisors is registered as an investment adviser under the Investment Advisers Act of 1940. The principal executive offices of Saratoga Investment Advisors are located at 535 Madison Avenue, New York, New York 10022.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Pursuant to a separate administration agreement, Saratoga Investment Advisors, who also serves as our administrator, furnishes us with office facilities, equipment and clerical, book-keeping and record keeping services. Under the administration agreement, our administrator also performs, or oversees the performance of, our required administrative services, which include, among other things, being responsible for the financial records which we are required to maintain, preparing reports for our stockholders and reports required to be filed with the SEC.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equal an amount based upon our allocable portion of our administrator’s overhead in performing its obligations under the administration agreement, including rent and our allocable portion of the cost of our officers and their respective staffs relating to the performance of services under this agreement (including travel expenses). Our allocable portion is based on the proportion that our total assets bears to the total assets administered or managed by our administrator. Under the administration agreement, our administrator also provides managerial assistance, on our behalf, to those portfolio companies who accept our offer of assistance. The administration agreement may be terminated by either party without penalty upon 60 days written notice to the other party. The amount payable by us under the administration agreement was initially capped at $1.0 million for each annual term of the agreement. On July 15, 2013, our board of directors approved the renewal of the administration agreement for an additional one-year term and determined to maintain the cap on the payment or reimbursement of expenses by us thereunder to $1.0 million for the additional one-year term.</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Under the administration agreement, Saratoga Investment Advisors and certain of its affiliates are not liable to us for any action taken or omitted to be taken by Saratoga Investment Advisors in connection with the performance of any of its duties or obligations under the agreement.</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also provide indemnification to Saratoga Investment Advisors and certain of its affiliates for damages, liabilities, costs and expenses incurred by them in or by reason of any pending, threatened or completed action, suit, investigation or other proceeding arising out of or otherwise based upon the performance of any of its duties or obligations under the agreement or otherwise as an administrator to us. However, we do not provide indemnification against any liability to us or our security holders to which Saratoga Investment Advisors or such affiliates would otherwise be subject by reason of willful misfeasance, bad faith or gross negligence in the performance of any such person’s duties or by reason of the reckless disregard of its duties and obligations under the agreement.</w:t>
      </w:r>
    </w:p>
    <w:p>
      <w:pPr>
        <w:sectPr>
          <w:pgSz w:w="11900" w:h="16838" w:orient="portrait"/>
          <w:cols w:equalWidth="0" w:num="1">
            <w:col w:w="11400"/>
          </w:cols>
          <w:pgMar w:left="240" w:top="125" w:right="259"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5" w:right="259" w:bottom="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entered into a trademark license agreement with Saratoga Investment Advisors, pursuant to which Saratoga Investment Advisors grants us a non-exclusive, royalty-free license to use the name “Saratoga.” Under this agreement, we have a right to use the “Saratoga” name, for so long as Saratoga Investment Advisors or one of its affiliates remains our investment adviser. Other than with respect to this limited license, we have no legal right to the “Saratoga” name. Saratoga Investment Advisors has the right to terminate the license agreement if it is no longer acting as our investment adviser. In the event the Management Agreement is terminated, we would be required to change our name to eliminate the use of the name “Saratoga.”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Company Regulations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have elected to be treated as a BDC under the 1940 Act. As with other companies regulated by the 1940 Act, a BDC must adhere to certain substantive regulatory requirements. The 1940 Act contains prohibitions and restrictions relating to transactions between BDCs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67.0% or more of such company’s stock present at a meeting if more than 50.0% of the outstanding stock of such company is present and represented by proxy or (ii) more than 50.0% of the outstanding stock of such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70.0% of the company’s total assets. The principal categories of qualifying assets relevant to our business are the following:</w:t>
      </w:r>
    </w:p>
    <w:p>
      <w:pPr>
        <w:spacing w:after="0" w:line="181" w:lineRule="exact"/>
        <w:rPr>
          <w:sz w:val="20"/>
          <w:szCs w:val="20"/>
          <w:color w:val="auto"/>
        </w:rPr>
      </w:pPr>
    </w:p>
    <w:p>
      <w:pPr>
        <w:ind w:left="1300" w:right="200" w:hanging="644"/>
        <w:spacing w:after="0" w:line="259" w:lineRule="auto"/>
        <w:tabs>
          <w:tab w:leader="none" w:pos="13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225" w:lineRule="exact"/>
        <w:rPr>
          <w:rFonts w:ascii="Arial" w:cs="Arial" w:eastAsia="Arial" w:hAnsi="Arial"/>
          <w:sz w:val="18"/>
          <w:szCs w:val="18"/>
          <w:color w:val="auto"/>
        </w:rPr>
      </w:pPr>
    </w:p>
    <w:p>
      <w:pPr>
        <w:ind w:left="1960" w:right="340" w:hanging="655"/>
        <w:spacing w:after="0" w:line="277" w:lineRule="auto"/>
        <w:tabs>
          <w:tab w:leader="none" w:pos="1967"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satisfies either of the following:</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225" w:lineRule="exact"/>
        <w:rPr>
          <w:rFonts w:ascii="Arial" w:cs="Arial" w:eastAsia="Arial" w:hAnsi="Arial"/>
          <w:sz w:val="18"/>
          <w:szCs w:val="18"/>
          <w:color w:val="auto"/>
        </w:rPr>
      </w:pPr>
    </w:p>
    <w:p>
      <w:pPr>
        <w:ind w:left="2620" w:right="140" w:hanging="667"/>
        <w:spacing w:after="0" w:line="277" w:lineRule="auto"/>
        <w:tabs>
          <w:tab w:leader="none" w:pos="2625" w:val="left"/>
        </w:tabs>
        <w:numPr>
          <w:ilvl w:val="2"/>
          <w:numId w:val="26"/>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than $250.0 million;</w:t>
      </w:r>
    </w:p>
    <w:p>
      <w:pPr>
        <w:spacing w:after="0" w:line="170" w:lineRule="exact"/>
        <w:rPr>
          <w:rFonts w:ascii="Arial" w:cs="Arial" w:eastAsia="Arial" w:hAnsi="Arial"/>
          <w:sz w:val="18"/>
          <w:szCs w:val="18"/>
          <w:color w:val="auto"/>
        </w:rPr>
      </w:pPr>
    </w:p>
    <w:p>
      <w:pPr>
        <w:ind w:left="2620" w:right="80" w:hanging="667"/>
        <w:spacing w:after="0" w:line="277" w:lineRule="auto"/>
        <w:tabs>
          <w:tab w:leader="none" w:pos="2636" w:val="left"/>
        </w:tabs>
        <w:numPr>
          <w:ilvl w:val="2"/>
          <w:numId w:val="26"/>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w:t>
      </w:r>
    </w:p>
    <w:p>
      <w:pPr>
        <w:spacing w:after="0" w:line="170" w:lineRule="exact"/>
        <w:rPr>
          <w:rFonts w:ascii="Arial" w:cs="Arial" w:eastAsia="Arial" w:hAnsi="Arial"/>
          <w:sz w:val="18"/>
          <w:szCs w:val="18"/>
          <w:color w:val="auto"/>
        </w:rPr>
      </w:pPr>
    </w:p>
    <w:p>
      <w:pPr>
        <w:ind w:left="2620" w:right="140" w:hanging="667"/>
        <w:spacing w:after="0" w:line="277" w:lineRule="auto"/>
        <w:tabs>
          <w:tab w:leader="none" w:pos="2626" w:val="left"/>
        </w:tabs>
        <w:numPr>
          <w:ilvl w:val="2"/>
          <w:numId w:val="26"/>
        </w:numPr>
        <w:rPr>
          <w:rFonts w:ascii="Arial" w:cs="Arial" w:eastAsia="Arial" w:hAnsi="Arial"/>
          <w:sz w:val="18"/>
          <w:szCs w:val="18"/>
          <w:color w:val="auto"/>
        </w:rPr>
      </w:pPr>
      <w:r>
        <w:rPr>
          <w:rFonts w:ascii="Arial" w:cs="Arial" w:eastAsia="Arial" w:hAnsi="Arial"/>
          <w:sz w:val="18"/>
          <w:szCs w:val="18"/>
          <w:color w:val="auto"/>
        </w:rPr>
        <w:t>is a small and solvent company having total assets of not more than $4.0 million and capital and surplus of not less than $2.0 million; or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meets such other criteria as may established by the SEC.</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225" w:lineRule="exact"/>
        <w:rPr>
          <w:rFonts w:ascii="Arial" w:cs="Arial" w:eastAsia="Arial" w:hAnsi="Arial"/>
          <w:sz w:val="18"/>
          <w:szCs w:val="18"/>
          <w:color w:val="auto"/>
        </w:rPr>
      </w:pPr>
    </w:p>
    <w:p>
      <w:pPr>
        <w:ind w:left="1300" w:right="40" w:hanging="644"/>
        <w:spacing w:after="0" w:line="259" w:lineRule="auto"/>
        <w:tabs>
          <w:tab w:leader="none" w:pos="13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20" w:hanging="644"/>
        <w:spacing w:after="0" w:line="277" w:lineRule="auto"/>
        <w:tabs>
          <w:tab w:leader="none" w:pos="1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at least 60.0% of the outstanding equity of the eligible portfolio company.</w:t>
      </w:r>
    </w:p>
    <w:p>
      <w:pPr>
        <w:spacing w:after="0" w:line="170"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options, warrants or rights relating to such securities.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ectPr>
          <w:pgSz w:w="11900" w:h="16838" w:orient="portrait"/>
          <w:cols w:equalWidth="0" w:num="1">
            <w:col w:w="11400"/>
          </w:cols>
          <w:pgMar w:left="240" w:top="517" w:right="259" w:bottom="0" w:gutter="0" w:footer="0" w:header="0"/>
        </w:sectPr>
      </w:pPr>
    </w:p>
    <w:bookmarkStart w:id="14" w:name="page15"/>
    <w:bookmarkEnd w:id="14"/>
    <w:p>
      <w:pPr>
        <w:ind w:right="100" w:firstLine="648"/>
        <w:spacing w:after="0" w:line="273" w:lineRule="auto"/>
        <w:rPr>
          <w:sz w:val="20"/>
          <w:szCs w:val="20"/>
          <w:color w:val="auto"/>
        </w:rPr>
      </w:pPr>
      <w:r>
        <w:rPr>
          <w:rFonts w:ascii="Arial" w:cs="Arial" w:eastAsia="Arial" w:hAnsi="Arial"/>
          <w:sz w:val="17"/>
          <w:szCs w:val="17"/>
          <w:color w:val="auto"/>
        </w:rPr>
        <w:t>As a BDC we offer, and must provide upon request, managerial assistance to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Pursuant to a separate administration agreement, our investment adviser provides such managerial assistance on our behalf to portfolio companies that request this assistance, recognizing that our involvement with each investment will vary based on factors including the size of the company, the nature of our investment, the company’s overall stage of development and our relative position in the capital structure. We may receive fees for these services.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a BDC must have been organized and have its principal place of business in the United States and must be operated for the purpose of making investments in the types of securities described in (1), (2) or (3) above under “—Qualifying assets.” However, in order to count portfolio securities as qualifying assets for the purpose of the 70.0% test, the BDC must either control the issuer of the securities or must offer to make available to the issuer of the securities (other than small and solvent companies described above) significant managerial assistance; except that, where the BDC purchases such securities in conjunction with one or more other persons acting together, one of the other persons in the group may make available such managerial assistance. Making available significant managerial assistance means, among other things, any arrangement whereby the BDC, through its directors, officers or employees or those of its investment adviser, offers to provide, and, if accepted, does so provide, significant guidance and counsel concerning the management, operations or business objectives and policies of a portfolio company.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a BDC, 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25.0% of our total assets constitute repurchase agreements from a single counterparty, we would not meet the asset diversification requirements in order to qualify as a RIC for U.S.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Indebtedness and senior securities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a BDC, we are permitted, under specified conditions, to issue multiple classes of indebtedness and one class of shares of stock senior to our common stock if our asset coverage, as defined in the 1940 Act, is at least equal to 200.0% immediately after each such issuance. In addition, while any indebtedness and senior securities remain outstanding, we must generally make provisions to prohibit any distribution to our stockholders or the repurchase of such securities or stock unless we meet the applicable asset coverage ratios at the time of the distribution or repurchase. We may also borrow amounts up to 5.0% of the value of our total assets for temporary or emergency purposes without regard to asset coverage.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We may, however, sell our common stock, warrants, options or rights to acquire our common stock, at a price below the current net asset value of the common stock if our board of directors determines that such sale is in our best interests and that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a BDC, we and Saratoga Investment Advisors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SEC registered investment advisers that have the authority to vote (client) proxies (which authority may be implied from a general grant of investment discretion) are required to adopt policies and procedures reasonably designed to ensure that the adviser votes proxies in the best interests of its clients. Registered investment advisers also must maintain certain records on proxy voting. In most cases, we will invest in securities that do not generally entitle us to voting rights in our portfolio companies. When we do have voting rights, we will delegate the exercise of such rights to our investment adviser.</w:t>
      </w:r>
    </w:p>
    <w:p>
      <w:pPr>
        <w:spacing w:after="0" w:line="154"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Saratoga Investment Advisors has particular proxy voting policies and procedures in place. In determining how to vote, officers of Saratoga Investment Advisors will consult with each other, taking into account our interests and the interests of our investors, as well as any potential conflicts of interest. Saratoga Investment Advisors will consult with legal counsel to identify potential conflicts of interest. Where a potential conflict of interest exists, Saratoga Investment Advisors may, if it so elects, resolve it by following the recommendation of a disinterested third party, by seeking the direction of our independent directors or, in extreme cases, by abstaining from voting. While Saratoga Investment Advisors may retain an outside service to provide voting recommendations and to assist in analyzing votes, it will not delegate its voting authority to any third party.</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An officer of Saratoga Investment Advisors will keep a written record of how all such proxies are voted. It will retain records of (1) proxy voting policies and procedures, (2) all proxy statements received (or it may rely on proxy statements filed on the SEC’s EDGAR system in lieu thereof), (3) all votes cast, (4) investor requests for voting information, and (5) any specific documents prepared or received in connection with a decision on a proxy vote. If it uses</w:t>
      </w:r>
    </w:p>
    <w:p>
      <w:pPr>
        <w:sectPr>
          <w:pgSz w:w="11900" w:h="16838" w:orient="portrait"/>
          <w:cols w:equalWidth="0" w:num="1">
            <w:col w:w="11400"/>
          </w:cols>
          <w:pgMar w:left="240" w:top="125" w:right="259" w:bottom="0" w:gutter="0" w:footer="0" w:header="0"/>
        </w:sectPr>
      </w:pPr>
    </w:p>
    <w:bookmarkStart w:id="15" w:name="page16"/>
    <w:bookmarkEnd w:id="15"/>
    <w:p>
      <w:pPr>
        <w:ind w:right="240"/>
        <w:spacing w:after="0" w:line="277" w:lineRule="auto"/>
        <w:rPr>
          <w:sz w:val="20"/>
          <w:szCs w:val="20"/>
          <w:color w:val="auto"/>
        </w:rPr>
      </w:pPr>
      <w:r>
        <w:rPr>
          <w:rFonts w:ascii="Arial" w:cs="Arial" w:eastAsia="Arial" w:hAnsi="Arial"/>
          <w:sz w:val="18"/>
          <w:szCs w:val="18"/>
          <w:color w:val="auto"/>
        </w:rPr>
        <w:t>an outside service, Saratoga Investment Advisors may rely on such service to maintain copies of proxy statements and records, so long as such service will provide a copy of such documents promptly upon request.</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Saratoga Investment Advisors’ proxy voting policies are not exhaustive and are designed to be responsive to the wide range of issues that may be subject to a proxy vote. In general, Saratoga Investment Advisors will vote our proxies in accordance with these guidelines unless: (1) it has determined otherwise due to the specific and unusual facts and circumstances with respect to a particular vote, (2) the subject matter of the vote is not covered by these guidelines, (3) a material conflict of interest is present, or (4) it finds it necessary to vote contrary to its general guidelines to maximize stockholder value or our best interests.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reviewing proxy issues, Saratoga Investment Advisors generally will use the following guidelines:</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i w:val="1"/>
          <w:iCs w:val="1"/>
          <w:color w:val="auto"/>
        </w:rPr>
        <w:t xml:space="preserve">Elections of Directors: </w:t>
      </w:r>
      <w:r>
        <w:rPr>
          <w:rFonts w:ascii="Arial" w:cs="Arial" w:eastAsia="Arial" w:hAnsi="Arial"/>
          <w:sz w:val="16"/>
          <w:szCs w:val="16"/>
          <w:color w:val="auto"/>
        </w:rPr>
        <w:t>In general, Saratoga Investment Advisors will vote in favor of the management-proposed slate of directors. If there is a</w:t>
      </w:r>
      <w:r>
        <w:rPr>
          <w:rFonts w:ascii="Arial" w:cs="Arial" w:eastAsia="Arial" w:hAnsi="Arial"/>
          <w:sz w:val="16"/>
          <w:szCs w:val="16"/>
          <w:i w:val="1"/>
          <w:iCs w:val="1"/>
          <w:color w:val="auto"/>
        </w:rPr>
        <w:t xml:space="preserve"> </w:t>
      </w:r>
      <w:r>
        <w:rPr>
          <w:rFonts w:ascii="Arial" w:cs="Arial" w:eastAsia="Arial" w:hAnsi="Arial"/>
          <w:sz w:val="16"/>
          <w:szCs w:val="16"/>
          <w:color w:val="auto"/>
        </w:rPr>
        <w:t>proxy fight for seats on a portfolio company’s board of directors, or Saratoga Investment Advisors determines that there are other compelling reasons for withholding our vote, it will determine the appropriate vote on the matter. It may withhold votes for directors that fail to act on key issues, such as failure to:</w:t>
      </w:r>
    </w:p>
    <w:p>
      <w:pPr>
        <w:ind w:right="200" w:firstLine="8"/>
        <w:spacing w:after="0" w:line="255"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 proposals to declassify a board, (2) implement a majority vote requirement, (3) submit a rights plan to a stockholder vote or (4) act on tender offers where a majority of stockholders have tendered their shares. Finally, Saratoga Investment Advisors may withhold votes for directors of non-U.S. issuers where there is insufficient information about the nominees disclosed in the proxy statement.</w:t>
      </w:r>
    </w:p>
    <w:p>
      <w:pPr>
        <w:spacing w:after="0" w:line="19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i w:val="1"/>
          <w:iCs w:val="1"/>
          <w:color w:val="auto"/>
        </w:rPr>
        <w:t xml:space="preserve">Appointment of Auditors: </w:t>
      </w:r>
      <w:r>
        <w:rPr>
          <w:rFonts w:ascii="Arial" w:cs="Arial" w:eastAsia="Arial" w:hAnsi="Arial"/>
          <w:sz w:val="18"/>
          <w:szCs w:val="18"/>
          <w:color w:val="auto"/>
        </w:rPr>
        <w:t>We believe that a portfolio company remains in the best position to choose its independent auditors and Saratoga</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Advisors will generally support management’s recommendation in this regard.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i w:val="1"/>
          <w:iCs w:val="1"/>
          <w:color w:val="auto"/>
        </w:rPr>
        <w:t xml:space="preserve">Changes in Capital Structure: </w:t>
      </w:r>
      <w:r>
        <w:rPr>
          <w:rFonts w:ascii="Arial" w:cs="Arial" w:eastAsia="Arial" w:hAnsi="Arial"/>
          <w:sz w:val="17"/>
          <w:szCs w:val="17"/>
          <w:color w:val="auto"/>
        </w:rPr>
        <w:t>Changes in a portfolio company’s organizational documents may be required by state or federal regulation.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Saratoga Investment Advisors will cast our votes in accordance with the management on such proposals. However, Saratoga Investment Advisors will consider carefully any proposal regarding a change in corporate structure that is not required by state or federal regulation.</w:t>
      </w:r>
    </w:p>
    <w:p>
      <w:pPr>
        <w:spacing w:after="0" w:line="166"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i w:val="1"/>
          <w:iCs w:val="1"/>
          <w:color w:val="auto"/>
        </w:rPr>
        <w:t xml:space="preserve">Corporate Restructurings, Mergers and Acquisitions: </w:t>
      </w:r>
      <w:r>
        <w:rPr>
          <w:rFonts w:ascii="Arial" w:cs="Arial" w:eastAsia="Arial" w:hAnsi="Arial"/>
          <w:sz w:val="18"/>
          <w:szCs w:val="18"/>
          <w:color w:val="auto"/>
        </w:rPr>
        <w:t>We believe proxy votes dealing with corporate reorganizations are an extension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decision. Accordingly, Saratoga Investment Advisors will analyze such proposals on a case-by-case basis and vote in accordance with its perception of our interests.</w:t>
      </w:r>
    </w:p>
    <w:p>
      <w:pPr>
        <w:spacing w:after="0" w:line="181"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i w:val="1"/>
          <w:iCs w:val="1"/>
          <w:color w:val="auto"/>
        </w:rPr>
        <w:t xml:space="preserve">Proposals Affecting Stockholder Rights: </w:t>
      </w:r>
      <w:r>
        <w:rPr>
          <w:rFonts w:ascii="Arial" w:cs="Arial" w:eastAsia="Arial" w:hAnsi="Arial"/>
          <w:sz w:val="16"/>
          <w:szCs w:val="16"/>
          <w:color w:val="auto"/>
        </w:rPr>
        <w:t>We will generally vote in favor of proposals that give stockholders a greater voice in the affairs of a</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company and oppose any measure that seeks to limit such rights. However, when analyzing such proposals, Saratoga Investment Advisors will balance the financial impact of the proposal against any impairment of stockholder rights as well as of our investment in the portfolio company.</w:t>
      </w:r>
    </w:p>
    <w:p>
      <w:pPr>
        <w:spacing w:after="0" w:line="14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Corporate Governance: </w:t>
      </w:r>
      <w:r>
        <w:rPr>
          <w:rFonts w:ascii="Arial" w:cs="Arial" w:eastAsia="Arial" w:hAnsi="Arial"/>
          <w:sz w:val="18"/>
          <w:szCs w:val="18"/>
          <w:color w:val="auto"/>
        </w:rPr>
        <w:t>We recognize the importance of good corporate governance. Accordingly, Saratoga Investment Advisors will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favor proposals that promote transparency and accountability within a portfolio company.</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Anti-Takeover Measures: </w:t>
      </w:r>
      <w:r>
        <w:rPr>
          <w:rFonts w:ascii="Arial" w:cs="Arial" w:eastAsia="Arial" w:hAnsi="Arial"/>
          <w:sz w:val="18"/>
          <w:szCs w:val="18"/>
          <w:color w:val="auto"/>
        </w:rPr>
        <w:t>Saratoga Investment Advisors will evaluate, on a case-by-case basis, any proposals regarding anti-takeover measures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likely effect on stockholder value dilution.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Share Splits: </w:t>
      </w:r>
      <w:r>
        <w:rPr>
          <w:rFonts w:ascii="Arial" w:cs="Arial" w:eastAsia="Arial" w:hAnsi="Arial"/>
          <w:sz w:val="18"/>
          <w:szCs w:val="18"/>
          <w:color w:val="auto"/>
        </w:rPr>
        <w:t>Saratoga Investment Advisors will generally vote with management on share split matters.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Limited Liability of Directors: </w:t>
      </w:r>
      <w:r>
        <w:rPr>
          <w:rFonts w:ascii="Arial" w:cs="Arial" w:eastAsia="Arial" w:hAnsi="Arial"/>
          <w:sz w:val="18"/>
          <w:szCs w:val="18"/>
          <w:color w:val="auto"/>
        </w:rPr>
        <w:t>Saratoga Investment Advisors will generally vote with management on matters that could adversely affect the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of directors.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Social and Corporate Responsibility: </w:t>
      </w:r>
      <w:r>
        <w:rPr>
          <w:rFonts w:ascii="Arial" w:cs="Arial" w:eastAsia="Arial" w:hAnsi="Arial"/>
          <w:sz w:val="18"/>
          <w:szCs w:val="18"/>
          <w:color w:val="auto"/>
        </w:rPr>
        <w:t>Saratoga Investment Advisors will review proposals related to social, political and environmental issues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they may adversely affect stockholder value. It may abstain from voting on such proposals where they do not have a readily determinable financial impact on stockholder value.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Privacy principles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are committed to protecting the privacy of our stockholders. The following explains the privacy policies of Saratoga Investment Corp., Saratoga Investment Advisors and their affiliated companies.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will safeguard, according to strict standards of security and confidentiality, all information we receive about our stockholders. The only information we collect from stockholders is the holder’s name, address, number of shares and social security number. This information is used only so that we can send annual reports and other information about us to the stockholder, and send the stockholder proxy statements or other information required by law.</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share this information with any non-affiliated third party except as described below.</w:t>
      </w:r>
    </w:p>
    <w:p>
      <w:pPr>
        <w:spacing w:after="0" w:line="225" w:lineRule="exact"/>
        <w:rPr>
          <w:sz w:val="20"/>
          <w:szCs w:val="20"/>
          <w:color w:val="auto"/>
        </w:rPr>
      </w:pPr>
    </w:p>
    <w:p>
      <w:pPr>
        <w:ind w:left="980" w:right="20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Authorized Employees of Saratoga Investment Advisors. </w:t>
      </w:r>
      <w:r>
        <w:rPr>
          <w:rFonts w:ascii="Arial" w:cs="Arial" w:eastAsia="Arial" w:hAnsi="Arial"/>
          <w:sz w:val="18"/>
          <w:szCs w:val="18"/>
          <w:color w:val="auto"/>
        </w:rPr>
        <w:t>It is our policy that only authorized employees of Saratoga Investment Advisors who</w:t>
      </w:r>
      <w:r>
        <w:rPr>
          <w:rFonts w:ascii="Arial" w:cs="Arial" w:eastAsia="Arial" w:hAnsi="Arial"/>
          <w:sz w:val="18"/>
          <w:szCs w:val="18"/>
          <w:i w:val="1"/>
          <w:iCs w:val="1"/>
          <w:color w:val="auto"/>
        </w:rPr>
        <w:t xml:space="preserve"> </w:t>
      </w:r>
      <w:r>
        <w:rPr>
          <w:rFonts w:ascii="Arial" w:cs="Arial" w:eastAsia="Arial" w:hAnsi="Arial"/>
          <w:sz w:val="18"/>
          <w:szCs w:val="18"/>
          <w:color w:val="auto"/>
        </w:rPr>
        <w:t>need to know a stockholder’s personal information will have access to it.</w:t>
      </w:r>
    </w:p>
    <w:p>
      <w:pPr>
        <w:spacing w:after="0" w:line="170" w:lineRule="exact"/>
        <w:rPr>
          <w:rFonts w:ascii="Arial" w:cs="Arial" w:eastAsia="Arial" w:hAnsi="Arial"/>
          <w:sz w:val="18"/>
          <w:szCs w:val="18"/>
          <w:color w:val="auto"/>
        </w:rPr>
      </w:pPr>
    </w:p>
    <w:p>
      <w:pPr>
        <w:ind w:left="980" w:right="140" w:hanging="324"/>
        <w:spacing w:after="0" w:line="264"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Service Providers. </w:t>
      </w:r>
      <w:r>
        <w:rPr>
          <w:rFonts w:ascii="Arial" w:cs="Arial" w:eastAsia="Arial" w:hAnsi="Arial"/>
          <w:sz w:val="18"/>
          <w:szCs w:val="18"/>
          <w:color w:val="auto"/>
        </w:rPr>
        <w:t>We may disclose your personal information to companies that provide services on our behalf, such as recordkeeping,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 stockholder’s trades, and mailing stockholder information. These companies are required to protect our stockholders’ information and use it solely for the purpose for which they received it.</w:t>
      </w:r>
    </w:p>
    <w:p>
      <w:pPr>
        <w:spacing w:after="0" w:line="181" w:lineRule="exact"/>
        <w:rPr>
          <w:rFonts w:ascii="Arial" w:cs="Arial" w:eastAsia="Arial" w:hAnsi="Arial"/>
          <w:sz w:val="18"/>
          <w:szCs w:val="18"/>
          <w:color w:val="auto"/>
        </w:rPr>
      </w:pPr>
    </w:p>
    <w:p>
      <w:pPr>
        <w:ind w:left="980" w:right="100" w:hanging="324"/>
        <w:spacing w:after="0" w:line="308" w:lineRule="auto"/>
        <w:tabs>
          <w:tab w:leader="none" w:pos="944"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Courts and Government Officials. </w:t>
      </w:r>
      <w:r>
        <w:rPr>
          <w:rFonts w:ascii="Arial" w:cs="Arial" w:eastAsia="Arial" w:hAnsi="Arial"/>
          <w:sz w:val="17"/>
          <w:szCs w:val="17"/>
          <w:color w:val="auto"/>
        </w:rPr>
        <w:t>If required by law, we may disclose a stockholder’s personal information in accordance with a court order or</w:t>
      </w:r>
      <w:r>
        <w:rPr>
          <w:rFonts w:ascii="Arial" w:cs="Arial" w:eastAsia="Arial" w:hAnsi="Arial"/>
          <w:sz w:val="17"/>
          <w:szCs w:val="17"/>
          <w:i w:val="1"/>
          <w:iCs w:val="1"/>
          <w:color w:val="auto"/>
        </w:rPr>
        <w:t xml:space="preserve"> </w:t>
      </w:r>
      <w:r>
        <w:rPr>
          <w:rFonts w:ascii="Arial" w:cs="Arial" w:eastAsia="Arial" w:hAnsi="Arial"/>
          <w:sz w:val="17"/>
          <w:szCs w:val="17"/>
          <w:color w:val="auto"/>
        </w:rPr>
        <w:t>at the request of government regulators. Only that information required by law, subpoena, or court order will be disclosed.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Compliance with applicable laws</w:t>
      </w:r>
    </w:p>
    <w:p>
      <w:pPr>
        <w:sectPr>
          <w:pgSz w:w="11900" w:h="16838" w:orient="portrait"/>
          <w:cols w:equalWidth="0" w:num="1">
            <w:col w:w="11400"/>
          </w:cols>
          <w:pgMar w:left="240" w:top="125" w:right="259" w:bottom="0" w:gutter="0" w:footer="0" w:header="0"/>
        </w:sectPr>
      </w:pPr>
    </w:p>
    <w:bookmarkStart w:id="16" w:name="page17"/>
    <w:bookmarkEnd w:id="16"/>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BDC, we are periodically examined by the SEC for compliance with the 1940 Act.</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We and Saratoga Investment Advisors are each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Co-investment</w:t>
      </w:r>
    </w:p>
    <w:p>
      <w:pPr>
        <w:spacing w:after="0" w:line="225"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We may be prohibited under the 1940 Act from knowingly participating in certain transactions with our affiliates without the prior approval of our board of directors who are not interested persons and, in some cases, prior approval by the SEC. Thus, based on current SEC interpretations, co-investment transactions involving a BDC like us and an entity that is advised by Saratoga Investment Advisors or an affiliated adviser generally could not be effected without SEC relief. The staff of the SEC has, however, granted no-action relief permitting for purchases of a single class of privately-placed securities provided that the adviser negotiates no term other than price and certain other conditions are met. As a result, currently we only expect to co-invest on a concurrent basis with affiliates of Saratoga Investment Advisors when each of us will own the same securities of the issuer and when no term is negotiated other than price. Any such investment would be made, subject to compliance with existing regulatory guidance, applicable regulations and our allocation procedures.</w:t>
      </w:r>
    </w:p>
    <w:p>
      <w:pPr>
        <w:spacing w:after="0" w:line="192"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We may in the future submit an exemptive application to the SEC to permit greater flexibility to negotiate the terms of co-investments because we believe that it will be advantageous for us to co-invest with affiliates of Saratoga Investment Advisors where such investment is consistent with the investment objective, investment positions, investment policies, investment strategies, investment restrictions, regulatory requirements and other pertinent factors applicable to us. However, there is no assurance that any application for exemptive relief, if made, would be granted by the SEC.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Investment Company Regulations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28, 2012, our wholly-owned subsidiary, Saratoga Investment Corp. SBIC, LP, received an SBIC license from the SBA.</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SBIC license allows our SBIC subsidiary to obtain leverage by issuing SBA-guaranteed debentures, subject to the satisfaction of certain customary procedures.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at the time of issuance at a market-driven spread over U.S. Treasury Notes with 10-year maturities.</w:t>
      </w:r>
    </w:p>
    <w:p>
      <w:pPr>
        <w:spacing w:after="0" w:line="15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$18.0 million and have average annual fully taxed net income not exceeding $6.0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SBA regulations currently limit the amount of SBA-guaranteed debentures that an SBIC may issue to $150.0 million when it has at least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$75.0 million in regulatory capital. Affiliated SBICs are permitted to issue up to a combined maximum amount of $225.0 million in SBA-guaranteed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debentures when they have at least $112.5 million in combined regulatory capital. As of February 28, 2014, our SBIC subsidiary had $32.0 million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regulatory capital and $50.0 million of SBA-guaranteed debentures outstanding. The SBA restricts the ability of SBICs to repurchase their capital stock. SBA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regulations also include restrictions on a “change of control” or transfer of an SBIC and require that SBICs invest idle funds in accordance with SBA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In addition, our SBIC subsidiary may also be limited in its ability to make distributions to us if it does not have sufficient capital,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SBA regulations.</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SBIC subsidiary is subject to regulation and oversight by the SBA, including requirements with respect to maintaining certain minimum financial ratios and other covenants. The SBA, as a creditor, will have a superior claim to our SBIC subsidiary’s assets over our stockholders in the event we liquidate our SBIC subsidiary or the SBA exercises its remedies under the SBA-guaranteed debentures issued by our SBIC subsidiary upon an event of default.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received exemptive relief from the SEC to permit us to exclude the debt of our SBIC guaranteed by the SBA from the definition of senior securities in the 200.0% asset coverage test under the 1940 Act. This allows us increased flexibility under the 200.0% asset coverage test by permitting us to borrow up to $150.0 million more than we would otherwise be able to absent the receipt of this exemptive relief</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file with or submit to the SEC annual, quarterly and current periodic reports, proxy statements and other information meeting the informational requirements of the Securities Exchange of 1934, as amended (the “Exchange Act”). You may inspect and copy these reports, proxy statements and other information at the Public Reference Room of the SEC at 100 F Street, N.E., Washington, D.C. 20549. You may obtain information on the operation of the</w:t>
      </w:r>
    </w:p>
    <w:p>
      <w:pPr>
        <w:sectPr>
          <w:pgSz w:w="11900" w:h="16952" w:orient="portrait"/>
          <w:cols w:equalWidth="0" w:num="1">
            <w:col w:w="11420"/>
          </w:cols>
          <w:pgMar w:left="240" w:top="125" w:right="239" w:bottom="0" w:gutter="0" w:footer="0" w:header="0"/>
        </w:sectPr>
      </w:pPr>
    </w:p>
    <w:bookmarkStart w:id="17" w:name="page18"/>
    <w:bookmarkEnd w:id="17"/>
    <w:p>
      <w:pPr>
        <w:spacing w:after="0" w:line="3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Public Reference Room by calling the SEC at 1-800-SEC-0330. Copies of these reports, proxy and information statements and other information may be obtained, after paying a duplicating fee, by electronic request at the following e-mail address: publicinfo@sec.gov, or by writing the SEC’s Public Reference Section, Washington, D.C. 20549-0102. In addition, the SEC maintains an Internet website that contains reports, proxy and information statements and other information filed electronically by us with the SEC at http://www.sec.gov. Our Internet address is http://www.saratogainvestmentcorp.com. We make available free of charge on our Internet website our annual report on Form 10-K, quarterly reports on Form 10-Q, current reports on Form 8-K, and amendments to those reports as soon as reasonably practicable after we electronically file such material with, or furnish it to, the SEC. Information contained on our website is not incorporated by reference into this Annual Report, and you should not consider that information to be part of this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Investing in our securities involves a high degree of risk. The risks set forth below are the principal risks with respect to the Company generally and with respect to business development companies, they may not be the only risks we face. If any of the following risks occur, our business and financial condition could be materially and adversely affected. If any of the risks occur, our business, financial condition and results of operations could be materially adversely affected. In such case, our net asset value and the trading price of our securities could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24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broader economic fundamentals of the United States economy remain uncertain. Unemployment levels remain elevated and other economic fundamentals remain depressed. In the event that the United States economic performance contracts, it is likely that the financial results of middle market companies, like those in which we invest, could experience deterioration or limited growth, which could ultimately lead to difficulty in meeting their debt service requirements and an increase in defaults. Consequently, we can provide no assurance that the performance of certain of our portfolio companies will not be negatively impacted by economic or other conditions, which could also have a negative impact on our future results.</w:t>
      </w:r>
    </w:p>
    <w:p>
      <w:pPr>
        <w:spacing w:after="0" w:line="15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current worldwide financial market situation, as well as various social and political tensions in the United States and around the world, may continue to contribute to increased market volatility, may have long-term effects on the United States and worldwide financial markets, and may cause further economic uncertainties or deterioration in the United States and worldwide. Since 2010, several European Union (“EU”) countries, including</w:t>
      </w:r>
    </w:p>
    <w:p>
      <w:pPr>
        <w:ind w:right="20"/>
        <w:spacing w:after="0" w:line="252" w:lineRule="auto"/>
        <w:rPr>
          <w:sz w:val="20"/>
          <w:szCs w:val="20"/>
          <w:color w:val="auto"/>
        </w:rPr>
      </w:pPr>
      <w:r>
        <w:rPr>
          <w:rFonts w:ascii="Arial" w:cs="Arial" w:eastAsia="Arial" w:hAnsi="Arial"/>
          <w:sz w:val="18"/>
          <w:szCs w:val="18"/>
          <w:color w:val="auto"/>
        </w:rPr>
        <w:t>Greece, Ireland, Italy, Spain, and Portugal, have faced budget issues, some of which may have negative long-term effects for the economies of those countries and other EU countries. There is continued concern about national-level support for the Euro and the accompanying coordination of fiscal and wage policy among European Economic and Monetary Union member countries. In addition, the fiscal policy of foreign nations, such as China, may have a severe impact on the worldwide and United States financial markets. Moreover, there are concerns that the recent economic slowdown in China could have a negative impact on markets throughout the world. We do not know how long the financial markets will continue to be affected by these events and cannot predict the effects of these or similar events in the future on the United States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Although we have been able to secure access to additional liquidity, the potential for volatility in the debt and in the equity capital markets provides no assurance that debt or equity capital will be available to us in the future on favorable terms, or at 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obligated to pay Saratoga Investment Advisors incentive fees even if we incur a net loss, or there is a decline in the value of our portfolio.</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Saratoga Investment Advisors is entitled to incentive fees for each fiscal quarter in an amount equal to a percentage of the excess of our investment income for that quarter (before deducting incentive compensation, but net of operating expenses and certain other items) above a threshold return for that quarter. Our pre-incentive fee net investment income, for incentive compensation purposes, excludes realized and unrealized capital gains or losses that we may incur in the fiscal quarter, even if such capital gains or losses result in a net gain or loss on our statement of operations for that quarter. Thus, we may be required to pay Saratoga Investment Advisors incentive fees for a fiscal quarter even if there is a decline in the value of our portfolio or we incur a net loss for that quarter.</w:t>
      </w:r>
    </w:p>
    <w:p>
      <w:pPr>
        <w:spacing w:after="0" w:line="193"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Under the terms of the Management Agreement, we may have to pay incentive fees to Saratoga Investment Advisors in connection with the sale of an investment that is sold at a price higher than the fair value of such investment on May 31, 2010, even if we incur a loss on the sale of such investment.</w:t>
      </w:r>
    </w:p>
    <w:p>
      <w:pPr>
        <w:spacing w:after="0" w:line="10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Incentive fees on capital gains paid to Saratoga Investment Advisors under the Management Agreement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Under the Management Agreement,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20.0% of the incentive fee capital gains that arise after May 31, 2010. In addition, the cost basis for computing realized gains and losses on investments held by us as of May 31, 2010 will equal the fair value of such investments as of such date. See our Form 10-Q for the quarter ended May 31, 2010 that was filed with the SEC on July 15, 2010 for the fair value and other information related to our investments as of such date. As a result, we may be required to pay incentive fees to Saratoga Investment Advisors on the sale of an investment even if we incur a realized loss on such investment, so long as the investment is sold for an amount greater than its fair value as of May 31, 2010.</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way in which the base management and incentive fees under the Management Agreement is determined may encourage Saratoga Investment Advisors to take actions that may not be in our best interests.</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incentive fee payable by us to our investment adviser may create an incentive for it to make investments on our behalf that are risky or more speculative than would be the case in the absence of such compensation arrangement, which could result in higher investment losses, particularly during cyclical economic downturns. The way in which the incentive fee payable to our investment adviser is determined, which is calculated separately in two components as a percentage of the income (subject to a hurdle rate) and as a percentage of the realized gain on invested capital, may encourage our investment adviser to use leverage to increase the return on our investments or otherwise manipulate our income so as to recognize income in quarters where</w:t>
      </w:r>
    </w:p>
    <w:p>
      <w:pPr>
        <w:sectPr>
          <w:pgSz w:w="11900" w:h="16874" w:orient="portrait"/>
          <w:cols w:equalWidth="0" w:num="1">
            <w:col w:w="11400"/>
          </w:cols>
          <w:pgMar w:left="240" w:top="125" w:right="259" w:bottom="0" w:gutter="0" w:footer="0" w:header="0"/>
        </w:sectPr>
      </w:pPr>
    </w:p>
    <w:bookmarkStart w:id="18" w:name="page19"/>
    <w:bookmarkEnd w:id="18"/>
    <w:p>
      <w:pPr>
        <w:ind w:right="200"/>
        <w:spacing w:after="0" w:line="259" w:lineRule="auto"/>
        <w:rPr>
          <w:sz w:val="20"/>
          <w:szCs w:val="20"/>
          <w:color w:val="auto"/>
        </w:rPr>
      </w:pPr>
      <w:r>
        <w:rPr>
          <w:rFonts w:ascii="Arial" w:cs="Arial" w:eastAsia="Arial" w:hAnsi="Arial"/>
          <w:sz w:val="18"/>
          <w:szCs w:val="18"/>
          <w:color w:val="auto"/>
        </w:rPr>
        <w:t>the hurdle rate is exceeded. Moreover, we pay Saratoga Investment Advisors a base management fee based on our total assets, including any investments made with borrowings, which may create an incentive for it to cause us to incur more leverage than is prudent, or not to repay our outstanding indebtedness when it may be advantageous for us to do so, in order to maximize its compensation. Under certain circumstances, the use of leverage may increase the likelihood of default, which would disfavor the holders of our securities.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incentive fee payable by us to our investment adviser also may create an incentive for our investment adviser to invest on our behalf in instruments that have a deferred interest feature. Under these investments, we would accrue the interest over the life of the investment but would not receive the cash income from the investment until the end of the investment’s term, if at all. Our net investment income used to calculate the income portion of our incentive fee, however, includes accrued interest. Thus, a portion of the incentive fee would be based on income that we have not yet received in cash and may never receive in cash if the portfolio company is unable to satisfy such interest payment obligation to us. Consequently, while we may make incentive fee payments on income accruals that we may not collect in the future and with respect to which we do not have a “claw back” right against our investment adviser per se, the amount of accrued income written off in any period will reduce the income in the period in which such write-off was taken and may thereby reduce such period’s incentive fee payment.</w:t>
      </w:r>
    </w:p>
    <w:p>
      <w:pPr>
        <w:spacing w:after="0" w:line="179"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In addition, Saratoga Investment Advisors receives a quarterly income incentive fee based, in part, on our pre-incentive fee net investment income, if any, for the immediately preceding calendar quarter. This income incentive fee is subject to a fixed quarterly hurdle rate before providing an income incentive fee return to Saratoga Investment Advisors. This fixed hurdle rate was determined when then current interest rates were relatively low on a historical basis.</w:t>
      </w:r>
    </w:p>
    <w:p>
      <w:pPr>
        <w:ind w:right="200"/>
        <w:spacing w:after="0" w:line="302" w:lineRule="auto"/>
        <w:rPr>
          <w:sz w:val="20"/>
          <w:szCs w:val="20"/>
          <w:color w:val="auto"/>
        </w:rPr>
      </w:pPr>
      <w:r>
        <w:rPr>
          <w:rFonts w:ascii="Arial" w:cs="Arial" w:eastAsia="Arial" w:hAnsi="Arial"/>
          <w:sz w:val="16"/>
          <w:szCs w:val="16"/>
          <w:color w:val="auto"/>
        </w:rPr>
        <w:t>Thus, if interest rates rise, it would become easier for our investment income to exceed the hurdle rate and, as a result, more likely that Saratoga Investment Advisors will receive an income incentive fee than if interest rates on our investments remained constant or decreased. In addition, if we repurchase our outstanding debt securities, including our 7.50% Notes due 2020 (the “Notes”) and such repurchase results in our recording a net gain on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extinguishment of debt for financial reporting and tax purposes, such net gain will be included in our pre-incentive fee net investment income for purposes of determining the income incentive fee payable to our investment adviser under the Management Agreement.</w:t>
      </w:r>
    </w:p>
    <w:p>
      <w:pPr>
        <w:spacing w:after="0" w:line="170" w:lineRule="exact"/>
        <w:rPr>
          <w:sz w:val="20"/>
          <w:szCs w:val="20"/>
          <w:color w:val="auto"/>
        </w:rPr>
      </w:pPr>
    </w:p>
    <w:p>
      <w:pPr>
        <w:jc w:val="both"/>
        <w:ind w:right="140" w:firstLine="648"/>
        <w:spacing w:after="0" w:line="288" w:lineRule="auto"/>
        <w:rPr>
          <w:sz w:val="20"/>
          <w:szCs w:val="20"/>
          <w:color w:val="auto"/>
        </w:rPr>
      </w:pPr>
      <w:r>
        <w:rPr>
          <w:rFonts w:ascii="Arial" w:cs="Arial" w:eastAsia="Arial" w:hAnsi="Arial"/>
          <w:sz w:val="16"/>
          <w:szCs w:val="16"/>
          <w:color w:val="auto"/>
        </w:rPr>
        <w:t>Moreover, our investment adviser receives the incentive fee based, in part, upon net capital gains realized on our investments. Unlike the portion of the incentive fee based on income, there is no performance threshold applicable to the portion of the incentive fee based on net capital gains. As a result, our investment adviser may have a tendency to invest more in investments that are likely to result in capital gains as compared to income producing securities.</w:t>
      </w:r>
    </w:p>
    <w:p>
      <w:pPr>
        <w:ind w:right="180"/>
        <w:spacing w:after="0" w:line="261" w:lineRule="auto"/>
        <w:rPr>
          <w:sz w:val="20"/>
          <w:szCs w:val="20"/>
          <w:color w:val="auto"/>
        </w:rPr>
      </w:pPr>
      <w:r>
        <w:rPr>
          <w:rFonts w:ascii="Arial" w:cs="Arial" w:eastAsia="Arial" w:hAnsi="Arial"/>
          <w:sz w:val="18"/>
          <w:szCs w:val="18"/>
          <w:color w:val="auto"/>
        </w:rPr>
        <w:t>Such a practice could result in our investing in more speculative securities than would otherwise be the case, which could result in higher investment losses, particularly during economic downturns.</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board of directors will seek to ensure that Saratoga Investment Advisors is acting in our best interests and that any conflict of interest faced by Saratoga Investment Advisors in its capacity as our investment adviser does not negatively impact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base management fee we pay to Saratoga Investment Advisors may cause it to increase our leverage contrary to our interest.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pay Saratoga Investment Advisors a quarterly base management fee based on the value of our total assets (including any assets acquired with leverage). Accordingly, Saratoga Investment Advisors has an economic incentive to increase our leverage. Our board of directors monitors the conflicts presented by this compensation structure by approving the amount of leverage that we incur. If our leverage is increased, we will be exposed to increased risk of loss, bear the increase cost of issuing and servicing such senior indebtedness, and will be subject to any additional covenant restrictions imposed on us in an indenture or other instrument or by the applicable lender.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employ leverage, which magnifies the potential for gain or loss on amounts invested and may increase the risk of investing in us.</w:t>
      </w:r>
    </w:p>
    <w:p>
      <w:pPr>
        <w:spacing w:after="0" w:line="225" w:lineRule="exact"/>
        <w:rPr>
          <w:sz w:val="20"/>
          <w:szCs w:val="20"/>
          <w:color w:val="auto"/>
        </w:rPr>
      </w:pPr>
    </w:p>
    <w:p>
      <w:pPr>
        <w:jc w:val="both"/>
        <w:ind w:right="340" w:firstLine="648"/>
        <w:spacing w:after="0" w:line="288" w:lineRule="auto"/>
        <w:rPr>
          <w:sz w:val="20"/>
          <w:szCs w:val="20"/>
          <w:color w:val="auto"/>
        </w:rPr>
      </w:pPr>
      <w:r>
        <w:rPr>
          <w:rFonts w:ascii="Arial" w:cs="Arial" w:eastAsia="Arial" w:hAnsi="Arial"/>
          <w:sz w:val="16"/>
          <w:szCs w:val="16"/>
          <w:color w:val="auto"/>
        </w:rPr>
        <w:t>Borrowings, also known as leverage, magnify the potential for gain or loss on amounts invested and, therefore, increase the risks associated with investing in us. We borrow from and issue senior debt securities to banks and other lenders that is secured by a lien on our assets. Holders of these senior securities have fixed dollar claims on our assets that are superior to the claims of the holders of our securities, including the holders of our securities.</w:t>
      </w:r>
    </w:p>
    <w:p>
      <w:pPr>
        <w:ind w:right="20"/>
        <w:spacing w:after="0" w:line="295" w:lineRule="auto"/>
        <w:rPr>
          <w:sz w:val="20"/>
          <w:szCs w:val="20"/>
          <w:color w:val="auto"/>
        </w:rPr>
      </w:pPr>
      <w:r>
        <w:rPr>
          <w:rFonts w:ascii="Arial" w:cs="Arial" w:eastAsia="Arial" w:hAnsi="Arial"/>
          <w:sz w:val="16"/>
          <w:szCs w:val="16"/>
          <w:color w:val="auto"/>
        </w:rPr>
        <w:t>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common stock distributions or scheduled debt payments, including with respect to the Notes. There can be no assurance that our leveraging strategy will be successful.</w:t>
      </w:r>
    </w:p>
    <w:p>
      <w:pPr>
        <w:spacing w:after="0" w:line="16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of February 28, 2014, there was no balance outstanding under the Credit Facility. As of February 28, 2014, we had issued $50.0 million SBA-guaranteed debentures and $48.3 million of the Notes. We may incur additional indebtedness in the future, including up to an additional $45.0 million under the Credit Facility, although there can be no assurance that we will be successful in doing so. Our ability to service our debt depends largely on our financial performance and is subject to prevailing economic conditions and competitive pressures. The amount of leverage that we employ at any particular time will depend on our management’s and our Board of Directors’ assessment of market and other factors at the time of any proposed borrowing.</w:t>
      </w:r>
    </w:p>
    <w:p>
      <w:pPr>
        <w:spacing w:after="0" w:line="15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154"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Saratoga Investment Advisors’ liability is limited under the Management Agreement and we will indemnify Saratoga Investments Advisors against certain liabilities, which may lead it to act in a riskier manner on our behalf than it would when acting for its own account.</w:t>
      </w:r>
    </w:p>
    <w:p>
      <w:pPr>
        <w:spacing w:after="0" w:line="147"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Saratoga Investment Advisors has not assumed any responsibility to us other than to render the services described in the Management Agreement. Pursuant to the Management Agreement, Saratoga Investment Advisors and its officers and employees are not liable to us for their acts under the Management Agreement absent willful misfeasance, bad faith, gross negligence or reckless disregard in the performance of their duties. We have agreed to indemnify, defend and protect Saratoga Investment Advisors and its officers and employees with respect to all damages, liabilities, costs and expenses resulting from acts of Saratoga Investment Advisors not arising out of willful misfeasance, bad faith, gross negligence or reckless disregard in the</w:t>
      </w:r>
    </w:p>
    <w:p>
      <w:pPr>
        <w:sectPr>
          <w:pgSz w:w="11900" w:h="16838" w:orient="portrait"/>
          <w:cols w:equalWidth="0" w:num="1">
            <w:col w:w="11420"/>
          </w:cols>
          <w:pgMar w:left="240" w:top="125" w:right="239" w:bottom="0" w:gutter="0" w:footer="0" w:header="0"/>
        </w:sectPr>
      </w:pPr>
    </w:p>
    <w:bookmarkStart w:id="19" w:name="page20"/>
    <w:bookmarkEnd w:id="19"/>
    <w:p>
      <w:pPr>
        <w:spacing w:after="0" w:line="1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performance of their duties under the Management Agreement. These protections may lead Saratoga Investment Advisors to act in a riskier manner when acting on our behalf than it would when acting for its own account.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Substantially all of our assets are subject to security interests under our Credit Facility or claims of the SBA with respect to SBA-guaranteed debentures we may issue and if we default on our obligations thereunder, we may suffer adverse consequences, including the foreclosure on our assets.</w:t>
      </w:r>
    </w:p>
    <w:p>
      <w:pPr>
        <w:spacing w:after="0" w:line="10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Substantially all of our assets are pledged as collateral under the Credit Facility or are subject to a superior claim over the holders of our common stock or the Notes by the SBA pursuant to the SBA-guaranteed debentures. If we default on our obligations under the Credit Facility or the SBA-guaranteed debentures, Madison Capital Funding and/or the SBA may have the right to foreclose upon and sell, or otherwise transfer, the collateral subject to their security interests or superior claim. In such event, we may be forced to sell our investments to raise funds to repay our outstanding borrowings in order to avoid foreclosure and these forced sales may be at times and at prices we would not consider advantageous. Moreover, such deleveraging of our company could significantly impair our ability to effectively operate our business in the manner in which we have historically operated.</w:t>
      </w:r>
    </w:p>
    <w:p>
      <w:pPr>
        <w:spacing w:after="0" w:line="16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addition, if Madison Capital Funding exercises its right to sell the assets pledged under the Credit Facility, such sales may be completed at distressed sale prices, thereby diminishing or potentially eliminating the amount of cash available to us after repayment of the amounts outstanding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risks associated with changes in interest rates including potential effects on our cost of capital and net investment income.</w:t>
      </w:r>
    </w:p>
    <w:p>
      <w:pPr>
        <w:spacing w:after="0" w:line="2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General interest rate fluctuations and changes in credit spreads on floating rate loans may have a substantial negative impact on our investments and investment opportunities and, accordingly, may have a material adverse effect on our rate of return on invested capital. In addition, an increase in interest rates would make it more expensive to use debt to finance our investments. Decreases in credit spreads on debt that pays a floating rate of return would have an impact on the income generation of our floating rate assets. Trading prices for debt that pays a fixed rate of return tend to fall as interest rates rise. Trading prices tend to fluctuate more for fixed rate securities that have longer maturities. Although we have no policy governing the maturities of our investments, under current market conditions we expect that we will invest in a portfolio of debt generally having maturities of up to ten years. This means that we will be subject to greater risk (other things being equal) than an entity investing solely in shorter-term securities.</w:t>
      </w:r>
    </w:p>
    <w:p>
      <w:pPr>
        <w:spacing w:after="0" w:line="16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Because we may borrow to fund our investments, a portion of our net investment income may be dependent upon the difference between the interest rate at which we borrow funds and the interest rate at which we invest these funds. A portion of our investments will have fixed interest rates, while a portion of our borrowings will likely have floating interest rates. As a result, a significant change in market interest rates could have a material adverse effect on our net investment income. In periods of rising interest rates, our cost of funds could increase, which would reduce our net investment income. We may hedge against such interest rate fluctuations by using standard hedging instruments such as futures, options and forward contracts, subject to applicable legal requirements, including without limitation, all necessary registrations (or exemptions from registration) with the Commodity Futures Trading Commission. These activities may limit our ability to participate in the benefits of lower interest rates with respect to the hedged borrowings. Adverse developments resulting from changes in interest rates or hedging transactions could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adversely impact our investment returns.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executive officers and directors, and the members of our investment adviser, serve or may serve as officers, directors or principals of entities that operate in the same or a related line of business as we do or of investment funds managed by our affiliates. Accordingly, they may have obligations to investors in those entities, the fulfillment of which might not be in the best interests of us or our stockholders. For example, Christian L. Oberbeck, our chief executive officer and managing member of our investment adviser, is the managing partner of Saratoga Partners, a middle market private equity investment firm. In addition, the principals of our investment adviser may manage other funds which may from time to time have overlapping investment objectives with those of us and accordingly invest in, whether principally or secondarily, asset classes similar to those targeted by us. If this should occur, the principals of our investment adviser will face conflicts of interest in the allocation of investment opportunities to us and such other funds. Although our investment professionals will endeavor to allocate investment opportunities in a fair and equitable manner, we and our common stockholders could be adversely affected in the event investment opportunities are allocated among us and other investment vehicles managed or sponsored by, or affiliated with, our executive officers, directors and investment adviser, and the members of our investment adviser.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Changes in laws or regulations governing our operations, or changes in the interpretation thereof, and any failure by us to comply with laws or regulations governing our operations may adversely affect our business.</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are subject to regulation at the local, state and federal levels. These laws and regulations, as well as their interpretation, may be changed from time to time. Any change in these laws or regulations, or their interpretation, or any failure by us to comply with these laws or regulations may adversely affect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raise additional capital.</w:t>
      </w:r>
    </w:p>
    <w:p>
      <w:pPr>
        <w:spacing w:after="0" w:line="225" w:lineRule="exact"/>
        <w:rPr>
          <w:sz w:val="20"/>
          <w:szCs w:val="20"/>
          <w:color w:val="auto"/>
        </w:rPr>
      </w:pPr>
    </w:p>
    <w:p>
      <w:pPr>
        <w:jc w:val="both"/>
        <w:ind w:right="320" w:firstLine="648"/>
        <w:spacing w:after="0" w:line="279" w:lineRule="auto"/>
        <w:rPr>
          <w:sz w:val="20"/>
          <w:szCs w:val="20"/>
          <w:color w:val="auto"/>
        </w:rPr>
      </w:pPr>
      <w:r>
        <w:rPr>
          <w:rFonts w:ascii="Arial" w:cs="Arial" w:eastAsia="Arial" w:hAnsi="Arial"/>
          <w:sz w:val="17"/>
          <w:szCs w:val="17"/>
          <w:color w:val="auto"/>
        </w:rPr>
        <w:t>Our business requires a substantial amount of additional capital. We may acquire additional capital from the issuance of senior securities or other indebtedness or the issuance of additional shares of our common stock.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w:t>
      </w:r>
    </w:p>
    <w:p>
      <w:pPr>
        <w:spacing w:after="0" w:line="17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Under the provisions of the 1940 Act, we are permitted, as a BDC, to incur indebtedness or issue senior securities only in amounts such that our asset coverage, as defined in the 1940 Act, equals at least 200.0% after such incurrence or issuance. Our ability to issue different types of securities is also limited.</w:t>
      </w:r>
    </w:p>
    <w:p>
      <w:pPr>
        <w:sectPr>
          <w:pgSz w:w="11900" w:h="16975" w:orient="portrait"/>
          <w:cols w:equalWidth="0" w:num="1">
            <w:col w:w="11420"/>
          </w:cols>
          <w:pgMar w:left="240" w:top="125" w:right="239" w:bottom="0" w:gutter="0" w:footer="0" w:header="0"/>
        </w:sectPr>
      </w:pPr>
    </w:p>
    <w:bookmarkStart w:id="20" w:name="page21"/>
    <w:bookmarkEnd w:id="20"/>
    <w:p>
      <w:pPr>
        <w:spacing w:after="0" w:line="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Compliance with these requirements may unfavorably limit our investment opportunities and reduce our ability in comparison to other companies to profit from favorable spreads between the rates at which we can borrow and the rates at which we can lend. As a business development company, therefore, we may need to issue equity more frequently than our privately owned competitors, which may lead to greater stockholder dilution.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If that happens, we may be required to liquidate a portion of our investments and repay a portion of our indebtedness at a time when such sales may be disadvantageous in order to make dividend distributions or repurchase certain of our securities.</w:t>
      </w:r>
    </w:p>
    <w:p>
      <w:pPr>
        <w:spacing w:after="0" w:line="16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are not generally able to issue and sell our common stock at a price below net asset value per share. We may, however, sell our common stock, or warrants, options or rights to acquire our common stock, at a price below the current net asset value of the common stock if our board of directors determines that such sale is in our best interests and the best interests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commission or discount). If our common stock trades at a discount to net asset value, this restriction could adversely affect our ability to raise capital. At our 2013 annual meeting of stockholders, our stockholders approved a proposal that authorizes us to sell shares of our common stock below the then current net asset value per share of our common stock at an offering price per share that is not less than 85% of the then current net asset value per share in one or more offerings for a period of one year ending on the earlier of September 26, 2014 or the date of our 2014 annual meeting of stockholders. Continued access to this exception will require approval of similar proposals at future stockholder meetings. If our common stock trades at a discount to net asset value, this restriction could adversely affect our ability to raise capital.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a business development company, we are generally not permitted to incur indebtedness unless immediately after such borrowing we have an asset coverage for total borrowings of at least 200% (i.e., the amount of debt may not exceed 50% of the value of our assets). We have agreed in the covenant in the indenture governing the Notes not to violate this section of the 1940 Act, whether or not we continue to be subject to such provision, but giving effect, in either case, to any exemptive relief granted to us by the SEC. Recent legislation introduced in the U.S. House of Representatives, if passed, would modify this section of the 1940 Act and increase the amount of debt that business development companies may incur by modifying the percentage from 200% to 150%. As a result, we may be able to incur additional indebtedness in the future and therefore your risk of an investment in our securities may increase.</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agreement governing our Credit Facility contains various covenants that, among other things, limits our discretion in operating our business and provides for certain minimum financial covenants.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agreement governing the Credit Facility contains customary default provisions such as the termination or departure of certain “key persons” of Saratoga Investment Advisors, a material adverse change in our business and the failure to maintain certain minimum loan quality and performance standards. An event of default under the facility would result, among other things, in termination of the availability of further funds under the facility and an accelerated maturity date for all amounts outstanding under the facility, which would likely disrupt our business and, potentially, the portfolio companies whose loans we financed through the facility. This could reduce our revenues and, by delaying any cash payment allowed to us under the facility until the lender has been paid in full, reduce our liquidity and cash flow and impair our ability to grow our business and maintain our status as a RIC.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Each loan origination under the facility is subject to the satisfaction of certain conditions. We cannot assure you that we will be able to borrow funds under the facility at any particular time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corporate-level income tax if we fail to qualify as a RIC.</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seek to maintain our qualification as a RIC under the Code, which requires us to qualify continuously as a BDC and meet certain source of income, distribution and asset diversification requirements.</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source of income requirement is satisfied if we derive at least 90.0% of our annual gross income from interest, dividends, payments with respect to certain securities loans, gains from the sale or other disposition of securities or options thereon or foreign currencies, or other income derived with respect to our business of investing in such securities or currencies, and net income from interests in “qualified publicly traded partnerships,” as defined in the Code.</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annual distribution requirement is satisfied if we distribute to our stockholders on an annual basis an amount equal to at least 90.0% of our ordinary net taxable income and realized net short-term capital gains in excess of realized net long-term capital losses, if any, reduced by deductible expenses. We are subject to certain asset coverage ratio requirements under the 1940 Act and covenants under our borrowing agreements that could, under certain circumstances, restrict us from making distributions necessary to qualify as a RIC. In such case, if we are unable to obtain cash from other sources, we may fail to qualify as a RIC and, thus, may be subject to corporate-level income tax.</w:t>
      </w:r>
    </w:p>
    <w:p>
      <w:pPr>
        <w:spacing w:after="0" w:line="17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diversification requirements will be satisfied if we diversify our holdings so that at the end of each quarter of the taxable year: (i) at least 50.0% of the value of our assets consists of cash, cash equivalents, U.S. government securities, securities of other regulated investment companies, and other securities if such other securities of any one issuer do not represent more than 5.0% of the value of our assets or more than 10% of the outstanding voting securities of the issuer; and (ii) no more than 25.0% of the value of our assets is invested in the securities, other than U.S. government securities or securities of other regulated investment companies, of one issuer or of two or more issuers that are controlled, as determined under applicable tax rules, by us and that are engaged in the same or similar or related trades or businesses or in certain publicly traded partnerships.</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Failure to meet these tests may result in our having to (i) dispose of certain investments quickly or (ii) raise additional capital to prevent the loss of our RIC qualification. Because most of our investments will be in private companies, any such dispositions could be made at disadvantageous prices and may result in substantial losses. If we raise additional capital to satisfy the asset diversification requirements, it could take us time to invest such capital. During this period, we will invest the additional capital in temporary investments, such as cash and cash equivalents, which we expect will earn yields substantially lower than the interest income that we anticipate receiving in respect of investments in leveraged loans and mezzanine debt.</w:t>
      </w:r>
    </w:p>
    <w:p>
      <w:pPr>
        <w:spacing w:after="0" w:line="173"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If we fail to qualify as a RIC for any reason, all of our taxable income will be subject to U.S. federal income tax at regular corporate rates. The resulting corporate taxes could substantially reduce our net assets, the amount of income available for distribution to our common stockholders or payment of</w:t>
      </w:r>
    </w:p>
    <w:p>
      <w:pPr>
        <w:sectPr>
          <w:pgSz w:w="11900" w:h="16908" w:orient="portrait"/>
          <w:cols w:equalWidth="0" w:num="1">
            <w:col w:w="11400"/>
          </w:cols>
          <w:pgMar w:left="240" w:top="125" w:right="259" w:bottom="0" w:gutter="0" w:footer="0" w:header="0"/>
        </w:sectPr>
      </w:pPr>
    </w:p>
    <w:bookmarkStart w:id="21" w:name="page22"/>
    <w:bookmarkEnd w:id="21"/>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indebtedness including the Notes. Such a failure would have a material adverse effect on us and the holders of our securities.</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Because we intend to distribute between 90% and 100% of our income to our stockholders in connection with our election to be treated as a RIC, we will continue to need additional capital to finance our growth. If additional funds are unavailable or not available on favorable terms, our ability to grow will be impaired.</w:t>
      </w:r>
    </w:p>
    <w:p>
      <w:pPr>
        <w:spacing w:after="0" w:line="18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order to qualify for the tax benefits available to RICs and to minimize corporate-level taxes, we intend to distribute to our stockholders between 90% and 100% of our annual taxable income, except that we may retain certain net capital gains for investment, and treat such amounts as deemed distributions to our stockholders. If we elect to treat any amounts as deemed distributions, we must pay income taxes at the corporate rate on such deemed distributions on behalf of our stockholders. As a result of these requirements, we will likely need to raise capital from other sources to grow our business. As a BDC, we generally are required to meet a coverage ratio of total assets, less liabilities and indebtedness not represented by senior securities, to total senior securities, which includes all of our borrowings and any outstanding preferred stock, of at least 200%. These requirements limit the amount that we may borrow. Because we will continue to need capital to grow our investment portfolio, these limitations may prevent us from incurring debt and require us to raise additional equity at a time when it may be disadvantageous to do so.</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While we expect to be able to borrow and to issue additional debt and equity securities, we cannot assure you that debt and equity financing will be available to us on favorable terms, or at all. Also, as a BDC, we generally are not permitted to issue equity securities priced below net asset value without stockholder approval. If additional funds are not available to us, we could be forced to curtail or cease new investment activities, and our net asset value and share price could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paying our required distributions if we recognize income before or without receiving cash in respect of such income.</w:t>
      </w:r>
    </w:p>
    <w:p>
      <w:pPr>
        <w:spacing w:after="0" w:line="23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For federal income tax purposes, we may be required to recognize taxable income in circumstances in which we do not receive a corresponding payment in cash. For example, we may on occasion hold debt obligations that are treated under applicable tax rules as having original issue discount (such as debt instruments with PIK or, in certain cases, increasing interest rates or issued with warrants) and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In addition, we may be required to accrue for federal income tax purposes amounts attributable to our investment in Saratoga CLO, a collateralized loan obligation fund, that may differ from the distributions paid in respect of our investment in the subordinated notes of such collateralized loan obligation fund because of the factors set forth above or because distributions on the subordinated notes are contractually required to be diverted for reinvestment or to pay down outstanding indebtedness.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 As a result, we may have difficulty meeting the annual distribution requirement necessary to obtain and maintain RIC tax treatment under the Code.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the members of our independent directors and, in some cases, the SEC. Any person that owns, directly or indirectly, 5.0%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without prior approval of our independent directors and, in some cases, the SEC. If a person acquires more than 25.0% of our voting securities, we are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directors or investment adviser or their affiliates. As a result of these restrictions, we may be prohibited from buying or selling any security (other than any security of which we are the issuer) from or to any portfolio company of a private equity fund managed by our investment adviser without the prior approval of the SEC, which may limit the scope of investment opportunities that would otherwise be available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number of entities compete with us to make the types of investments that we make in private middle market companies. We compete with other BDCs, public and private funds (including SBICs), commercial and investment banks, commercial financing companies, insurance companies, high-yield investors, hedge funds, and, to the extent they provide an alternative form of financing, private equity funds. Many of our competitors are substantially larger and have considerably greater financial, technical and marketing resources than us. Some competitors may have a lower cost of funds and access to funding sources that are not available to us. In addition, some of our competitors may have higher risk tolerances or different risk assessments that could allow them to consider a wider variety of investments and establish more relationships than us. Furthermore, many of our competitors are not subject to the regulatory restrictions that the 1940 Act imposes on us as a BDC. As a result of this competition, we may not be able to take advantage of attractive investment opportunities from time to time, and we cannot assure you that we will be able to identify and make investments that meet our investment objective.</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do not seek to compete primarily based on the interest rates we offer and we believe that some of our competitors may make loans with interest rates that are comparable to or lower than the rates we offer.</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may lose investment opportunities if we do not match our competitors’ pricing, terms and structure. If we match our competitors’ pricing, terms and structure, we may experience decreased net interest income and increased risk of credit loss. As a result of operating in such a competitive environment, we may make investments that are on better terms to our portfolio companies than we originally anticipated, which may impact our return on these investments.</w:t>
      </w:r>
    </w:p>
    <w:p>
      <w:pPr>
        <w:sectPr>
          <w:pgSz w:w="11900" w:h="16845" w:orient="portrait"/>
          <w:cols w:equalWidth="0" w:num="1">
            <w:col w:w="11400"/>
          </w:cols>
          <w:pgMar w:left="240" w:top="125" w:right="259" w:bottom="0" w:gutter="0" w:footer="0" w:header="0"/>
        </w:sectPr>
      </w:pPr>
    </w:p>
    <w:bookmarkStart w:id="22" w:name="page23"/>
    <w:bookmarkEnd w:id="22"/>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Many of our portfolio companies may be susceptible to economic slowdowns or recessions and may be unable to repay our debt investments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Although we seek to maintain a diversified portfolio in accordance with our business strategies,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RIC asset diversification requirements, we do not have fixed guidelines for diversification, and our investments could be concentrated in relatively few portfolio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investments effectively.</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ability to achieve our investment objective depends on our ability to acquire suitable investments and monitor and administer those investments, which depends, in turn, on Saratoga Investment Advisors’ ability to identify, invest in and monitor companies that meet our investment criteria.</w:t>
      </w:r>
    </w:p>
    <w:p>
      <w:pPr>
        <w:spacing w:after="0" w:line="12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Accomplishing this result on a cost-effective basis is largely a function of Saratoga Investment Advisors’ structuring of the investment process and its ability to provide competent, attentive and efficient service to us. Our executive officers and the officers and employees of Saratoga Investment Advisors have substantial responsibilities in connection with their roles at Saratoga Partners as well as responsibilities under the Management Agreement. They may also be called upon to provide managerial assistance to our portfolio companies. These demands on their time, which will increase as the number of investments grow, may distract them or slow the rate of investment. In order to grow, Saratoga Investment Advisors may need to hire, train, supervise and manage new employees. However, we cannot assure you that any such employees will contribute to the work of Saratoga Investment Advisors. Any failure to manage our future growth effectively could have a material adverse effect on our business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debt investments we make, the default rate on such investments,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Substantially all of our portfolio investments are recorded at fair value as approved in good faith by our board of directors; such valuations are inherently uncertain and may be materially higher or lower than the values that we ultimately realize upon the disposal of such investments.</w:t>
      </w:r>
    </w:p>
    <w:p>
      <w:pPr>
        <w:spacing w:after="0" w:line="12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Substantially all of our portfolio is, and we expect will continue to be, comprised of investments that are not publicly traded. The value of investments that are not publicly traded may not be readily determinable. We value these investments quarterly at fair value as approved in good faith by our board of directors. Where appropriate, Saratoga Investment Advisers may utilize the services of an independent valuation firm to aid it in determining fair value. The types of factors that may be considered in valuing our investments include the nature and realizable value of any collateral, the portfolio company’s ability to make payments and its earnings, the markets in which the portfolio company does business, market yield trend analysis, comparison to publicly traded companies, discounted cash flow and other relevant factors. Because such valuations, and particularly valuations of private investments and private companies, are inherently uncertain, may fluctuate over short periods of time and may be based on estimates, our determinations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we make unsecured debt investments, we may lack adequate protection in the event our portfolio companies become distressed or insolvent and will likely experience a lower recovery than more senior debtholders in the event our portfolio companies defaults on their indebtedness.</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make unsecured debt investments in portfolio companies. Unsecured debt investments are unsecured and junior to other indebtedness of the portfolio company. As a consequence, the holder of an unsecured debt investment may lack adequate protection in the event the portfolio company becomes distressed or insolvent and will likely experience a lower recovery than more senior debtholders in the event the portfolio company defaults on its indebtedness. In addition, unsecured debt investments of middle-market companies are often highly illiquid and in adverse market conditions may experience steep declines in valuation even if they are fully performing.</w:t>
      </w:r>
    </w:p>
    <w:p>
      <w:pPr>
        <w:spacing w:after="0" w:line="188"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we invest in the securities and other obligations of distressed or bankrupt companies, such investments may be subject to significant risks, including lack of income, extraordinary expenses, uncertainty with respect to satisfaction of debt, lower-than expected investment values or income potentials and</w:t>
      </w:r>
    </w:p>
    <w:p>
      <w:pPr>
        <w:sectPr>
          <w:pgSz w:w="11900" w:h="16998" w:orient="portrait"/>
          <w:cols w:equalWidth="0" w:num="1">
            <w:col w:w="11420"/>
          </w:cols>
          <w:pgMar w:left="240" w:top="341" w:right="239" w:bottom="0" w:gutter="0" w:footer="0" w:header="0"/>
        </w:sectPr>
      </w:pPr>
    </w:p>
    <w:bookmarkStart w:id="23" w:name="page24"/>
    <w:bookmarkEnd w:id="23"/>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are authorized to invest in the securities and other obligations of distressed or bankrupt companies. At times, distressed debt obligations may not produce income and may require us to bear certain extraordinary expenses (including legal, accounting, valuation and transaction expenses) in order to protect and recover our investment. Therefore, to the extent we invest in distressed debt, our ability to achieve current income may be diminished which may affect our ability to make distributions on our common stock or make interest and principal payments of the Notes.</w:t>
      </w:r>
    </w:p>
    <w:p>
      <w:pPr>
        <w:spacing w:after="0" w:line="17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We also will be subject to significant uncertainty as to when and in what manner and for what value the distressed debt we invest in will eventually be satisfied (e.g., through a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held by us, there can be no assurance that the securities or other assets received by us in connection with such exchange offer or plan of reorganization will not have a lower value or income potential than may have been anticipated when the investment was made.</w:t>
      </w:r>
    </w:p>
    <w:p>
      <w:pPr>
        <w:spacing w:after="0" w:line="15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Moreover, any securities received by us upon completion of an exchange offer or plan of reorganization may be restricted as to resale. As a result of our participation in negotiations with respect to any exchange offer or plan of reorganization with respect to an issuer of distressed debt, we may be restricted from disposing of such securities if we are in possession of material non-public information relating to the issuer.</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2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Certain loans that we make to portfolio companies will be secured on a second priority basis by the same collateral securing senior secured debt of such companies. The first priority liens on the collateral will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6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rights we may have with respect to the collateral securing the loans we make to our portfolio companies with senior debt outstanding may also be limited pursuant to the terms of one or more intercreditor agreements that we enter into with the holders of senior debt. Under such an intercreditor agreement, at any time that obligations that have the benefit of the first priority liens are outstanding, any of the following actions that may be taken with respect to the collateral will be at the direction of the holders of the obligations secured by the first priority liens: the ability to cause the commencement of enforcement proceedings against the collateral; the ability to control the conduct of such proceedings; the approval of amendments to collateral documents; releases of liens on the collateral; and waivers of past defaults under collateral documents. We may not have the ability to control or direct such actions, even if our rights are adversely affected.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primarily make investments in private companies. A portion of these securities may be subject to legal and other restrictions on resale, transfer, pledge or other disposition or will otherwise be less liquid than publicly traded securities. The illiquidity of our investments may make it difficult for us to sell such investments if the need arises. In addition, if we are required to liquidate all or a portion of our portfolio quickly, we may realize significantly less than the value at which we have previously recorded our investments. In addition, we may face other restrictions on our ability to liquidate an investment in a business entity to the extent that we or our investment adviser has or could be deemed to have material non-public information regarding such business entity.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debt securities in which we invest are subject to credit risk and prepayment risk.</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An issuer of a debt security may be unable to make interest payments and repay principal. We could lose money if the issuer of a debt obligation is, or is perceived to be, unable or unwilling to make timely principal and/or interest payments, or to otherwise honor its obligations. The downgrade of a security by rating agencies may further decrease its value.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Certain debt instruments may contain call or redemption provisions which would allow the issuer thereof to prepay principal prior to the debt instrument’s stated maturity. This is known as prepayment risk. Prepayment risk is greater during a falling interest rate environment as issuers can reduce their cost of capital by refinancing higher interest debt instruments with lower interest debt instruments. An issuer may also elect to refinance their debt instruments with lower interest debt instruments if the credit standing of the issuer improves. To the extent debt securities in our portfolio are called or redeemed, we may receive less than we paid for such security and we may be forced to reinvest in lower yielding securities or debt securities of issuers of lower credit quality.</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Uncertainty relating to the LIBOR calculation process may adversely affect the value of our portfolio of the LIBOR-indexed, floating-rate debt securities.</w:t>
      </w:r>
    </w:p>
    <w:p>
      <w:pPr>
        <w:spacing w:after="0" w:line="260"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Concerns have been publicized that some of the member banks surveyed by the British Bankers’ Association (“BBA”) in connection with the calculation of LIBOR across a range of maturities and currencies may have been under-reporting or otherwise manipulating the inter-bank lending rate applicable to them in order to profit on their derivatives positions or to avoid an appearance of capital insufficiency or adverse reputational or other consequences that may have resulted from reporting inter-bank lending rates higher than those they actually submitted. A number of BBA member banks have entered into settlements with their regulators and law enforcement agencies with respect to alleged manipulation of LIBOR, and investigations by regulators and governmental authorities in various jurisdictions are ongoing.</w:t>
      </w:r>
    </w:p>
    <w:p>
      <w:pPr>
        <w:spacing w:after="0" w:line="19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Actions by the BBA, regulators or law enforcement agencies may result in changes to the manner in which LIBOR is determined. Uncertainty as to the nature of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w:t>
      </w:r>
    </w:p>
    <w:p>
      <w:pPr>
        <w:sectPr>
          <w:pgSz w:w="11900" w:h="16885" w:orient="portrait"/>
          <w:cols w:equalWidth="0" w:num="1">
            <w:col w:w="11420"/>
          </w:cols>
          <w:pgMar w:left="240" w:top="125" w:right="239" w:bottom="0" w:gutter="0" w:footer="0" w:header="0"/>
        </w:sectPr>
      </w:pPr>
    </w:p>
    <w:bookmarkStart w:id="24" w:name="page25"/>
    <w:bookmarkEnd w:id="24"/>
    <w:p>
      <w:pPr>
        <w:spacing w:after="0" w:line="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decrease in reported LIBOR, which could have an adverse impact on the market for LIBOR-based securities or the value of our portfolio of LIBOR-indexed, floating-rate debt securities.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investment in Saratoga CLO constitutes a leveraged investment in a portfolio of predominantly senior secured first lien term loans and is subject to additional risks and volatility.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February 28, 2014, our investment in the subordinated notes of Saratoga CLO, a collateralized loan obligation fund, had a fair value of</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$19.6 million and constituted 9.5% of our portfolio. This investment constitutes a first loss position in a portfolio that, as of February 28, 2014, was composed of $301.3 million in aggregate principal amount of primarily senior secured first lien term loans and $8.0 million in uninvested cash. A first loss position means that we will suffer the first economic losses if the value of Saratoga CLO decreases. First loss positions typically carry a higher risk and earn a higher yield. Interest payments generated from this portfolio will be used to pay the administrative expenses of Saratoga CLO and interest on the debt issued by Saratoga CLO before paying a return on the subordinated notes. Principal payments will be similarly applied to pay administrative expenses of Saratoga CLO and for reinvestment or repayment of Saratoga CLO debt before paying a return on, or repayment of, the subordinated notes. In addition, 80.0% of our fixed management fee and 100.0% our incentive management fee for acting as the collateral manager of Saratoga CLO is subordinated to the payment of interest and principal on Saratoga CLO debt. Any losses on the portfolio will accordingly reduce the cash flow available to pay these management fees and provide a return on, or repayment of, our investment. Depending on the amount and timing of such losses, we may experience smaller than expected returns and, potentially, the loss of our entire investment.</w:t>
      </w:r>
    </w:p>
    <w:p>
      <w:pPr>
        <w:spacing w:after="0" w:line="18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the manager of the portfolio of Saratoga CLO we will have some ability to direct the composition of the portfolio, but our discretion is limited by the terms of the debt issued by Saratoga CLO which may limit our ability to make investments that we feel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best interests of the subordinated notes, and the availability of suitable investments. The performance of Saratoga CLO’s portfolio is also subject to many of the same risks sets forth in this Annual Report with respect to portfolio investments in leveraged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 about privately held companies is limited.</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invest primarily in privately-held companies. Generally, little public information exists about these companies, and we are required to rely on the ability of our investment adviser’s investment professionals to obtain adequate information to evaluate the potential returns from investing in these companies. These companies and their financial information are not subject to the Sarbanes- Oxley Act of 2002 and other rules that govern public companies. If we are unable to uncover all material information about these companies, we may not make a fully informed investment decision, and we may lose money on our investments.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When we are a debt or minority equity investor in a portfolio company, we may not be in a position to control the entity, and its management may make decisions that could decrease the value of our investment.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make both debt and minority equity investments;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portfolio companies may incur debt or issue equity securities that rank equally with, or senior to, our investments in such companies.</w:t>
      </w:r>
    </w:p>
    <w:p>
      <w:pPr>
        <w:spacing w:after="0" w:line="23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Our portfolio companies usually will have, or may be permitted to incur, other debt, or issue other equity securities that rank equally with, or senior to, our investments. By their terms, such instruments may provide that the holders are entitled to receive payment of dividends, interest or principal on or before the dates on which we are entitled to receive payments in respect of our investments. These debt instruments will usually prohibit the portfolio companies from paying interest on or repaying our investments in the event and during the continuance of a default under such debt. Also, in the event of insolvency, liquidation, dissolution, reorganization or bankruptcy of a portfolio company, holders of securities ranking senior to our investment in that portfolio company would typically be entitled to receive payment in full before we receive any distribution in respect of our investment. After repaying such holders, the portfolio company may not have any remaining assets to use for repaying its obligation to us. In the case of debtor ranking equally with our investments, we would have to share on an equal basis any distributions with other holders in the event of an insolvency, liquidation, dissolution, reorganization or bankruptcy of the relevant portfolio company.</w:t>
      </w:r>
    </w:p>
    <w:p>
      <w:pPr>
        <w:spacing w:after="0" w:line="1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if we actually render significant managerial assistance.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equity securities involve a substantial degree of risk.</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purchase common stock and other equity securities. Although equity securities have historically generated higher average total returns than fixed-income securities over the long-term, equity securities also have experienced significantly more volatility in those returns and in recent years have significantly underperformed relative to fixed-income securities. The equity securities we acquire may fail to appreciate and may decline in value or become worthless and our ability to recover our investment will depend on our portfolio company’s success. Investments in equity securities involve a number of significant risks, including:</w:t>
      </w:r>
    </w:p>
    <w:p>
      <w:pPr>
        <w:spacing w:after="0" w:line="188" w:lineRule="exact"/>
        <w:rPr>
          <w:sz w:val="20"/>
          <w:szCs w:val="20"/>
          <w:color w:val="auto"/>
        </w:rPr>
      </w:pPr>
    </w:p>
    <w:p>
      <w:pPr>
        <w:ind w:left="980" w:right="380" w:hanging="324"/>
        <w:spacing w:after="0" w:line="264"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equity investment we make in a portfolio company could be subject to further dilution as a result of the issuance of additional equity interests and to serious risks as a junior security that will be subordinate to all indebtedness or senior securities in the event that the issuer is unable to meet its obligations or becomes subject to a bankruptcy process;</w:t>
      </w:r>
    </w:p>
    <w:p>
      <w:pPr>
        <w:sectPr>
          <w:pgSz w:w="11900" w:h="16850" w:orient="portrait"/>
          <w:cols w:equalWidth="0" w:num="1">
            <w:col w:w="11420"/>
          </w:cols>
          <w:pgMar w:left="240" w:top="125" w:right="239" w:bottom="0" w:gutter="0" w:footer="0" w:header="0"/>
        </w:sectPr>
      </w:pPr>
    </w:p>
    <w:bookmarkStart w:id="25" w:name="page26"/>
    <w:bookmarkEnd w:id="25"/>
    <w:p>
      <w:pPr>
        <w:spacing w:after="0" w:line="90" w:lineRule="exact"/>
        <w:rPr>
          <w:sz w:val="20"/>
          <w:szCs w:val="20"/>
          <w:color w:val="auto"/>
        </w:rPr>
      </w:pPr>
    </w:p>
    <w:p>
      <w:pPr>
        <w:ind w:left="980" w:right="560" w:hanging="324"/>
        <w:spacing w:after="0" w:line="277"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extent that the portfolio company requires additional capital and is unable to obtain it, we may not recover our investment in equity securities;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line="255"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some cases, equity securities in which we invest will not pay current dividends, and our ability to realize a return on our investment, as well as to recover our investment, will be dependent on the success of our portfolio companies. Even if the portfolio companies are successful, our ability to realize the value of our investment may be dependent on the occurrence of a liquidity event, such as a public offering or the sale of the portfolio company. It is likely to take a significant amount of time before a liquidity event occurs or we can sell our equity investments. In addition, the equity securities we receive or invest in may be subject to restrictions on resale during periods in which it could be advantageous to sell.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special risks associated with investing in preferred securities, including:</w:t>
      </w:r>
    </w:p>
    <w:p>
      <w:pPr>
        <w:spacing w:after="0" w:line="225" w:lineRule="exact"/>
        <w:rPr>
          <w:sz w:val="20"/>
          <w:szCs w:val="20"/>
          <w:color w:val="auto"/>
        </w:rPr>
      </w:pPr>
    </w:p>
    <w:p>
      <w:pPr>
        <w:ind w:left="980" w:right="180" w:hanging="324"/>
        <w:spacing w:after="0" w:line="264"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tax purposes even though we have not received any cash payments in respect of such income;</w:t>
      </w:r>
    </w:p>
    <w:p>
      <w:pPr>
        <w:spacing w:after="0" w:line="181"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preferred securities are subordinated with respect to corporate income and liquidation payments, and are therefore subject to greater risk than debt;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preferred securities may be substantially less liquid than many other securities, such as common securities or U.S. government securities; and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preferred security holders generally have no voting rights with respect to the issuing company, subject to limited exceptions.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investments in foreign debt, including that of emerging market issuers, may involve significant risks in addition to the risks inherent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there are limitations on our ability to invest in foreign debt, we may, from time to time, invest in debt of foreign companies, including the debt of emerging market issuers.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Investments in the debt of emerging market issuers may subject us to additional risks such as inflation, wage and price controls, and the imposition of trade barriers. Furthermore, economic conditions in emerging market countries are, to some extent, influenced by economic and securities market conditions in other emerging market countries. Although economic conditions are different in each country, investors’ reaction to developments in one country can have effects on the debt of issuers in other countries.</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we will fully hedge against these risks or that such strategies will be effective.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may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expose us to counter-party credit risk.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portfolio positions should increase. Moreover, it may not be possible to hedge against an exchange rate or interest rate fluctuation that is generally anticipated at an acceptable price.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board of directors has the authority to modify or waive our current investment objective, operating policies and strategies without prior notice and without stockholder approval. We cannot predict the effect any changes to our current operating policies and strategies would have on our business, financial condition, and value of our common stock. However, the effects might be adverse, which could negatively impact our ability to pay dividends and cause you to lose all or part of your investment.</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limited experience in managing an SBIC and any failure to comply with SBA regulations, resulting from our lack of experience or otherwise, could have an adverse effect on our operations.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received a license from the SBA to operate as an SBIC under Section 301(c) of the Small Business Investment Act of 1958 and is regulated by the SBA.</w:t>
      </w:r>
    </w:p>
    <w:p>
      <w:pPr>
        <w:sectPr>
          <w:pgSz w:w="11900" w:h="16929" w:orient="portrait"/>
          <w:cols w:equalWidth="0" w:num="1">
            <w:col w:w="11400"/>
          </w:cols>
          <w:pgMar w:left="240" w:top="341" w:right="259" w:bottom="0" w:gutter="0" w:footer="0" w:header="0"/>
        </w:sectPr>
      </w:pPr>
    </w:p>
    <w:bookmarkStart w:id="26" w:name="page27"/>
    <w:bookmarkEnd w:id="26"/>
    <w:p>
      <w:pPr>
        <w:spacing w:after="0" w:line="46"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The SBA places certain limitations on the financing terms of investments by SBICs in portfolio companies and prohibits SBICs from providing funds for certain purposes or to businesses in a few prohibited industries. Compliance with SBIC requirements may cause our SBIC subsidiary to forego attractive investment opportunities that are not permitted under SBA regulations.</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Further, SBA regulations require that an SBIC be periodically examined and audited by the SBA to determine its compliance with the relevant SBA regulations. The SBA prohibits, without prior SBA approval, a “change of control” of an SBIC or transfers that would result in any person (or a group of persons acting in concert) owning 10% or more of a class of capital stock of an SBIC.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Small Business Investment Act of 1958 or any rule or regulation promulgated thereunder. These actions by the SBA would, in turn, negatively affect us because our SBIC subsidiary is our wholly-owned subsidiary. We do not have any prior experience managing an SBIC. Our lack of experience in complying with SBA regulations may hinder our ability to take advantage of our SBIC subsidiary’s access to SBA-guaranteed debentures.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failure to comply with SBA regulations could have an adverse effect on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may be risky, and you could lose all or part of your investment.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Substantially all of our debt investments hold a non-investment grade rating by one or more rating agencies or, where not rated by any rating agency, would be below investment grade, if rated. A below investment grade rating means that, in the rating agency’s view, there is an increased risk that the obligor on such debt will be unable to pay interest and repay principal on its debt in full. We also invest in debt that defers or pays PIK interest. To the extent interest payments associated with such debt are deferred, such debt will be subject to greater fluctuations in value based on changes in interest rates, such debt could produce taxable income without a corresponding cash payment to us, and since we generally do not receive any cash prior to maturity of the debt, the investment will be of greater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private middle market companies in which we invest are exposed to a number of significant risks, including:</w:t>
      </w:r>
    </w:p>
    <w:p>
      <w:pPr>
        <w:spacing w:after="0" w:line="225" w:lineRule="exact"/>
        <w:rPr>
          <w:sz w:val="20"/>
          <w:szCs w:val="20"/>
          <w:color w:val="auto"/>
        </w:rPr>
      </w:pPr>
    </w:p>
    <w:p>
      <w:pPr>
        <w:ind w:left="980" w:right="80" w:hanging="324"/>
        <w:spacing w:after="0" w:line="308" w:lineRule="auto"/>
        <w:tabs>
          <w:tab w:leader="none" w:pos="944"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limited financial resources and an inability to meet their obligations, which may be accompanied by a deterioration in the value of any collateral and a reduction in the likelihood of us realizing any guarantees we may have obtained in connection with our investment;</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shorter operating histories, narrower product lines and smaller market shares than larger businesses, which tend to render them more vulnerable to competitors’ actions and market conditions, as well as general economic downturns;</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dependence on the management talents and efforts of a small group of persons; the death, disability, resignation or termination of one or more of which could have a material adverse impact on the company and, in turn, on us;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predictable operating results and, possibly, substantial additional capital requirements to support their operations, finance expansion or maintain their competitive position;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accessing the capital markets to meet future capital needs.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our executive officers, directors and our investment adviser may, in the ordinary course of business, be named as defendants in litigation arising from our investments in the portfolio companies.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independent auditors have not assessed our internal control over financial reporting. If our internal control over financial reporting is not effective, it could have a material adverse effect on our stock price and our ability to raise capital.</w:t>
      </w:r>
    </w:p>
    <w:p>
      <w:pPr>
        <w:spacing w:after="0" w:line="170"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Because we are a “non-accelerated filer” within the meaning of Rule 12b-2 under the Securities Exchange Act of 1934, our independent auditors are not required to assess our internal control over financial reporting or to provide a report thereon. Although our management determined that our internal control over financial reporting was effective at February 28, 2014 (the last date that such determination was required to be made by us), there can be no assurance that our independent auditors would agree with our management’s conclusion. Furthermore, if our market capitalization, excluding affiliated stockholders, at August 31 of any fiscal year is greater than $75 million, then we will be required to obtain independent auditor certification on the adequacy of our internal control over financial reporting for that fiscal year. If our internal control over financial reporting is determined in the future to not be effective, whether by our management or by our independent auditors, there could be an adverse reaction in the financial markets due to a loss of confidence in the reliability of our financial statements, which could materially adversely affect our stock price and our ability to raise capital necessary to operate our business. In addition, we may be required to incur costs in improving our internal control system and hiring additional personnel.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an above average degree of risk.</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continue to choose to pay dividends in our own stock, in which case you may be required to pay tax in excess of the cash you receive.</w:t>
      </w:r>
    </w:p>
    <w:p>
      <w:pPr>
        <w:spacing w:after="0" w:line="24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have in the past, and may continue to, distribute taxable dividends that are payable to our stockholders in part through the issuance of shares of our stock. For example, on October 30, 2013, our board of directors declared a dividend of $2.65 per share to shareholders payable in cash or shares of our common stock. Under certain applicable provisions of the Code and the Treasury regulations, distributions payable in cash or in shares of stock at the election</w:t>
      </w:r>
    </w:p>
    <w:p>
      <w:pPr>
        <w:sectPr>
          <w:pgSz w:w="11900" w:h="16885" w:orient="portrait"/>
          <w:cols w:equalWidth="0" w:num="1">
            <w:col w:w="11400"/>
          </w:cols>
          <w:pgMar w:left="240" w:top="341" w:right="259" w:bottom="0" w:gutter="0" w:footer="0" w:header="0"/>
        </w:sectPr>
      </w:pPr>
    </w:p>
    <w:bookmarkStart w:id="27" w:name="page28"/>
    <w:bookmarkEnd w:id="27"/>
    <w:p>
      <w:pPr>
        <w:ind w:right="140"/>
        <w:spacing w:after="0" w:line="287" w:lineRule="auto"/>
        <w:rPr>
          <w:sz w:val="20"/>
          <w:szCs w:val="20"/>
          <w:color w:val="auto"/>
        </w:rPr>
      </w:pPr>
      <w:r>
        <w:rPr>
          <w:rFonts w:ascii="Arial" w:cs="Arial" w:eastAsia="Arial" w:hAnsi="Arial"/>
          <w:sz w:val="16"/>
          <w:szCs w:val="16"/>
          <w:color w:val="auto"/>
        </w:rPr>
        <w:t>of stockholders are treated as taxable dividends. The Internal Revenue Service has issued private rulings indicating that this rule will apply even where the total amount of cash that may be distributed is limited to no more than 20.0% of the total distribution. Under these rulings, if too many stockholders elect to receive their distributions in cash, each such stockholder would receive a pro rata share of the total cash to be distributed and would receive the remainder of their distribution in shares of stock. If we decide to make any distributions consistent with these rulings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United States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market price and liquidity of the market for our common stock may be significantly affected by numerous factors, some of which are beyond our control and may not be directly related to our operating performance. These factors include:</w:t>
      </w:r>
    </w:p>
    <w:p>
      <w:pPr>
        <w:spacing w:after="0" w:line="170" w:lineRule="exact"/>
        <w:rPr>
          <w:sz w:val="20"/>
          <w:szCs w:val="20"/>
          <w:color w:val="auto"/>
        </w:rPr>
      </w:pPr>
    </w:p>
    <w:p>
      <w:pPr>
        <w:ind w:left="980" w:right="30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policies, accounting pronouncements or tax rules, particularly with respect to RICs, BDCs or SBICs;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RIC qualification;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departure of any of Saratoga Investment Advisors’ key personnel;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distributions or that our distributions may not grow over time.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BDC for 1940 Act purposes and a RIC for U.S. federal income tax purposes, we intend to make distributions out of assets legally available for distribution to our stockholders once such distributions are authorized by our board of directors and declared by us. We cannot assure you that we will achieve investment results that will allow us to make a specified level of cash distributions or year-to-year increases in cash distributions. In addition, due to the asset coverage test that is applicable to us as a BDC, and provisions contained in the agreements governing our borrowings, we may be limited in our ability to make distributions. Further, if we invest a greater amount of assets in equity securities that do not pay current dividends, it could reduce the amount available for distribution.</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Provisions of our governing documents and the Maryland General Corporation Law could deter future takeover attempts and have an adverse impact on the price of our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governed by our charter and bylaws, which we refer to as our “governing documents.”</w:t>
      </w:r>
    </w:p>
    <w:p>
      <w:pPr>
        <w:spacing w:after="0" w:line="22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Our governing documents and the Maryland General Corporation Law contain provisions that may have the effect of delaying, deferring or preventing a future transaction or change in control of us that might involve a premium price for our stockholders or otherwise be in their best interest.</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charter provides for the classification of our board of directors into three classes of directors, serving staggered three-year terms, which may render a change of control of us or removal of our incumbent management more difficult. Furthermore, any and all vacancies on our board of directors will be filled generally only by the affirmative vote of a majority of the remaining directors in office, even if the remaining directors do not constitute a quorum, and any director elected to fill a vacancy will serve for the remainder of the full term until a successor is elected and qualifies.</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board of directors is authorized to create and issue new series of shares, to classify or reclassify any unissued shares of stock into one or more classes or series, including preferred stock and, without stockholder approval, to amend our charter to increase or decrease the number of shares of stock that we have authority to issue, which could have the effect of diluting a stockholder’s ownership interest. Prior to the issuance of shares of stock of each class or series, including any reclassified series, our board of directors is required by our governing documents to set the terms, preferences, conversion or other rights, voting powers, restrictions, limitations as to dividends or other distributions, qualifications and terms or conditions of redemption for each class or series of shares of stock.</w:t>
      </w:r>
    </w:p>
    <w:p>
      <w:pPr>
        <w:spacing w:after="0" w:line="19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Our governing documents also provide that our board of directors has the exclusive power to adopt, alter or repeal any provision of our bylaws, and to make new bylaws. The Maryland General Corporation Law also contains certain provisions that may limit the ability of a third party to acquire control of us, such as:</w:t>
      </w:r>
    </w:p>
    <w:p>
      <w:pPr>
        <w:sectPr>
          <w:pgSz w:w="11900" w:h="16838" w:orient="portrait"/>
          <w:cols w:equalWidth="0" w:num="1">
            <w:col w:w="11420"/>
          </w:cols>
          <w:pgMar w:left="240" w:top="125" w:right="239" w:bottom="56" w:gutter="0" w:footer="0" w:header="0"/>
        </w:sectPr>
      </w:pPr>
    </w:p>
    <w:bookmarkStart w:id="28" w:name="page29"/>
    <w:bookmarkEnd w:id="28"/>
    <w:p>
      <w:pPr>
        <w:spacing w:after="0" w:line="114" w:lineRule="exact"/>
        <w:rPr>
          <w:sz w:val="20"/>
          <w:szCs w:val="20"/>
          <w:color w:val="auto"/>
        </w:rPr>
      </w:pPr>
    </w:p>
    <w:p>
      <w:pPr>
        <w:ind w:left="980" w:right="220" w:hanging="324"/>
        <w:spacing w:after="0" w:line="279" w:lineRule="auto"/>
        <w:tabs>
          <w:tab w:leader="none" w:pos="94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Maryland Business Combination Act, which, subject to certain limitations, prohibits certain business combinations between us and an “interested stockholder” (defined generally as any person who beneficially owns 10% or more of the voting power of the common stock or an affiliate thereof) for five years after the most recent date on which the stockholder becomes an interested stockholder and, thereafter, imposes special minimum price provisions and special stockholder voting requirements on these combinations;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 w:hanging="324"/>
        <w:spacing w:after="0" w:line="276" w:lineRule="auto"/>
        <w:tabs>
          <w:tab w:leader="none" w:pos="94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Maryland Control Share Acquisition Act, which provides that “control shares” of a Maryland corporation (defined as shares of common stock which, when aggregated with other shares of common stock controlled by the stockholder, entitles the stockholder to exercise one of three increasing ranges of voting power in electing directors) acquired in a “control share acquisition” (defined as the direct or indirect acquisition of ownership or control of “control shares”) have no voting rights except to the extent approved by stockholders by the affirmative vote of at least two-thirds of all the votes entitled to be cast on the matter, excluding all interested shares of common stock.</w:t>
      </w:r>
    </w:p>
    <w:p>
      <w:pPr>
        <w:spacing w:after="0" w:line="17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addition, the provisions of the Maryland Business Combination Act will not apply, however, if our board of directors adopts a resolution that any business combination between us and any other person will be exempt from the provisions of the Maryland Business Combination Act. Although our board of directors has adopted such a resolution, there can be no assurance that this resolution will not be altered or repealed in whole or in part at any time. If the resolution is altered or repealed, the provisions of the Maryland Business Combination Act may discourage others from trying to acquire control of us.</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permitted by Maryland law, our bylaws contain a provision exempting from the Maryland Control Share Acquisition Act any and all acquisitions by any person of our common stock. Although our bylaws include such a provision, such a provision may also be amended or eliminated by our board of directors at any time in the future, subject to obtaining confirmation from the SEC that it does not object to us being subject to the Maryland Control Share Acquisition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trade at a discount to our net asset value per share.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Common stock of BDCs, as closed-end investment companies, frequently trade at a discount to net asset value. Our common stock has traded at a discount to our net asset value since shortly after our initial public offering. The risk that our common stock may continue to trade at a discount to our net asset value is separate and distinct from the risk that our net asset value per share may decline.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Stockholders may incur dilution if we sell shares of our common stock in one or more offerings at prices below the then current net asset value per share of our common stock.</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1940 Act prohibits us from selling shares of our common stock at a price below the current net asset value per share of such stock, with certain exceptions. One such exception is prior stockholder approval of issuances below net asset value provided that our board of directors makes certain determinations. At our 2013 annual meeting of stockholders, our stockholders approved a proposal that authorizes us to sell shares of our common stock below the then current net asset value per share of our common stock at an offering price per share that is not less than 85% of the then current net asset value per share in one or more offerings for a period of one year ending on the earlier of September 26, 2014 or the date of our 2014 annual meeting of stockholders. Continued access to this exception will require approval of similar proposals at future stockholder meetings.</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we were to sell shares of our common stock below net asset value per share, such sales would result in an immediate dilution to the net asset value per share. This dilution would occur as a result of the sale of shares at a price below the then current net asset value per share of our common stock and a proportionately greater decrease in a stockholder’s interest in our earnings and assets and voting interest in us than the increase in our assets resulting from such issuance.</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Because the number of shares of common stock that could be so issued and the timing of any issuance is not currently known, the actual dilutive effect cannot be predicted.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Notes are unsecured and therefore are effectively subordinated to any secured indebtedness we have currently incurred or may incur in the future.</w:t>
      </w:r>
    </w:p>
    <w:p>
      <w:pPr>
        <w:spacing w:after="0" w:line="26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Notes are not secured by any of our assets or any of the assets of our subsidiaries, including our wholly owned subsidiaries. As a result, the Notes are effectively subordinated to any secured indebtedness we or they have currently incurred and may incur in the future (or any indebtedness that is initially unsecured to which we subsequently grant security) to the extent of the value of the assets securing such indebtedness, including indebtedness under the Credit Facility.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February 28, 2014, there was no outstanding balance under the Credit Facility and we had the ability to borrow up to $45.0 million under the Credit Facility, subject to certain conditions. As of February 28, 2014, we had $50.0 million in SBA-guaranteed debentures outstanding.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indebtedness under the Credit Facility and to SBA-guaranteed debentures is senior to the Notes to the extent of the value of the assets securing such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structurally subordinated to the indebtedness and other liabilities of our subsidiaries.</w:t>
      </w:r>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The Notes are obligations exclusively of Saratoga Investment Corp., and not of any of our subsidiaries. None of our subsidiaries is a guarantor of the Notes and the Notes are not required to be guaranteed by any subsidiary we may acquire or create in the future. Any assets of our subsidiaries are not directly available to satisfy the claims of our creditors, including holders of the Notes. Except to the extent we are a creditor with recognized claims against our</w:t>
      </w:r>
    </w:p>
    <w:p>
      <w:pPr>
        <w:sectPr>
          <w:pgSz w:w="11900" w:h="16952" w:orient="portrait"/>
          <w:cols w:equalWidth="0" w:num="1">
            <w:col w:w="11420"/>
          </w:cols>
          <w:pgMar w:left="240" w:top="125" w:right="239" w:bottom="0" w:gutter="0" w:footer="0" w:header="0"/>
        </w:sectPr>
      </w:pPr>
    </w:p>
    <w:bookmarkStart w:id="29" w:name="page30"/>
    <w:bookmarkEnd w:id="29"/>
    <w:p>
      <w:pPr>
        <w:spacing w:after="0" w:line="6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subsidiaries, all claims of creditors of our subsidiaries will have priority over our equity interests in such entities (and therefore the claims of our creditors, including holders of the Notes)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Notes are structurally subordinated to all indebtedness and other liabilities of any of our subsidiaries and portfolio companies with respect to which we hold equity investments. In addition, our subsidiaries and these entities may incur substantial indebtedness in the future, all of which would be structurally senior to the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the Notes are issued contains limited protection for holders of the Notes.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indenture under which the Notes are issued offers limited protection to holders of the Notes. The terms of the indenture and the Notes do not restrict our or any of our subsidiaries’ ability to engage in, or otherwise be a party to, a variety of corporate transactions, circumstances or events that could have a material adverse impact on your investment in the Notes. In particular, the terms of the indenture and the Notes do not place any restrictions on our or our subsidiaries’ ability to:</w:t>
      </w:r>
    </w:p>
    <w:p>
      <w:pPr>
        <w:spacing w:after="0" w:line="187" w:lineRule="exact"/>
        <w:rPr>
          <w:sz w:val="20"/>
          <w:szCs w:val="20"/>
          <w:color w:val="auto"/>
        </w:rPr>
      </w:pPr>
    </w:p>
    <w:p>
      <w:pPr>
        <w:ind w:left="1300" w:hanging="320"/>
        <w:spacing w:after="0" w:line="269" w:lineRule="auto"/>
        <w:tabs>
          <w:tab w:leader="none" w:pos="1264" w:val="left"/>
        </w:tabs>
        <w:numPr>
          <w:ilvl w:val="0"/>
          <w:numId w:val="39"/>
        </w:numPr>
        <w:rPr>
          <w:rFonts w:ascii="Arial" w:cs="Arial" w:eastAsia="Arial" w:hAnsi="Arial"/>
          <w:sz w:val="17"/>
          <w:szCs w:val="17"/>
          <w:color w:val="auto"/>
        </w:rPr>
      </w:pPr>
      <w:r>
        <w:rPr>
          <w:rFonts w:ascii="Arial" w:cs="Arial" w:eastAsia="Arial" w:hAnsi="Arial"/>
          <w:sz w:val="17"/>
          <w:szCs w:val="17"/>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or the portfolio companies with respect to which we hold an equity investment that would be senior to our equity interests in those entities and therefore rank structurally senior to the Notes with respect to the assets of these entities, in each case other than an incurrence of indebtedness or other obligation that would cause a violation of Section 18(a)(1)(A) as modified by Section 61(a)(1) of the 1940 Act or any successor provisions (whether or not we are subject thereto), but giving effect, in each case,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182" w:lineRule="exact"/>
        <w:rPr>
          <w:rFonts w:ascii="Arial" w:cs="Arial" w:eastAsia="Arial" w:hAnsi="Arial"/>
          <w:sz w:val="17"/>
          <w:szCs w:val="17"/>
          <w:color w:val="auto"/>
        </w:rPr>
      </w:pPr>
    </w:p>
    <w:p>
      <w:pPr>
        <w:ind w:left="1300" w:right="220" w:hanging="320"/>
        <w:spacing w:after="0" w:line="290" w:lineRule="auto"/>
        <w:tabs>
          <w:tab w:leader="none" w:pos="1264"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pay dividends on, or purchase or redeem or make any payments in respect of, capital stock or other securities ranking junior in right of payment to the Notes, including subordinated indebtedness, in each case other than dividends, purchases, redemptions or payments that would cause a violation of Section 18(a)(1)(B) as modified by Section 61(a)(1) of the 1940 Act or any successor provisions, but giving effect to any exemptive relief granted to us by the SEC or no-action letter granted by the SEC to another BDC (or the Company if it determines to seek such similar no-action or other relief) permitting the BDC to declare any cash dividend or distribution in order to maintain the BDC’s RIC status.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66" w:lineRule="exact"/>
        <w:rPr>
          <w:rFonts w:ascii="Arial" w:cs="Arial" w:eastAsia="Arial" w:hAnsi="Arial"/>
          <w:sz w:val="16"/>
          <w:szCs w:val="16"/>
          <w:color w:val="auto"/>
        </w:rPr>
      </w:pPr>
    </w:p>
    <w:p>
      <w:pPr>
        <w:ind w:left="1260" w:hanging="28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indenture does not require us to offer to purchase the Notes in connection with a change of control or any other event.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if any, as they do not require that we adhere to any financial tests or ratios or specified levels of net worth, revenues, income, cash flow, or liquidity.</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Notes, including additional covenants and events of default. For example, the indenture under which the Notes are issued does not contain cross-default provisions that are contained in the Credit Facility. The issuance or incurrence of any such debt with incremental protections could affect the market for and trading levels and prices of the Notes.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the Notes may not develop, which could limit your ability to sell the Notes or the market price of the Notes.</w:t>
      </w:r>
    </w:p>
    <w:p>
      <w:pPr>
        <w:spacing w:after="0" w:line="23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Notes are listed on the NYSE under the symbol ‘‘SAQ.’’ We cannot provide any assurances that an active trading market will develop or be maintained for the Notes or that you will be able to sell your Notes. If the Notes are traded after their initial issuance, they may trade at a discount from their initial offering price depending on prevailing interest rates, the market for similar securities, our credit ratings, if any, general economic conditions, our financial condition, performance and prospects and other factors. The underwriters involved in the offering of the Notes have advised us that they intend to make a market in the Notes, but they are not obligated to do so. The underwriters may discontinue any market-making in the Notes at any time at their sole discretion.</w:t>
      </w:r>
    </w:p>
    <w:p>
      <w:pPr>
        <w:spacing w:after="0" w:line="193"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w:t>
      </w:r>
    </w:p>
    <w:p>
      <w:pPr>
        <w:sectPr>
          <w:pgSz w:w="11900" w:h="16908" w:orient="portrait"/>
          <w:cols w:equalWidth="0" w:num="1">
            <w:col w:w="11420"/>
          </w:cols>
          <w:pgMar w:left="240" w:top="125" w:right="239" w:bottom="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Notes may be harmed. Accordingly, you may be required to bear the financial risk of an investment in the Notes for an indefinite period of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choose to redeem the Notes when prevailing interest rates are relatively low.</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or after May 31, 2016, we may choose to redeem the Notes from time to time, especially when prevailing interests rates are lower than the rate borne by the Notes. If prevailing rates are lower at the time of redemption, you would not be able to reinvest the redemption proceeds in a comparable security at an effective interest rate as high as the interest rate on the Notes being redeemed. Our redemption right also may adversely impact your ability to sell the Notes as the optional redemption date or period approaches.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Notes.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Any default under the agreements governing our indebtedness, including a default under the Credit Facility or other indebtedness to which we may be a party that is not waived by the required lenders,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including the Notes. In the event of such default, the holders of such indebtedness could elect to declare all the funds borrowed thereunder to be due and payable, together with accrued and unpaid interest, the lender under the Credit Facility or other debt we may incur in the future could elect to terminate its commitment, cease making further loans and institute foreclosure proceedings against our assets, and we could be forced into bankruptcy or liquidation. In addition, any such default may constitute a default under the Notes, which could further limit our ability to repay our debt, including the Notes. If our operating performance declines, we may in the future need to seek to obtain waivers from the lender under the Credit Facility or other debt that we may incur in the future to avoid being in default. If we breach our covenants under the Credit Facility or other debt and seek a waiver, we may not be able to obtain a waiver from the required lenders. If this occurs, we would be in default under the Credit Facility or other debt, the lender could exercise its rights as described above, and we could be forced into bankruptcy or liquidation. If we are unable to repay debt, lenders having secured obligations could proceed against the collateral securing the debt. Because the Credit Facility has, and any future credit facilities will likely have, customary cross-default provisions, if the indebtedness under the Notes, the Credit Facility or under any future credit facility is accelerated, we may be unable to repay or finance the amounts due.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do not own any real estate or other physical properties important to our operations, however, an affiliate of our investment adviser leases office space for our executive offices at 535 Madison Avenue, New York, New York 10022.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 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the Management Agreement with us, and that the termination of the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6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spacing w:after="0" w:line="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common stock is traded on the New York Stock Exchange under the symbol “SAR.” Prior to July 30, 2010, our common stock traded on the New York Stock Exchange under the symbol “GNV.” The following table sets forth, for the two most recent fiscal years and the current fiscal year, the range of high and low sales prices of our common stock as reported on the New York Stock Exchange, the sales price as a percentage of our net asset value (“NAV”) and the dividends declared by us for each fiscal quarter. The net asset value per share and high and low sales prices listed below reflect the 1:10 reverse stock split that occurred on August 12, 2010.</w:t>
      </w:r>
    </w:p>
    <w:p>
      <w:pPr>
        <w:spacing w:after="0" w:line="180"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Price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6350</wp:posOffset>
            </wp:positionV>
            <wp:extent cx="19208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ind w:left="1300"/>
        <w:spacing w:after="0"/>
        <w:tabs>
          <w:tab w:leader="none" w:pos="5300" w:val="left"/>
          <w:tab w:leader="none" w:pos="7020" w:val="left"/>
          <w:tab w:leader="none" w:pos="8700" w:val="left"/>
        </w:tabs>
        <w:rPr>
          <w:sz w:val="20"/>
          <w:szCs w:val="20"/>
          <w:color w:val="auto"/>
        </w:rPr>
      </w:pPr>
      <w:r>
        <w:rPr>
          <w:rFonts w:ascii="Arial" w:cs="Arial" w:eastAsia="Arial" w:hAnsi="Arial"/>
          <w:sz w:val="14"/>
          <w:szCs w:val="14"/>
          <w:b w:val="1"/>
          <w:bCs w:val="1"/>
          <w:color w:val="auto"/>
        </w:rPr>
        <w:t>Fiscal Year ended February 28, 2013</w:t>
      </w:r>
      <w:r>
        <w:rPr>
          <w:sz w:val="20"/>
          <w:szCs w:val="20"/>
          <w:color w:val="auto"/>
        </w:rPr>
        <w:tab/>
      </w:r>
      <w:r>
        <w:rPr>
          <w:rFonts w:ascii="Arial" w:cs="Arial" w:eastAsia="Arial" w:hAnsi="Arial"/>
          <w:sz w:val="14"/>
          <w:szCs w:val="14"/>
          <w:b w:val="1"/>
          <w:bCs w:val="1"/>
          <w:color w:val="auto"/>
        </w:rPr>
        <w:t>NAV(1)</w:t>
      </w:r>
      <w:r>
        <w:rPr>
          <w:sz w:val="20"/>
          <w:szCs w:val="20"/>
          <w:color w:val="auto"/>
        </w:rPr>
        <w:tab/>
      </w:r>
      <w:r>
        <w:rPr>
          <w:rFonts w:ascii="Arial" w:cs="Arial" w:eastAsia="Arial" w:hAnsi="Arial"/>
          <w:sz w:val="14"/>
          <w:szCs w:val="14"/>
          <w:b w:val="1"/>
          <w:bCs w:val="1"/>
          <w:color w:val="auto"/>
        </w:rPr>
        <w:t>High</w:t>
      </w:r>
      <w:r>
        <w:rPr>
          <w:sz w:val="20"/>
          <w:szCs w:val="20"/>
          <w:color w:val="auto"/>
        </w:rPr>
        <w:tab/>
      </w:r>
      <w:r>
        <w:rPr>
          <w:rFonts w:ascii="Arial" w:cs="Arial" w:eastAsia="Arial" w:hAnsi="Arial"/>
          <w:sz w:val="14"/>
          <w:szCs w:val="14"/>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-3175</wp:posOffset>
            </wp:positionV>
            <wp:extent cx="530860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08600" cy="14605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line="9" w:lineRule="exact"/>
        <w:rPr>
          <w:sz w:val="20"/>
          <w:szCs w:val="20"/>
          <w:color w:val="auto"/>
        </w:rPr>
      </w:pPr>
    </w:p>
    <w:p>
      <w:pPr>
        <w:ind w:left="1300"/>
        <w:spacing w:after="0"/>
        <w:tabs>
          <w:tab w:leader="none" w:pos="4860" w:val="left"/>
          <w:tab w:leader="none" w:pos="5800" w:val="left"/>
          <w:tab w:leader="none" w:pos="6500" w:val="left"/>
          <w:tab w:leader="none" w:pos="7460" w:val="left"/>
          <w:tab w:leader="none" w:pos="8140" w:val="left"/>
          <w:tab w:leader="none" w:pos="9120" w:val="left"/>
        </w:tabs>
        <w:rPr>
          <w:sz w:val="20"/>
          <w:szCs w:val="20"/>
          <w:color w:val="auto"/>
        </w:rPr>
      </w:pPr>
      <w:r>
        <w:rPr>
          <w:rFonts w:ascii="Arial" w:cs="Arial" w:eastAsia="Arial" w:hAnsi="Arial"/>
          <w:sz w:val="18"/>
          <w:szCs w:val="18"/>
          <w:color w:val="auto"/>
        </w:rPr>
        <w:t>First Quarter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25.94</w:t>
        <w:tab/>
        <w:t>$</w:t>
      </w:r>
      <w:r>
        <w:rPr>
          <w:sz w:val="20"/>
          <w:szCs w:val="20"/>
          <w:color w:val="auto"/>
        </w:rPr>
        <w:tab/>
      </w:r>
      <w:r>
        <w:rPr>
          <w:rFonts w:ascii="Arial" w:cs="Arial" w:eastAsia="Arial" w:hAnsi="Arial"/>
          <w:sz w:val="18"/>
          <w:szCs w:val="18"/>
          <w:color w:val="auto"/>
        </w:rPr>
        <w:t>18.25</w:t>
        <w:tab/>
        <w:t>$</w:t>
      </w:r>
      <w:r>
        <w:rPr>
          <w:sz w:val="20"/>
          <w:szCs w:val="20"/>
          <w:color w:val="auto"/>
        </w:rPr>
        <w:tab/>
      </w:r>
      <w:r>
        <w:rPr>
          <w:rFonts w:ascii="Arial" w:cs="Arial" w:eastAsia="Arial" w:hAnsi="Arial"/>
          <w:sz w:val="15"/>
          <w:szCs w:val="15"/>
          <w:color w:val="auto"/>
        </w:rPr>
        <w:t>15.15</w:t>
      </w:r>
    </w:p>
    <w:p>
      <w:pPr>
        <w:sectPr>
          <w:pgSz w:w="11900" w:h="16838" w:orient="portrait"/>
          <w:cols w:equalWidth="0" w:num="1">
            <w:col w:w="11380"/>
          </w:cols>
          <w:pgMar w:left="240" w:top="125" w:right="279" w:bottom="0" w:gutter="0" w:footer="0" w:header="0"/>
          <w:type w:val="continuous"/>
        </w:sectPr>
      </w:pPr>
    </w:p>
    <w:bookmarkStart w:id="31" w:name="page32"/>
    <w:bookmarkEnd w:id="31"/>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Second Quarter</w:t>
            </w:r>
          </w:p>
        </w:tc>
        <w:tc>
          <w:tcPr>
            <w:tcW w:w="1220" w:type="dxa"/>
            <w:vAlign w:val="bottom"/>
            <w:gridSpan w:val="2"/>
          </w:tcPr>
          <w:p>
            <w:pPr>
              <w:jc w:val="right"/>
              <w:ind w:right="78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27.20</w:t>
            </w:r>
          </w:p>
        </w:tc>
        <w:tc>
          <w:tcPr>
            <w:tcW w:w="120" w:type="dxa"/>
            <w:vAlign w:val="bottom"/>
          </w:tcPr>
          <w:p>
            <w:pPr>
              <w:spacing w:after="0"/>
              <w:rPr>
                <w:sz w:val="20"/>
                <w:szCs w:val="20"/>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ind w:left="620"/>
              <w:spacing w:after="0"/>
              <w:rPr>
                <w:sz w:val="20"/>
                <w:szCs w:val="20"/>
                <w:color w:val="auto"/>
              </w:rPr>
            </w:pPr>
            <w:r>
              <w:rPr>
                <w:rFonts w:ascii="Arial" w:cs="Arial" w:eastAsia="Arial" w:hAnsi="Arial"/>
                <w:sz w:val="18"/>
                <w:szCs w:val="18"/>
                <w:color w:val="auto"/>
                <w:w w:val="88"/>
              </w:rPr>
              <w:t>17.20</w:t>
            </w:r>
          </w:p>
        </w:tc>
        <w:tc>
          <w:tcPr>
            <w:tcW w:w="140" w:type="dxa"/>
            <w:vAlign w:val="bottom"/>
          </w:tcPr>
          <w:p>
            <w:pPr>
              <w:spacing w:after="0"/>
              <w:rPr>
                <w:sz w:val="20"/>
                <w:szCs w:val="20"/>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20" w:type="dxa"/>
            <w:vAlign w:val="bottom"/>
            <w:gridSpan w:val="2"/>
            <w:shd w:val="clear" w:color="auto" w:fill="CCEEFF"/>
          </w:tcPr>
          <w:p>
            <w:pPr>
              <w:jc w:val="right"/>
              <w:ind w:right="78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21.75</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19.97</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Fourth Quarter</w:t>
            </w:r>
          </w:p>
        </w:tc>
        <w:tc>
          <w:tcPr>
            <w:tcW w:w="1220" w:type="dxa"/>
            <w:vAlign w:val="bottom"/>
            <w:gridSpan w:val="2"/>
          </w:tcPr>
          <w:p>
            <w:pPr>
              <w:jc w:val="right"/>
              <w:ind w:right="78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22.98</w:t>
            </w:r>
          </w:p>
        </w:tc>
        <w:tc>
          <w:tcPr>
            <w:tcW w:w="120" w:type="dxa"/>
            <w:vAlign w:val="bottom"/>
          </w:tcPr>
          <w:p>
            <w:pPr>
              <w:spacing w:after="0"/>
              <w:rPr>
                <w:sz w:val="20"/>
                <w:szCs w:val="20"/>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ind w:left="620"/>
              <w:spacing w:after="0"/>
              <w:rPr>
                <w:sz w:val="20"/>
                <w:szCs w:val="20"/>
                <w:color w:val="auto"/>
              </w:rPr>
            </w:pPr>
            <w:r>
              <w:rPr>
                <w:rFonts w:ascii="Arial" w:cs="Arial" w:eastAsia="Arial" w:hAnsi="Arial"/>
                <w:sz w:val="18"/>
                <w:szCs w:val="18"/>
                <w:color w:val="auto"/>
                <w:w w:val="88"/>
              </w:rPr>
              <w:t>18.50</w:t>
            </w:r>
          </w:p>
        </w:tc>
        <w:tc>
          <w:tcPr>
            <w:tcW w:w="140" w:type="dxa"/>
            <w:vAlign w:val="bottom"/>
          </w:tcPr>
          <w:p>
            <w:pPr>
              <w:spacing w:after="0"/>
              <w:rPr>
                <w:sz w:val="20"/>
                <w:szCs w:val="20"/>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50"/>
        </w:trPr>
        <w:tc>
          <w:tcPr>
            <w:tcW w:w="130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4"/>
                <w:szCs w:val="14"/>
                <w:b w:val="1"/>
                <w:bCs w:val="1"/>
                <w:color w:val="auto"/>
              </w:rPr>
              <w:t>Fiscal Year ended February 28, 2014</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NAV(1)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c>
          <w:tcPr>
            <w:tcW w:w="180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23.78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4"/>
              </w:rPr>
              <w:t>19.08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Second Quarter</w:t>
            </w:r>
          </w:p>
        </w:tc>
        <w:tc>
          <w:tcPr>
            <w:tcW w:w="1220" w:type="dxa"/>
            <w:vAlign w:val="bottom"/>
            <w:gridSpan w:val="2"/>
          </w:tcPr>
          <w:p>
            <w:pPr>
              <w:jc w:val="right"/>
              <w:ind w:right="76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23.77</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18.70</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20" w:type="dxa"/>
            <w:vAlign w:val="bottom"/>
            <w:gridSpan w:val="2"/>
            <w:shd w:val="clear" w:color="auto" w:fill="CCEEFF"/>
          </w:tcPr>
          <w:p>
            <w:pPr>
              <w:jc w:val="right"/>
              <w:ind w:right="763"/>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20.67</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19.55</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18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Fourth Quarter</w:t>
            </w:r>
          </w:p>
        </w:tc>
        <w:tc>
          <w:tcPr>
            <w:tcW w:w="1220" w:type="dxa"/>
            <w:vAlign w:val="bottom"/>
            <w:gridSpan w:val="2"/>
          </w:tcPr>
          <w:p>
            <w:pPr>
              <w:jc w:val="right"/>
              <w:ind w:right="763"/>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21.36</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16.56</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1800" w:type="dxa"/>
            <w:vAlign w:val="bottom"/>
          </w:tcPr>
          <w:p>
            <w:pPr>
              <w:spacing w:after="0"/>
              <w:rPr>
                <w:sz w:val="20"/>
                <w:szCs w:val="20"/>
                <w:color w:val="auto"/>
              </w:rPr>
            </w:pPr>
          </w:p>
        </w:tc>
      </w:tr>
      <w:tr>
        <w:trPr>
          <w:trHeight w:val="350"/>
        </w:trPr>
        <w:tc>
          <w:tcPr>
            <w:tcW w:w="130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4"/>
                <w:szCs w:val="14"/>
                <w:b w:val="1"/>
                <w:bCs w:val="1"/>
                <w:color w:val="auto"/>
              </w:rPr>
              <w:t>Fiscal Year ended February 28, 2015</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NAV(1)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c>
          <w:tcPr>
            <w:tcW w:w="180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 through May 23, 2014</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4"/>
              </w:rPr>
              <w:t>15.91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940" w:hanging="635"/>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determinable at the time of filing.</w:t>
      </w:r>
    </w:p>
    <w:p>
      <w:pPr>
        <w:spacing w:after="0" w:line="225" w:lineRule="exact"/>
        <w:rPr>
          <w:sz w:val="20"/>
          <w:szCs w:val="20"/>
          <w:color w:val="auto"/>
        </w:rPr>
      </w:pPr>
    </w:p>
    <w:p>
      <w:pPr>
        <w:jc w:val="both"/>
        <w:ind w:left="1960" w:right="320" w:hanging="655"/>
        <w:spacing w:after="0" w:line="264" w:lineRule="auto"/>
        <w:tabs>
          <w:tab w:leader="none" w:pos="19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each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last reported price for our common stock on May 23, 2014 was $15.45 per share. As of May 23, 2014, there were 22 holders of record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dividends or distributions declared during fiscal 2009, 2010, 2011, 2012 and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80" w:type="dxa"/>
            <w:vAlign w:val="bottom"/>
          </w:tcPr>
          <w:p>
            <w:pPr>
              <w:spacing w:after="0"/>
              <w:rPr>
                <w:sz w:val="14"/>
                <w:szCs w:val="14"/>
                <w:color w:val="auto"/>
              </w:rPr>
            </w:pPr>
          </w:p>
        </w:tc>
        <w:tc>
          <w:tcPr>
            <w:tcW w:w="20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Record Date</w:t>
            </w:r>
          </w:p>
        </w:tc>
        <w:tc>
          <w:tcPr>
            <w:tcW w:w="20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Payment Date</w:t>
            </w:r>
          </w:p>
        </w:tc>
        <w:tc>
          <w:tcPr>
            <w:tcW w:w="240" w:type="dxa"/>
            <w:vAlign w:val="bottom"/>
          </w:tcPr>
          <w:p>
            <w:pPr>
              <w:spacing w:after="0"/>
              <w:rPr>
                <w:sz w:val="14"/>
                <w:szCs w:val="14"/>
                <w:color w:val="auto"/>
              </w:rPr>
            </w:pPr>
          </w:p>
        </w:tc>
        <w:tc>
          <w:tcPr>
            <w:tcW w:w="138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5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22, 2008</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30, 2008</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13, 2008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3.90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August 19, 2008</w:t>
            </w:r>
          </w:p>
        </w:tc>
        <w:tc>
          <w:tcPr>
            <w:tcW w:w="2300" w:type="dxa"/>
            <w:vAlign w:val="bottom"/>
            <w:gridSpan w:val="3"/>
          </w:tcPr>
          <w:p>
            <w:pPr>
              <w:ind w:left="280"/>
              <w:spacing w:after="0"/>
              <w:rPr>
                <w:sz w:val="20"/>
                <w:szCs w:val="20"/>
                <w:color w:val="auto"/>
              </w:rPr>
            </w:pPr>
            <w:r>
              <w:rPr>
                <w:rFonts w:ascii="Arial" w:cs="Arial" w:eastAsia="Arial" w:hAnsi="Arial"/>
                <w:sz w:val="18"/>
                <w:szCs w:val="18"/>
                <w:color w:val="auto"/>
              </w:rPr>
              <w:t>August 29, 2008</w:t>
            </w:r>
          </w:p>
        </w:tc>
        <w:tc>
          <w:tcPr>
            <w:tcW w:w="2000" w:type="dxa"/>
            <w:vAlign w:val="bottom"/>
            <w:gridSpan w:val="2"/>
          </w:tcPr>
          <w:p>
            <w:pPr>
              <w:spacing w:after="0"/>
              <w:rPr>
                <w:sz w:val="20"/>
                <w:szCs w:val="20"/>
                <w:color w:val="auto"/>
              </w:rPr>
            </w:pPr>
            <w:r>
              <w:rPr>
                <w:rFonts w:ascii="Arial" w:cs="Arial" w:eastAsia="Arial" w:hAnsi="Arial"/>
                <w:sz w:val="18"/>
                <w:szCs w:val="18"/>
                <w:color w:val="auto"/>
              </w:rPr>
              <w:t>September 15, 2008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w w:val="85"/>
              </w:rPr>
              <w:t>3.90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December 8, 2008</w:t>
            </w:r>
          </w:p>
        </w:tc>
        <w:tc>
          <w:tcPr>
            <w:tcW w:w="23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December 18, 2008</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29, 2008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85"/>
              </w:rPr>
              <w:t>2.50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Dividends Declared for Fiscal 2009</w:t>
            </w:r>
          </w:p>
        </w:tc>
        <w:tc>
          <w:tcPr>
            <w:tcW w:w="28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4"/>
              </w:rPr>
              <w:t>10.30</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November 13, 2009</w:t>
            </w:r>
          </w:p>
        </w:tc>
        <w:tc>
          <w:tcPr>
            <w:tcW w:w="2300" w:type="dxa"/>
            <w:vAlign w:val="bottom"/>
            <w:gridSpan w:val="3"/>
            <w:shd w:val="clear" w:color="auto" w:fill="CCEEFF"/>
          </w:tcPr>
          <w:p>
            <w:pPr>
              <w:ind w:left="280"/>
              <w:spacing w:after="0" w:line="196" w:lineRule="exact"/>
              <w:rPr>
                <w:sz w:val="20"/>
                <w:szCs w:val="20"/>
                <w:color w:val="auto"/>
              </w:rPr>
            </w:pPr>
            <w:r>
              <w:rPr>
                <w:rFonts w:ascii="Arial" w:cs="Arial" w:eastAsia="Arial" w:hAnsi="Arial"/>
                <w:sz w:val="18"/>
                <w:szCs w:val="18"/>
                <w:color w:val="auto"/>
              </w:rPr>
              <w:t>November 25, 2009</w:t>
            </w:r>
          </w:p>
        </w:tc>
        <w:tc>
          <w:tcPr>
            <w:tcW w:w="2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December 31, 2009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ind w:left="700"/>
              <w:spacing w:after="0" w:line="196" w:lineRule="exact"/>
              <w:rPr>
                <w:sz w:val="20"/>
                <w:szCs w:val="20"/>
                <w:color w:val="auto"/>
              </w:rPr>
            </w:pPr>
            <w:r>
              <w:rPr>
                <w:rFonts w:ascii="Arial" w:cs="Arial" w:eastAsia="Arial" w:hAnsi="Arial"/>
                <w:sz w:val="18"/>
                <w:szCs w:val="18"/>
                <w:color w:val="auto"/>
                <w:w w:val="98"/>
              </w:rPr>
              <w:t>18.25(1)</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Dividends Declared for Fiscal 2010</w:t>
            </w:r>
          </w:p>
        </w:tc>
        <w:tc>
          <w:tcPr>
            <w:tcW w:w="28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4"/>
              </w:rPr>
              <w:t>18.25</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November 12, 2010</w:t>
            </w:r>
          </w:p>
        </w:tc>
        <w:tc>
          <w:tcPr>
            <w:tcW w:w="2300" w:type="dxa"/>
            <w:vAlign w:val="bottom"/>
            <w:gridSpan w:val="3"/>
            <w:shd w:val="clear" w:color="auto" w:fill="CCEEFF"/>
          </w:tcPr>
          <w:p>
            <w:pPr>
              <w:ind w:left="280"/>
              <w:spacing w:after="0" w:line="196" w:lineRule="exact"/>
              <w:rPr>
                <w:sz w:val="20"/>
                <w:szCs w:val="20"/>
                <w:color w:val="auto"/>
              </w:rPr>
            </w:pPr>
            <w:r>
              <w:rPr>
                <w:rFonts w:ascii="Arial" w:cs="Arial" w:eastAsia="Arial" w:hAnsi="Arial"/>
                <w:sz w:val="18"/>
                <w:szCs w:val="18"/>
                <w:color w:val="auto"/>
              </w:rPr>
              <w:t>November 19, 2010</w:t>
            </w:r>
          </w:p>
        </w:tc>
        <w:tc>
          <w:tcPr>
            <w:tcW w:w="2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December 29, 2010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ind w:left="800"/>
              <w:spacing w:after="0" w:line="196" w:lineRule="exact"/>
              <w:rPr>
                <w:sz w:val="20"/>
                <w:szCs w:val="20"/>
                <w:color w:val="auto"/>
              </w:rPr>
            </w:pPr>
            <w:r>
              <w:rPr>
                <w:rFonts w:ascii="Arial" w:cs="Arial" w:eastAsia="Arial" w:hAnsi="Arial"/>
                <w:sz w:val="18"/>
                <w:szCs w:val="18"/>
                <w:color w:val="auto"/>
                <w:w w:val="98"/>
              </w:rPr>
              <w:t>4.40(1)</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Dividends Declared for Fiscal 2011</w:t>
            </w:r>
          </w:p>
        </w:tc>
        <w:tc>
          <w:tcPr>
            <w:tcW w:w="28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79"/>
              </w:rPr>
              <w:t>4.40</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November 15, 2011</w:t>
            </w:r>
          </w:p>
        </w:tc>
        <w:tc>
          <w:tcPr>
            <w:tcW w:w="2300" w:type="dxa"/>
            <w:vAlign w:val="bottom"/>
            <w:gridSpan w:val="3"/>
            <w:shd w:val="clear" w:color="auto" w:fill="CCEEFF"/>
          </w:tcPr>
          <w:p>
            <w:pPr>
              <w:ind w:left="280"/>
              <w:spacing w:after="0" w:line="196" w:lineRule="exact"/>
              <w:rPr>
                <w:sz w:val="20"/>
                <w:szCs w:val="20"/>
                <w:color w:val="auto"/>
              </w:rPr>
            </w:pPr>
            <w:r>
              <w:rPr>
                <w:rFonts w:ascii="Arial" w:cs="Arial" w:eastAsia="Arial" w:hAnsi="Arial"/>
                <w:sz w:val="18"/>
                <w:szCs w:val="18"/>
                <w:color w:val="auto"/>
              </w:rPr>
              <w:t>November 25, 2011</w:t>
            </w:r>
          </w:p>
        </w:tc>
        <w:tc>
          <w:tcPr>
            <w:tcW w:w="2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December 30, 2011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ind w:left="800"/>
              <w:spacing w:after="0" w:line="196" w:lineRule="exact"/>
              <w:rPr>
                <w:sz w:val="20"/>
                <w:szCs w:val="20"/>
                <w:color w:val="auto"/>
              </w:rPr>
            </w:pPr>
            <w:r>
              <w:rPr>
                <w:rFonts w:ascii="Arial" w:cs="Arial" w:eastAsia="Arial" w:hAnsi="Arial"/>
                <w:sz w:val="18"/>
                <w:szCs w:val="18"/>
                <w:color w:val="auto"/>
                <w:w w:val="98"/>
              </w:rPr>
              <w:t>3.00(1)</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Dividends Declared for Fiscal 2012</w:t>
            </w:r>
          </w:p>
        </w:tc>
        <w:tc>
          <w:tcPr>
            <w:tcW w:w="28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79"/>
              </w:rPr>
              <w:t>3.00</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November 9, 2012</w:t>
            </w:r>
          </w:p>
        </w:tc>
        <w:tc>
          <w:tcPr>
            <w:tcW w:w="2300" w:type="dxa"/>
            <w:vAlign w:val="bottom"/>
            <w:gridSpan w:val="3"/>
            <w:shd w:val="clear" w:color="auto" w:fill="CCEEFF"/>
          </w:tcPr>
          <w:p>
            <w:pPr>
              <w:ind w:left="280"/>
              <w:spacing w:after="0" w:line="196" w:lineRule="exact"/>
              <w:rPr>
                <w:sz w:val="20"/>
                <w:szCs w:val="20"/>
                <w:color w:val="auto"/>
              </w:rPr>
            </w:pPr>
            <w:r>
              <w:rPr>
                <w:rFonts w:ascii="Arial" w:cs="Arial" w:eastAsia="Arial" w:hAnsi="Arial"/>
                <w:sz w:val="18"/>
                <w:szCs w:val="18"/>
                <w:color w:val="auto"/>
              </w:rPr>
              <w:t>November 20, 2012</w:t>
            </w:r>
          </w:p>
        </w:tc>
        <w:tc>
          <w:tcPr>
            <w:tcW w:w="2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December 31, 2012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ind w:left="800"/>
              <w:spacing w:after="0" w:line="196" w:lineRule="exact"/>
              <w:rPr>
                <w:sz w:val="20"/>
                <w:szCs w:val="20"/>
                <w:color w:val="auto"/>
              </w:rPr>
            </w:pPr>
            <w:r>
              <w:rPr>
                <w:rFonts w:ascii="Arial" w:cs="Arial" w:eastAsia="Arial" w:hAnsi="Arial"/>
                <w:sz w:val="18"/>
                <w:szCs w:val="18"/>
                <w:color w:val="auto"/>
                <w:w w:val="98"/>
              </w:rPr>
              <w:t>4.25(1)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Dividends Declared for Fiscal 2013</w:t>
            </w:r>
          </w:p>
        </w:tc>
        <w:tc>
          <w:tcPr>
            <w:tcW w:w="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ind w:left="800"/>
              <w:spacing w:after="0" w:line="196" w:lineRule="exact"/>
              <w:rPr>
                <w:sz w:val="20"/>
                <w:szCs w:val="20"/>
                <w:color w:val="auto"/>
              </w:rPr>
            </w:pPr>
            <w:r>
              <w:rPr>
                <w:rFonts w:ascii="Arial" w:cs="Arial" w:eastAsia="Arial" w:hAnsi="Arial"/>
                <w:sz w:val="18"/>
                <w:szCs w:val="18"/>
                <w:color w:val="auto"/>
                <w:w w:val="79"/>
              </w:rPr>
              <w:t>4.25</w:t>
            </w:r>
          </w:p>
        </w:tc>
        <w:tc>
          <w:tcPr>
            <w:tcW w:w="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5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October 30, 2013</w:t>
            </w:r>
          </w:p>
        </w:tc>
        <w:tc>
          <w:tcPr>
            <w:tcW w:w="2300" w:type="dxa"/>
            <w:vAlign w:val="bottom"/>
            <w:gridSpan w:val="3"/>
            <w:shd w:val="clear" w:color="auto" w:fill="CCEEFF"/>
          </w:tcPr>
          <w:p>
            <w:pPr>
              <w:ind w:left="280"/>
              <w:spacing w:after="0" w:line="196" w:lineRule="exact"/>
              <w:rPr>
                <w:sz w:val="20"/>
                <w:szCs w:val="20"/>
                <w:color w:val="auto"/>
              </w:rPr>
            </w:pPr>
            <w:r>
              <w:rPr>
                <w:rFonts w:ascii="Arial" w:cs="Arial" w:eastAsia="Arial" w:hAnsi="Arial"/>
                <w:sz w:val="18"/>
                <w:szCs w:val="18"/>
                <w:color w:val="auto"/>
              </w:rPr>
              <w:t>November 13, 2013</w:t>
            </w:r>
          </w:p>
        </w:tc>
        <w:tc>
          <w:tcPr>
            <w:tcW w:w="2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December 27, 2013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ind w:left="800"/>
              <w:spacing w:after="0" w:line="196" w:lineRule="exact"/>
              <w:rPr>
                <w:sz w:val="20"/>
                <w:szCs w:val="20"/>
                <w:color w:val="auto"/>
              </w:rPr>
            </w:pPr>
            <w:r>
              <w:rPr>
                <w:rFonts w:ascii="Arial" w:cs="Arial" w:eastAsia="Arial" w:hAnsi="Arial"/>
                <w:sz w:val="18"/>
                <w:szCs w:val="18"/>
                <w:color w:val="auto"/>
                <w:w w:val="98"/>
              </w:rPr>
              <w:t>2.65(1)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Dividends Declared for Fiscal 2014</w:t>
            </w:r>
          </w:p>
        </w:tc>
        <w:tc>
          <w:tcPr>
            <w:tcW w:w="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ind w:left="800"/>
              <w:spacing w:after="0" w:line="196" w:lineRule="exact"/>
              <w:rPr>
                <w:sz w:val="20"/>
                <w:szCs w:val="20"/>
                <w:color w:val="auto"/>
              </w:rPr>
            </w:pPr>
            <w:r>
              <w:rPr>
                <w:rFonts w:ascii="Arial" w:cs="Arial" w:eastAsia="Arial" w:hAnsi="Arial"/>
                <w:sz w:val="18"/>
                <w:szCs w:val="18"/>
                <w:color w:val="auto"/>
                <w:w w:val="79"/>
              </w:rPr>
              <w:t>2.65</w:t>
            </w: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60" w:hanging="652"/>
        <w:spacing w:after="0" w:line="277" w:lineRule="auto"/>
        <w:tabs>
          <w:tab w:leader="none" w:pos="6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dividend was paid by combination of shares of common stock and cash. Please see the discussion immediately following this table for more detail about the composition of this dividend.</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distributions, if any, will be determined by our board of directors and paid out of assets legally available for distribution. Any such distributions will be taxable to our stockholders, including to those stockholders who receive additional shares of our common stock pursuant to our dividend reinvestment plan. Prior to January 2009, we paid quarterly dividends to our stockholders. However, in January 2009, we suspended the practice of paying quarterly dividends to our stockholders and have made five dividend distributions (in December 2013, 2012, 2011, 2010 and 2009) to our stockholders since such time, which distributions were made with a combination of cash and the issuance of shares of our common stock as discussed more fully below.</w:t>
      </w:r>
    </w:p>
    <w:p>
      <w:pPr>
        <w:spacing w:after="0" w:line="15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are prohibited from making distributions that cause us to fail to maintain the asset coverage ratios stipulated by the 1940 Act, subject to certain exceptions, or that violate our debt covenants.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Given the size of our asset base and our growing pipeline of attractive investments, our board of directors believes that using our capital resources to build and diversify our portfolio serves stockholders’ interests best by better positioning us to generate current income and capital appreciation on an increasing scale in future periods. Therefore, our board of directors determined to pay a 20.0% cash and 80.0% stock dividend with respect to a significant portion of our taxable income for our 2014 fiscal year in accordance with certain IRS private letter rulings. For more detailed information about this dividend, please see the discussion below.</w:t>
      </w:r>
    </w:p>
    <w:p>
      <w:pPr>
        <w:spacing w:after="0" w:line="188"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In order to maintain our qualification as a RIC, we must for each fiscal year distribute an amount equal to at least 90.0% of our ordinary net taxable income and realized net short-term capital gains in excess of realized net long-term capital losses, if any, reduced by deductible expenses. In addition, we will be subject to federal excise taxes to the extent we do not distribute during the calendar year at least (1) 98.0% of our ordinary income for the calendar year,</w:t>
      </w:r>
    </w:p>
    <w:p>
      <w:pPr>
        <w:ind w:right="180" w:firstLine="8"/>
        <w:spacing w:after="0" w:line="323"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98.2% of our capital gains in excess of capital losses for the one year period ending on October 31 of the calendar year and (3) any ordinary income and net capital gains for preceding years that were not distributed during such years and on which we paid no federal income tax. For the 2013 calendar year, the</w:t>
      </w:r>
    </w:p>
    <w:p>
      <w:pPr>
        <w:sectPr>
          <w:pgSz w:w="11900" w:h="16852" w:orient="portrait"/>
          <w:cols w:equalWidth="0" w:num="1">
            <w:col w:w="11460"/>
          </w:cols>
          <w:pgMar w:left="240" w:top="125" w:right="199" w:bottom="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Company made distributions sufficient such that we did not incur any federal excise taxes. We may elect to withhold from distribution a portion of our ordinary income for the 2014 calendar year and/or portion of the capital gains in excess of capital losses realized during the one year period ending October 31, 2014, if any, and, if we do so, we would expect to incur federal excise taxes as a result.</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8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Pursuant to a revenue procedure (Revenue Procedure 2010-12), or the Revenue Procedure, issued by the Internal Revenue Service, or IRS, the IRS indicated that it would treat distributions from certain publicly traded RICs (including BDCs) that were paid part in cash and part in stock as dividends that would satisfy the RIC’s annual distribution requirements and qualify for the dividends paid deduction for federal income tax purposes. In order to qualify for such treatment, the Revenue Procedure required that at least 10.0% of the total distribution be payable in cash and that each stockholder have a right to elect to receive its entire distribution in cash. If too many stockholders elected to receive cash, each stockholder electing to receive cash must receive a proportionate share of the cash to be distributed (although no stockholder electing to receive cash may receive less than 10.0% of such stockholder’s distribution in cash). This Revenue Procedure applied to distributions declared on or before December 31, 2012 with respect to taxable years ending on or before December 31, 2011.</w:t>
      </w:r>
    </w:p>
    <w:p>
      <w:pPr>
        <w:spacing w:after="0" w:line="19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Although this Revenue Procedure is no longer available and did not apply to our distributions for our fiscal year ended February 28, 2014, the revenue procedure was based upon certain applicable provisions of the Code and the Treasury regulations pursuant to which distributions payable in cash or in shares of stock at the election of stockholders are treated as taxable dividends. Consistent with these provisions, the IRS has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7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8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a price of $13.12 per share, which equaled the volume weighted average trading price per share of the common stock on December 20, 21 and 22, 2011.</w:t>
      </w:r>
    </w:p>
    <w:p>
      <w:pPr>
        <w:spacing w:after="0" w:line="24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November 12, 2010, we declared a dividend of $4.40 per share which was paid on December 29, 2010. Stockholders had the option to receive payment of the dividend in cash, shares of common stock, or a combination of cash and shares of common stock, provided that the aggregate cash payable to all shareholders was limited to $1.2 million or $0.44 per share.</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ectPr>
          <w:pgSz w:w="11900" w:h="16838" w:orient="portrait"/>
          <w:cols w:equalWidth="0" w:num="1">
            <w:col w:w="11400"/>
          </w:cols>
          <w:pgMar w:left="240" w:top="341" w:right="259" w:bottom="0" w:gutter="0" w:footer="0" w:header="0"/>
        </w:sectPr>
      </w:pPr>
    </w:p>
    <w:bookmarkStart w:id="33" w:name="page34"/>
    <w:bookmarkEnd w:id="33"/>
    <w:p>
      <w:pPr>
        <w:ind w:right="20" w:firstLine="648"/>
        <w:spacing w:after="0" w:line="264" w:lineRule="auto"/>
        <w:rPr>
          <w:sz w:val="20"/>
          <w:szCs w:val="20"/>
          <w:color w:val="auto"/>
        </w:rPr>
      </w:pPr>
      <w:r>
        <w:rPr>
          <w:rFonts w:ascii="Arial" w:cs="Arial" w:eastAsia="Arial" w:hAnsi="Arial"/>
          <w:sz w:val="18"/>
          <w:szCs w:val="18"/>
          <w:color w:val="auto"/>
        </w:rPr>
        <w:t>On November 13, 2009, we declared a dividend of $18.25 per share payable on December 31, 2009. Stockholders had the option to receive payment of the dividend in cash, shares of common stock, or a combination of cash and shares of common stock, provided that the aggregate cash payable to all stockholders was limited to $2.1 million or $0.25 per share.</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Based on stockholder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stockholders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graph compares the return on our common stock with that of the Standard &amp; Poor’s 500 Stock Index and the NASDAQ Financial 100 index, for the period from March 23, 2007, the date our common stock began trading, through February 28, 2013. The graph assumes that, on March 23, 2007, a person invested $100 in each of our common stock, the Standard &amp; Poor’s 500 Stock Index and the NASDAQ Financial 100 index. The graph measures total shareholder return, which takes into account both changes in stock price and dividends. It assumes that dividends paid are reinvested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128905</wp:posOffset>
            </wp:positionV>
            <wp:extent cx="5360035" cy="23666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6003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020"/>
        <w:spacing w:after="0"/>
        <w:rPr>
          <w:sz w:val="20"/>
          <w:szCs w:val="20"/>
          <w:color w:val="auto"/>
        </w:rPr>
      </w:pPr>
      <w:r>
        <w:rPr>
          <w:rFonts w:ascii="Arial" w:cs="Arial" w:eastAsia="Arial" w:hAnsi="Arial"/>
          <w:sz w:val="15"/>
          <w:szCs w:val="15"/>
          <w:b w:val="1"/>
          <w:bCs w:val="1"/>
          <w:color w:val="auto"/>
        </w:rPr>
        <w:t>Sales of unregistered securities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shares of our common stock in the open market during the year ended February 28, 2014.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selected financial and other data for the years ended February 28, 2014, February 28, 2013, February 29, 2012, February 28, 2011 and February 28, 2010 are derived from our consolidated financial statements which have been audited by Ernst &amp; Young LLP, an independent registered public accounting firm, whose report thereon is included within this Annual Report. The data should be read in conjunction with our consolidated financial statements and notes thereto, which are included elsewhere in this Annual Report, and Part II, Item 7, “Management’s Discussion and Analysis of Financial Condition and Results of Operations”.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SARATOGA INVESTMENT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 except share and per share numbers)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February 28,</w:t>
            </w:r>
          </w:p>
        </w:tc>
      </w:tr>
      <w:tr>
        <w:trPr>
          <w:trHeight w:val="171"/>
        </w:trPr>
        <w:tc>
          <w:tcPr>
            <w:tcW w:w="3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4"/>
                <w:szCs w:val="14"/>
                <w:color w:val="auto"/>
              </w:rPr>
            </w:pP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Interest and related portfolio 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14,450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13,324</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Management fee and other income</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2,706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2,293</w:t>
            </w:r>
          </w:p>
        </w:tc>
      </w:tr>
      <w:tr>
        <w:trPr>
          <w:trHeight w:val="210"/>
        </w:trPr>
        <w:tc>
          <w:tcPr>
            <w:tcW w:w="3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Total interest and related portfolio income</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22,893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17,007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13,512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14,173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15,617</w:t>
            </w:r>
          </w:p>
        </w:tc>
      </w:tr>
      <w:tr>
        <w:trPr>
          <w:trHeight w:val="210"/>
        </w:trPr>
        <w:tc>
          <w:tcPr>
            <w:tcW w:w="3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debt financing expenses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4,096</w:t>
            </w:r>
          </w:p>
        </w:tc>
      </w:tr>
      <w:tr>
        <w:trPr>
          <w:trHeight w:val="202"/>
        </w:trPr>
        <w:tc>
          <w:tcPr>
            <w:tcW w:w="3700" w:type="dxa"/>
            <w:vAlign w:val="bottom"/>
          </w:tcPr>
          <w:p>
            <w:pPr>
              <w:ind w:left="180"/>
              <w:spacing w:after="0" w:line="201" w:lineRule="exact"/>
              <w:rPr>
                <w:sz w:val="20"/>
                <w:szCs w:val="20"/>
                <w:color w:val="auto"/>
              </w:rPr>
            </w:pPr>
            <w:r>
              <w:rPr>
                <w:rFonts w:ascii="Arial" w:cs="Arial" w:eastAsia="Arial" w:hAnsi="Arial"/>
                <w:sz w:val="18"/>
                <w:szCs w:val="18"/>
                <w:color w:val="auto"/>
              </w:rPr>
              <w:t>Base management and incentive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700" w:type="dxa"/>
            <w:vAlign w:val="bottom"/>
          </w:tcPr>
          <w:p>
            <w:pPr>
              <w:ind w:left="360"/>
              <w:spacing w:after="0"/>
              <w:rPr>
                <w:sz w:val="20"/>
                <w:szCs w:val="20"/>
                <w:color w:val="auto"/>
              </w:rPr>
            </w:pPr>
            <w:r>
              <w:rPr>
                <w:rFonts w:ascii="Arial" w:cs="Arial" w:eastAsia="Arial" w:hAnsi="Arial"/>
                <w:sz w:val="18"/>
                <w:szCs w:val="18"/>
                <w:color w:val="auto"/>
              </w:rPr>
              <w:t>management fees(1)</w:t>
            </w:r>
          </w:p>
        </w:tc>
        <w:tc>
          <w:tcPr>
            <w:tcW w:w="14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4,018</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2,875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2,278</w:t>
            </w: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Administrator expenses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r>
    </w:tbl>
    <w:p>
      <w:pPr>
        <w:sectPr>
          <w:pgSz w:w="11900" w:h="16838" w:orient="portrait"/>
          <w:cols w:equalWidth="0" w:num="1">
            <w:col w:w="11380"/>
          </w:cols>
          <w:pgMar w:left="240" w:top="125" w:right="27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Administrative and other</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2,670</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2,287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2,638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4,882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3,502</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 reimbursement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7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operating expenses after</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reimbursements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13,772</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9,979</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9,876</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Net investment income before income taxes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Income tax expenses, including excise tax</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Net investment income</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9,121</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7,028</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5,701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5,249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5,714</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Realized and unrealized gain (loss) on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investments and derivatives: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realized gain (loss)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Net change in unrealized gain (loss)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(1,648)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7,143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19,760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36,393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(9,523)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Total net gain (loss)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(16,177)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7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Net increase (decrease) in net assets</w:t>
            </w: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8,744</w:t>
            </w:r>
          </w:p>
        </w:tc>
        <w:tc>
          <w:tcPr>
            <w:tcW w:w="260" w:type="dxa"/>
            <w:vAlign w:val="bottom"/>
          </w:tcPr>
          <w:p>
            <w:pPr>
              <w:spacing w:after="0"/>
              <w:rPr>
                <w:sz w:val="17"/>
                <w:szCs w:val="17"/>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14,602</w:t>
            </w:r>
          </w:p>
        </w:tc>
        <w:tc>
          <w:tcPr>
            <w:tcW w:w="200" w:type="dxa"/>
            <w:vAlign w:val="bottom"/>
          </w:tcPr>
          <w:p>
            <w:pPr>
              <w:spacing w:after="0"/>
              <w:rPr>
                <w:sz w:val="17"/>
                <w:szCs w:val="17"/>
                <w:color w:val="auto"/>
              </w:rPr>
            </w:pPr>
          </w:p>
        </w:tc>
        <w:tc>
          <w:tcPr>
            <w:tcW w:w="2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13,275</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16,958</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(10,463)</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3700" w:type="dxa"/>
            <w:vAlign w:val="bottom"/>
            <w:gridSpan w:val="2"/>
          </w:tcPr>
          <w:p>
            <w:pPr>
              <w:ind w:left="540"/>
              <w:spacing w:after="0"/>
              <w:rPr>
                <w:sz w:val="20"/>
                <w:szCs w:val="20"/>
                <w:color w:val="auto"/>
              </w:rPr>
            </w:pPr>
            <w:r>
              <w:rPr>
                <w:rFonts w:ascii="Arial" w:cs="Arial" w:eastAsia="Arial" w:hAnsi="Arial"/>
                <w:sz w:val="18"/>
                <w:szCs w:val="18"/>
                <w:color w:val="auto"/>
              </w:rPr>
              <w:t>resulting from operations</w:t>
            </w:r>
          </w:p>
        </w:tc>
        <w:tc>
          <w:tcPr>
            <w:tcW w:w="1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712"/>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0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0" w:type="dxa"/>
            <w:vAlign w:val="bottom"/>
          </w:tcPr>
          <w:p>
            <w:pPr>
              <w:spacing w:after="0"/>
              <w:rPr>
                <w:sz w:val="1"/>
                <w:szCs w:val="1"/>
                <w:color w:val="auto"/>
              </w:rPr>
            </w:pPr>
          </w:p>
        </w:tc>
      </w:tr>
      <w:tr>
        <w:trPr>
          <w:trHeight w:val="171"/>
        </w:trPr>
        <w:tc>
          <w:tcPr>
            <w:tcW w:w="3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Borders>
              <w:bottom w:val="single" w:sz="8" w:color="CCEEFF"/>
            </w:tcBorders>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gridSpan w:val="3"/>
          </w:tcPr>
          <w:p>
            <w:pPr>
              <w:spacing w:after="0" w:line="201" w:lineRule="exact"/>
              <w:rPr>
                <w:sz w:val="20"/>
                <w:szCs w:val="20"/>
                <w:color w:val="auto"/>
              </w:rPr>
            </w:pPr>
            <w:r>
              <w:rPr>
                <w:rFonts w:ascii="Arial" w:cs="Arial" w:eastAsia="Arial" w:hAnsi="Arial"/>
                <w:sz w:val="18"/>
                <w:szCs w:val="18"/>
                <w:color w:val="auto"/>
              </w:rPr>
              <w:t>Earnings (loss) per common share—basic and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180"/>
              <w:spacing w:after="0"/>
              <w:rPr>
                <w:sz w:val="20"/>
                <w:szCs w:val="20"/>
                <w:color w:val="auto"/>
              </w:rPr>
            </w:pPr>
            <w:r>
              <w:rPr>
                <w:rFonts w:ascii="Arial" w:cs="Arial" w:eastAsia="Arial" w:hAnsi="Arial"/>
                <w:sz w:val="18"/>
                <w:szCs w:val="18"/>
                <w:color w:val="auto"/>
              </w:rPr>
              <w:t>diluted(2)(5)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1.78</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3.55</w:t>
            </w:r>
          </w:p>
        </w:tc>
        <w:tc>
          <w:tcPr>
            <w:tcW w:w="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6.96</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(9.86)</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investment income per share—basic and</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diluted(2)(5)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20"/>
                <w:szCs w:val="20"/>
                <w:color w:val="auto"/>
              </w:rPr>
            </w:pPr>
          </w:p>
        </w:tc>
        <w:tc>
          <w:tcPr>
            <w:tcW w:w="4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gridSpan w:val="3"/>
          </w:tcPr>
          <w:p>
            <w:pPr>
              <w:spacing w:after="0" w:line="201" w:lineRule="exact"/>
              <w:rPr>
                <w:sz w:val="20"/>
                <w:szCs w:val="20"/>
                <w:color w:val="auto"/>
              </w:rPr>
            </w:pPr>
            <w:r>
              <w:rPr>
                <w:rFonts w:ascii="Arial" w:cs="Arial" w:eastAsia="Arial" w:hAnsi="Arial"/>
                <w:sz w:val="18"/>
                <w:szCs w:val="18"/>
                <w:color w:val="auto"/>
                <w:w w:val="98"/>
              </w:rPr>
              <w:t>Net realized and unrealized gain (loss) per share—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180"/>
              <w:spacing w:after="0"/>
              <w:rPr>
                <w:sz w:val="20"/>
                <w:szCs w:val="20"/>
                <w:color w:val="auto"/>
              </w:rPr>
            </w:pPr>
            <w:r>
              <w:rPr>
                <w:rFonts w:ascii="Arial" w:cs="Arial" w:eastAsia="Arial" w:hAnsi="Arial"/>
                <w:sz w:val="18"/>
                <w:szCs w:val="18"/>
                <w:color w:val="auto"/>
              </w:rPr>
              <w:t>basic and diluted(2)(5)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(0.07)</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1.84</w:t>
            </w:r>
          </w:p>
        </w:tc>
        <w:tc>
          <w:tcPr>
            <w:tcW w:w="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4.81</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(15.24)</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declared per common share(3)(5)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shd w:val="clear" w:color="auto" w:fill="CCEEFF"/>
          </w:tcPr>
          <w:p>
            <w:pPr>
              <w:spacing w:after="0"/>
              <w:rPr>
                <w:sz w:val="18"/>
                <w:szCs w:val="18"/>
                <w:color w:val="auto"/>
              </w:rPr>
            </w:pP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3"/>
          </w:tcPr>
          <w:p>
            <w:pPr>
              <w:spacing w:after="0" w:line="201" w:lineRule="exact"/>
              <w:rPr>
                <w:sz w:val="20"/>
                <w:szCs w:val="20"/>
                <w:color w:val="auto"/>
              </w:rPr>
            </w:pPr>
            <w:r>
              <w:rPr>
                <w:rFonts w:ascii="Arial" w:cs="Arial" w:eastAsia="Arial" w:hAnsi="Arial"/>
                <w:sz w:val="18"/>
                <w:szCs w:val="18"/>
                <w:color w:val="auto"/>
              </w:rPr>
              <w:t>Dilutive impact of dividends paid in stock on net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180"/>
              <w:spacing w:after="0"/>
              <w:rPr>
                <w:sz w:val="20"/>
                <w:szCs w:val="20"/>
                <w:color w:val="auto"/>
              </w:rPr>
            </w:pPr>
            <w:r>
              <w:rPr>
                <w:rFonts w:ascii="Arial" w:cs="Arial" w:eastAsia="Arial" w:hAnsi="Arial"/>
                <w:sz w:val="18"/>
                <w:szCs w:val="18"/>
                <w:color w:val="auto"/>
              </w:rPr>
              <w:t>asset value per share(4)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(0.75)</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(1.44)</w:t>
            </w:r>
          </w:p>
        </w:tc>
        <w:tc>
          <w:tcPr>
            <w:tcW w:w="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(9.05)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(21.10)</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21.36</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22.98</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CCEEFF"/>
          </w:tcPr>
          <w:p>
            <w:pPr>
              <w:spacing w:after="0"/>
              <w:rPr>
                <w:sz w:val="18"/>
                <w:szCs w:val="18"/>
                <w:color w:val="auto"/>
              </w:rPr>
            </w:pP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Statement of Assets and Liabilities Data: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assets at fair value</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205,845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155,080</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95,360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80,025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89,373</w:t>
            </w:r>
          </w:p>
        </w:tc>
        <w:tc>
          <w:tcPr>
            <w:tcW w:w="120" w:type="dxa"/>
            <w:vAlign w:val="bottom"/>
            <w:shd w:val="clear" w:color="auto" w:fill="CCEEFF"/>
          </w:tcPr>
          <w:p>
            <w:pPr>
              <w:spacing w:after="0"/>
              <w:rPr>
                <w:sz w:val="18"/>
                <w:szCs w:val="18"/>
                <w:color w:val="auto"/>
              </w:rPr>
            </w:pP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219,177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174,411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125,491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98,769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96,935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 outstanding</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98,300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60,300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36,992</w:t>
            </w:r>
          </w:p>
        </w:tc>
        <w:tc>
          <w:tcPr>
            <w:tcW w:w="120" w:type="dxa"/>
            <w:vAlign w:val="bottom"/>
            <w:shd w:val="clear" w:color="auto" w:fill="CCEEFF"/>
          </w:tcPr>
          <w:p>
            <w:pPr>
              <w:spacing w:after="0"/>
              <w:rPr>
                <w:sz w:val="18"/>
                <w:szCs w:val="18"/>
                <w:color w:val="auto"/>
              </w:rPr>
            </w:pP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114,924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108,687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97,380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86,071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55,478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asset value per common share(5)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21.36</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22.98</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CCEEFF"/>
          </w:tcPr>
          <w:p>
            <w:pPr>
              <w:spacing w:after="0"/>
              <w:rPr>
                <w:sz w:val="18"/>
                <w:szCs w:val="18"/>
                <w:color w:val="auto"/>
              </w:rPr>
            </w:pP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Common shares outstanding at end of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5,379,616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4,730,116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3,876,661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3,277,077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1,694,010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Investments funded</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121,074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71,596</w:t>
            </w:r>
          </w:p>
        </w:tc>
        <w:tc>
          <w:tcPr>
            <w:tcW w:w="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38,679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9,014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Principal collections related to investment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repayments or sales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71,607</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21,488</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33,568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31,975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15,185</w:t>
            </w:r>
          </w:p>
        </w:tc>
        <w:tc>
          <w:tcPr>
            <w:tcW w:w="120" w:type="dxa"/>
            <w:vAlign w:val="bottom"/>
            <w:shd w:val="clear" w:color="auto" w:fill="CCEEFF"/>
          </w:tcPr>
          <w:p>
            <w:pPr>
              <w:spacing w:after="0"/>
              <w:rPr>
                <w:sz w:val="20"/>
                <w:szCs w:val="20"/>
                <w:color w:val="auto"/>
              </w:rPr>
            </w:pPr>
          </w:p>
        </w:tc>
        <w:tc>
          <w:tcPr>
            <w:tcW w:w="4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Number of investments at year end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income producing debt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investments—Non-control/non-affiliate</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11.26%</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gridSpan w:val="3"/>
          </w:tcPr>
          <w:p>
            <w:pPr>
              <w:spacing w:after="0" w:line="201" w:lineRule="exact"/>
              <w:rPr>
                <w:sz w:val="20"/>
                <w:szCs w:val="20"/>
                <w:color w:val="auto"/>
              </w:rPr>
            </w:pPr>
            <w:r>
              <w:rPr>
                <w:rFonts w:ascii="Arial" w:cs="Arial" w:eastAsia="Arial" w:hAnsi="Arial"/>
                <w:sz w:val="18"/>
                <w:szCs w:val="18"/>
                <w:color w:val="auto"/>
              </w:rPr>
              <w:t>Weighted average yield on income producing debt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180"/>
              <w:spacing w:after="0"/>
              <w:rPr>
                <w:sz w:val="20"/>
                <w:szCs w:val="20"/>
                <w:color w:val="auto"/>
              </w:rPr>
            </w:pPr>
            <w:r>
              <w:rPr>
                <w:rFonts w:ascii="Arial" w:cs="Arial" w:eastAsia="Arial" w:hAnsi="Arial"/>
                <w:sz w:val="18"/>
                <w:szCs w:val="18"/>
                <w:color w:val="auto"/>
              </w:rPr>
              <w:t>investments—Control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18.55%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27.11%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-4512310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-4512310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6 in consolidated financial statements contained elsewhere herein.</w:t>
      </w:r>
    </w:p>
    <w:p>
      <w:pPr>
        <w:spacing w:after="0" w:line="225" w:lineRule="exact"/>
        <w:rPr>
          <w:rFonts w:ascii="Arial" w:cs="Arial" w:eastAsia="Arial" w:hAnsi="Arial"/>
          <w:sz w:val="18"/>
          <w:szCs w:val="18"/>
          <w:color w:val="auto"/>
        </w:rPr>
      </w:pPr>
    </w:p>
    <w:p>
      <w:pPr>
        <w:ind w:left="660" w:right="400" w:hanging="652"/>
        <w:spacing w:after="0" w:line="342" w:lineRule="auto"/>
        <w:tabs>
          <w:tab w:leader="none" w:pos="6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the years ended February 28, 2014, February 28, 2013, February 29, 2012, February 28, 2011 and February 28, 2010 amounts are calculated using weighted average common shares outstanding of 4,920,517, 4,110,484, 3,434,345, 2,437,577, and 1,061,351, respectively.</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Calculated using the shares outstanding at ex-dividend date.</w:t>
      </w:r>
    </w:p>
    <w:p>
      <w:pPr>
        <w:spacing w:after="0" w:line="225" w:lineRule="exact"/>
        <w:rPr>
          <w:rFonts w:ascii="Arial" w:cs="Arial" w:eastAsia="Arial" w:hAnsi="Arial"/>
          <w:sz w:val="18"/>
          <w:szCs w:val="18"/>
          <w:color w:val="auto"/>
        </w:rPr>
      </w:pPr>
    </w:p>
    <w:p>
      <w:pPr>
        <w:ind w:left="660" w:right="540" w:hanging="652"/>
        <w:spacing w:after="0" w:line="277" w:lineRule="auto"/>
        <w:tabs>
          <w:tab w:leader="none" w:pos="667"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Dilutive effect of the issuance of shares of common stock below net asset value per share in connection with the satisfaction of the Company’s annual RIC distribution requirement. See “Price Range of Common Stock and Distributions — Dividend Policy.”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Earnings per share, dividend per share and net asset value per share figures for February 28, 2010 were updated and do not reflect historical 10-K’s.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The following discussion should be read in conjunction with our financial statements and related notes and other financial information appearing elsewhere in this Annual Report on Form 10-K. In addition to historical information, the following discussion and other parts of this Annual Report contain forward-looking information that involves risks and uncertainties. Our actual results could differ materially from those anticipated by such forward-looking information due to the factors discussed under Part I, Item 1A “Risk Factors” and “Note about Forward-Looking Statements” appearing elsewhere herein.</w:t>
      </w:r>
    </w:p>
    <w:p>
      <w:pPr>
        <w:sectPr>
          <w:pgSz w:w="11900" w:h="16838" w:orient="portrait"/>
          <w:cols w:equalWidth="0" w:num="1">
            <w:col w:w="11460"/>
          </w:cols>
          <w:pgMar w:left="240" w:top="125" w:right="199" w:bottom="0" w:gutter="0" w:footer="0" w:header="0"/>
        </w:sectPr>
      </w:pPr>
    </w:p>
    <w:bookmarkStart w:id="35" w:name="page36"/>
    <w:bookmarkEnd w:id="35"/>
    <w:p>
      <w:pPr>
        <w:ind w:right="160" w:firstLine="648"/>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forward-looking statements contained in this Annual Report on Form 10-K involve risks and uncertainties, including statements as to:</w:t>
      </w:r>
    </w:p>
    <w:p>
      <w:pPr>
        <w:spacing w:after="0" w:line="237" w:lineRule="exact"/>
        <w:rPr>
          <w:sz w:val="20"/>
          <w:szCs w:val="20"/>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 w:lineRule="exact"/>
        <w:rPr>
          <w:rFonts w:ascii="Arial" w:cs="Arial" w:eastAsia="Arial" w:hAnsi="Arial"/>
          <w:sz w:val="18"/>
          <w:szCs w:val="18"/>
          <w:color w:val="auto"/>
        </w:rPr>
      </w:pPr>
    </w:p>
    <w:p>
      <w:pPr>
        <w:ind w:left="980" w:right="540" w:hanging="324"/>
        <w:spacing w:after="0" w:line="250" w:lineRule="auto"/>
        <w:tabs>
          <w:tab w:leader="none" w:pos="9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regulatory structure and tax treatment, including our ability to operate as a BDC, or to operate our SBIC subsidiary, and to continue to qualify to be taxed as a RIC;</w:t>
      </w: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Annual Report on Form 10-K relate only to events as of the date on which the statements are made. We undertake no obligation to update any forward-looking statement to reflect events or circumstances occurring after the date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a Maryland corporation that has elected to be treated as a business development company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$5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regulated investment company (“RIC”) under Subchapter M of the Internal Revenue Code of 1986, as amended (the “Code”).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Corporate History and Recent Developments</w:t>
      </w:r>
    </w:p>
    <w:p>
      <w:pPr>
        <w:spacing w:after="0" w:line="225"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as described below we engaged Saratoga Investment Advisors (“SIA”) to replace GSCP (NJ), L.P. as our investment adviser and changed our name to Saratoga Investment Corp.</w:t>
      </w:r>
    </w:p>
    <w:p>
      <w:pPr>
        <w:spacing w:after="0" w:line="15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a result of the event of default under a revolving securitized credit facility with Deutsche Bank we previously had in place, in December 2008 we engaged the investment banking firm of Stifel, Nicolaus &amp; Company to evaluate strategic transaction opportunities and consider alternatives for us. On April 14, 2010, GSC Investment Corp. entered into a stock purchase agreement with Saratoga Investment Advisors and certain of its affiliates and an assignment, assumption and novation agreement with Saratoga Investment Advisors, pursuant to which GSC Investment Corp. assumed certain rights and obligations of Saratoga Investment Advisors under a debt commitment letter Saratoga Investment Advisors received from Madison Capital Funding LLC, which indicated Madison Capital Funding’s willingness to provide GSC Investment Corp. with a $40.0 million senior secured revolving credit facility, subject to the satisfaction of certain terms and conditions. In addition, GSC Investment Corp. and GSCP (NJ), L.P.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30, 2010, the transactions contemplated by the stock purchase agreement with Saratoga Investment Advisors and certain of its affiliates were completed, the private sale of 986,842 shares of our common stock for $15.0 million in aggregate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purchase price to Saratoga Investment Advisors and certain of its affiliates closed, the Company entered into the Credit Facility, and the Company began doing business as Saratoga Investment Corp.</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used the net proceeds from the private sale transaction and a portion of the funds available to us under the Credit Facility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ectPr>
          <w:pgSz w:w="11900" w:h="16838" w:orient="portrait"/>
          <w:cols w:equalWidth="0" w:num="1">
            <w:col w:w="11420"/>
          </w:cols>
          <w:pgMar w:left="240" w:top="341" w:right="239" w:bottom="0" w:gutter="0" w:footer="0" w:header="0"/>
        </w:sectPr>
      </w:pPr>
    </w:p>
    <w:bookmarkStart w:id="36" w:name="page37"/>
    <w:bookmarkEnd w:id="36"/>
    <w:p>
      <w:pPr>
        <w:spacing w:after="0" w:line="2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January 2011, we registered for public resale the 982,842 shares of our common stock issued to Saratoga Investment Advisors and certain of its affiliates.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The notes are listed on the NYSE under the trading symbol “SAQ” with a par value of $25.00 per share.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(“U.S.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170" w:lineRule="exact"/>
        <w:rPr>
          <w:sz w:val="20"/>
          <w:szCs w:val="20"/>
          <w:color w:val="auto"/>
        </w:rPr>
      </w:pPr>
    </w:p>
    <w:p>
      <w:pPr>
        <w:ind w:left="980" w:right="480" w:hanging="324"/>
        <w:spacing w:after="0" w:line="277" w:lineRule="auto"/>
        <w:tabs>
          <w:tab w:leader="none" w:pos="9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225" w:lineRule="exact"/>
        <w:rPr>
          <w:sz w:val="20"/>
          <w:szCs w:val="20"/>
          <w:color w:val="auto"/>
        </w:rPr>
      </w:pPr>
    </w:p>
    <w:p>
      <w:pPr>
        <w:ind w:left="980" w:right="140" w:hanging="324"/>
        <w:spacing w:after="0" w:line="308" w:lineRule="auto"/>
        <w:tabs>
          <w:tab w:leader="none" w:pos="94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Saratoga Investment Advisors and independent valuation firm (if applicable) will supplement the preliminary valuation to reflect any comments provided by the audit committee; and</w:t>
      </w:r>
    </w:p>
    <w:p>
      <w:pPr>
        <w:spacing w:after="0" w:line="146" w:lineRule="exact"/>
        <w:rPr>
          <w:rFonts w:ascii="Arial" w:cs="Arial" w:eastAsia="Arial" w:hAnsi="Arial"/>
          <w:sz w:val="17"/>
          <w:szCs w:val="17"/>
          <w:color w:val="auto"/>
        </w:rPr>
      </w:pPr>
    </w:p>
    <w:p>
      <w:pPr>
        <w:ind w:left="980" w:right="420" w:hanging="324"/>
        <w:spacing w:after="0" w:line="342" w:lineRule="auto"/>
        <w:tabs>
          <w:tab w:leader="none" w:pos="944"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board of directors discusses the valuations and approves the fair value of each investment, in good faith, based on the input of Saratoga Investment Advisors, independent valuation firm (to the extent applicable) and the audit committee of our board of directors.</w:t>
      </w:r>
    </w:p>
    <w:p>
      <w:pPr>
        <w:spacing w:after="0" w:line="12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w:t>
      </w:r>
    </w:p>
    <w:p>
      <w:pPr>
        <w:sectPr>
          <w:pgSz w:w="11900" w:h="16867" w:orient="portrait"/>
          <w:cols w:equalWidth="0" w:num="1">
            <w:col w:w="11420"/>
          </w:cols>
          <w:pgMar w:left="240" w:top="125" w:right="239" w:bottom="0" w:gutter="0" w:footer="0" w:header="0"/>
        </w:sectPr>
      </w:pPr>
    </w:p>
    <w:bookmarkStart w:id="37" w:name="page38"/>
    <w:bookmarkEnd w:id="37"/>
    <w:p>
      <w:pPr>
        <w:ind w:right="160"/>
        <w:spacing w:after="0" w:line="277" w:lineRule="auto"/>
        <w:rPr>
          <w:sz w:val="20"/>
          <w:szCs w:val="20"/>
          <w:color w:val="auto"/>
        </w:rPr>
      </w:pPr>
      <w:r>
        <w:rPr>
          <w:rFonts w:ascii="Arial" w:cs="Arial" w:eastAsia="Arial" w:hAnsi="Arial"/>
          <w:sz w:val="18"/>
          <w:szCs w:val="18"/>
          <w:color w:val="auto"/>
        </w:rPr>
        <w:t>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Recognition</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Paid-in-Kind Interest</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9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January 22, 2008, we entered into a collateral management agreement with Saratoga CLO, pursuant to which we act as its collateral manager. The Saratoga CLO was refinanced in October 2013 and its reinvestment period ends in October 2016. The Saratoga CLO remains 100% owned and managed by Saratoga Investment Corp. We receive a senior collateral management fee of 0.25% and a subordinate collateral management fee of 0.25% of the outstanding principal amount of Saratoga CLO’s assets,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15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171" w:lineRule="exact"/>
        <w:rPr>
          <w:sz w:val="20"/>
          <w:szCs w:val="20"/>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ectPr>
          <w:pgSz w:w="11900" w:h="16838" w:orient="portrait"/>
          <w:cols w:equalWidth="0" w:num="1">
            <w:col w:w="11380"/>
          </w:cols>
          <w:pgMar w:left="240" w:top="125" w:right="279" w:bottom="0" w:gutter="0" w:footer="0" w:header="0"/>
        </w:sectPr>
      </w:pPr>
    </w:p>
    <w:bookmarkStart w:id="38" w:name="page39"/>
    <w:bookmarkEnd w:id="38"/>
    <w:p>
      <w:pPr>
        <w:ind w:left="980" w:right="100" w:hanging="324"/>
        <w:spacing w:after="0" w:line="308" w:lineRule="auto"/>
        <w:tabs>
          <w:tab w:leader="none" w:pos="944"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5620" w:right="140" w:hanging="4964"/>
        <w:spacing w:after="0" w:line="528" w:lineRule="auto"/>
        <w:tabs>
          <w:tab w:leader="none" w:pos="941"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payable to third parties, including agents, consultants or other advisers, relating to, or associated with, evaluating and making investments;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70" w:lineRule="exact"/>
        <w:rPr>
          <w:rFonts w:ascii="Arial" w:cs="Arial" w:eastAsia="Arial" w:hAnsi="Arial"/>
          <w:sz w:val="18"/>
          <w:szCs w:val="18"/>
          <w:color w:val="auto"/>
        </w:rPr>
      </w:pPr>
    </w:p>
    <w:p>
      <w:pPr>
        <w:ind w:left="980" w:right="400" w:hanging="324"/>
        <w:spacing w:after="0" w:line="259" w:lineRule="auto"/>
        <w:tabs>
          <w:tab w:leader="none" w:pos="9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Pursuant to the investment advisory and management agreement that we had with GSCP (NJ), L.P., our former investment adviser and administrator, we had agreed to pay GSCP (NJ), L.P. as investment adviser a quarterly base management fee of 1.75% of the average value of our total assets (other than cash or cash equivalents but including assets purchased with borrowed funds) at the end of the two most recently completed fiscal quarters, and appropriately adjusted for any share issuances or repurchases during the applicable fiscal quarter, and an incentive fee.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incentive fee had two parts:</w:t>
      </w:r>
    </w:p>
    <w:p>
      <w:pPr>
        <w:spacing w:after="0" w:line="225" w:lineRule="exact"/>
        <w:rPr>
          <w:sz w:val="20"/>
          <w:szCs w:val="20"/>
          <w:color w:val="auto"/>
        </w:rPr>
      </w:pPr>
    </w:p>
    <w:p>
      <w:pPr>
        <w:ind w:left="980" w:right="180" w:hanging="324"/>
        <w:spacing w:after="0" w:line="255" w:lineRule="auto"/>
        <w:tabs>
          <w:tab w:leader="none" w:pos="9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fee, payable quarterly in arrears, equal to 20.0% of our pre-incentive fee net investment income, expressed as a rate of return on the value of the net assets at the end of the immediately preceding quarter, that exceeded a 1.875% quarterly (7.5% annualized) hurdle rate measured as of the end of each fiscal quarter. Under this provision, in any fiscal quarter, our investment adviser received no incentive fee unless our pre-incentive fee net investment income exceeded the hurdle rate of 1.875%. Amounts received as a return of capital were not included in calculating this portion of the incentive fee. Since the hurdle rate was based on net assets, a return of less than the hurdle rate on total assets could still have resulted in an incentive fee.</w:t>
      </w:r>
    </w:p>
    <w:p>
      <w:pPr>
        <w:spacing w:after="0" w:line="193" w:lineRule="exact"/>
        <w:rPr>
          <w:rFonts w:ascii="Arial" w:cs="Arial" w:eastAsia="Arial" w:hAnsi="Arial"/>
          <w:sz w:val="18"/>
          <w:szCs w:val="18"/>
          <w:color w:val="auto"/>
        </w:rPr>
      </w:pPr>
    </w:p>
    <w:p>
      <w:pPr>
        <w:ind w:left="980" w:right="240" w:hanging="324"/>
        <w:spacing w:after="0" w:line="264" w:lineRule="auto"/>
        <w:tabs>
          <w:tab w:leader="none" w:pos="9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fee, payable at the end of each fiscal year, equal to 20.0% of our net realized capital gains, if any, computed net of all realized capital losses and unrealized capital depreciation, in each case on a cumulative basis, less the aggregate amount of capital gains incentive fees paid to the investment adviser through such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deferred cash payment of any incentive fee otherwise earned by our former investment adviser if, during the then most recent four full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quarters ending on or prior to the date such payment was to be made, the sum of (a) our aggregate distributions to our stockholders and (b) our change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(defined as total assets less liabilities) (before taking into account any incentive fees payable during that period) was less than 7.5% of our net assets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beginning of such period. These calculations were appropriately pro-rated for the first three fiscal quarters of operation and adjusted for any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issuances or repurchases during the applicable period. Such incentive fee would become payable on the next date on which such test had been satisfied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recent four full fiscal quarters or upon certain terminations of the investment advisory and management agreement. We commenced deferring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of incentive fees during the quarterly period ended August 31, 2007, and continued to defer such payments through the quarterly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31, 2010. As of July 30, 2010, the date on which GSCP (NJ), L.P. ceased to be our investment adviser and administrator, we owed GSCP (NJ),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in fees for services previously provided to us; of which $0.3 million has been paid by us. GSCP (NJ), L.P. agreed to waive payment by us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$2.6 million in connection with the consummation of the stock purchase transaction with Saratoga Investment Advisors and certain of its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elsewhere in this Annual Report.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341" w:right="259" w:bottom="0" w:gutter="0" w:footer="0" w:header="0"/>
        </w:sectPr>
      </w:pPr>
    </w:p>
    <w:bookmarkStart w:id="39" w:name="page40"/>
    <w:bookmarkEnd w:id="39"/>
    <w:p>
      <w:pPr>
        <w:ind w:right="260" w:firstLine="648"/>
        <w:spacing w:after="0" w:line="264" w:lineRule="auto"/>
        <w:rPr>
          <w:sz w:val="20"/>
          <w:szCs w:val="20"/>
          <w:color w:val="auto"/>
        </w:rPr>
      </w:pPr>
      <w:r>
        <w:rPr>
          <w:rFonts w:ascii="Arial" w:cs="Arial" w:eastAsia="Arial" w:hAnsi="Arial"/>
          <w:sz w:val="18"/>
          <w:szCs w:val="18"/>
          <w:color w:val="auto"/>
        </w:rPr>
        <w:t>The terms of the investment advisory and management agreement with Saratoga Investment Advisors, our current investment adviser, are substantially similar to the terms of the investment advisory and management agreement we had entered into with GSCP (NJ), L.P., our former investment adviser, except for the following material distinctions in the fee terms:</w:t>
      </w:r>
    </w:p>
    <w:p>
      <w:pPr>
        <w:spacing w:after="0" w:line="181" w:lineRule="exact"/>
        <w:rPr>
          <w:sz w:val="20"/>
          <w:szCs w:val="20"/>
          <w:color w:val="auto"/>
        </w:rPr>
      </w:pPr>
    </w:p>
    <w:p>
      <w:pPr>
        <w:ind w:left="980" w:hanging="324"/>
        <w:spacing w:after="0" w:line="273" w:lineRule="auto"/>
        <w:tabs>
          <w:tab w:leader="none" w:pos="94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capital gains portion of the incentive fee was reset with respect to gains and losses from May 31, 2010, and therefore losses and gains incurred prior to such time will not be taken into account when calculating the capital gains fee payable to Saratoga Investment Advisors and, as a result, Saratoga Investment Advisors will be entitled to 20.0% of net gains that arise after May 31, 2010. In addition, the cost basis for computing realized gains and losses on investments held by us as of May 31, 2010 equal the fair value of such investment as of such date. Under the investment advisory and management agreement with our former investment adviser, GSCP (NJ), L.P., the capital gains fee was calculated from March 21, 2007, and the gains were substantially outweighed by losses.</w:t>
      </w:r>
    </w:p>
    <w:p>
      <w:pPr>
        <w:spacing w:after="0" w:line="178" w:lineRule="exact"/>
        <w:rPr>
          <w:rFonts w:ascii="Arial" w:cs="Arial" w:eastAsia="Arial" w:hAnsi="Arial"/>
          <w:sz w:val="17"/>
          <w:szCs w:val="17"/>
          <w:color w:val="auto"/>
        </w:rPr>
      </w:pPr>
    </w:p>
    <w:p>
      <w:pPr>
        <w:ind w:left="980" w:right="60" w:hanging="324"/>
        <w:spacing w:after="0" w:line="255" w:lineRule="auto"/>
        <w:tabs>
          <w:tab w:leader="none" w:pos="9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 the “catch up” provision, 100.0% of our pre-incentive fee net investment income with respect to that portion of such pre-incentive fee net investment income that exceeds 1.875% (7.5% annualized) but is less than or equal to 2.344% in any fiscal quarter is payable to Saratoga Investment Advisors. This will enable Saratoga Investment Advisors to receive 20.0% of all net investment income as such amount approaches 2.344% in any quarter, and Saratoga Investment Advisors will receive 20.0% of any additional net investment income. Under the investment advisory and management agreement with our former investment adviser, GSCP (NJ), L.P. only received 20.0% of the excess net investment income over 1.875%.</w:t>
      </w:r>
    </w:p>
    <w:p>
      <w:pPr>
        <w:spacing w:after="0" w:line="193"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no longer have deferral rights regarding incentive fees in the event that the distributions to stockholders and change in net assets is less than 7.5% for the preceding four fiscal quarters.</w:t>
      </w:r>
    </w:p>
    <w:p>
      <w:pPr>
        <w:spacing w:after="0" w:line="1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At February 28,</w:t>
            </w:r>
          </w:p>
        </w:tc>
        <w:tc>
          <w:tcPr>
            <w:tcW w:w="14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At February 28,</w:t>
            </w:r>
          </w:p>
        </w:tc>
        <w:tc>
          <w:tcPr>
            <w:tcW w:w="14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At February 29,</w:t>
            </w:r>
          </w:p>
        </w:tc>
      </w:tr>
      <w:tr>
        <w:trPr>
          <w:trHeight w:val="171"/>
        </w:trPr>
        <w:tc>
          <w:tcPr>
            <w:tcW w:w="4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30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investments(1)</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Number of portfolio companies(1)</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Weighted average maturity(1)</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4.3yrs</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3.7yrs</w:t>
            </w: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3.0yrs</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industries(1)</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investments(1)</w:t>
            </w: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Fixed rate debt (% of interest bearing portfolio)(2)</w:t>
            </w: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70.6(40.1)%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53.4(43.9)% $</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18.7(29.3)%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Floating rate debt (% of interest bearing portfolio)(2)</w:t>
            </w: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105.4(59.9)% $</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68.2(56.1)% $</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45.1(70.7)%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investments in common stocks.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During the fiscal year ended February 28, 2014, we invested $121.1 million in new or existing portfolio companies and had $71.6 million in aggregate amount of exits and repayments resulting in net investments of $49.5 million for the year.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fiscal year ended February 28, 2013, we invested $71.6 million in new or existing portfolio companies and had $21.5 million in aggregate amount of exits and repayments resulting in net investments of $50.1 million for the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fiscal year ended February 29, 2012, we invested $38.7 million in new or existing portfolio companies and had $33.6 million in aggregate amount of exits and repayments resulting in net investments of $5.1 million for the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composition at February 28, 2014, February 28, 2013, and February 29, 2012 at fair value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25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At February 28, 2014</w:t>
            </w:r>
          </w:p>
        </w:tc>
        <w:tc>
          <w:tcPr>
            <w:tcW w:w="24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At February 28, 2013</w:t>
            </w:r>
          </w:p>
        </w:tc>
        <w:tc>
          <w:tcPr>
            <w:tcW w:w="24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At February 29, 2012</w:t>
            </w: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26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10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2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10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2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10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of Total</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Current</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Total</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Current</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35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First lien term loans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Senior secured notes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loans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40" w:name="page41"/>
    <w:bookmarkEnd w:id="40"/>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Unsecured notes</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15.2</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rPr>
              <w:t>16.4</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2.1</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19.3</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Saratoga CLO subordinated notes</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18.6</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16.5</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27.1</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20.2</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Equity interests</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5.2</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6.0</w:t>
            </w: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N/A</w:t>
            </w: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11.8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5"/>
              </w:rPr>
              <w:t>14.0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5"/>
              </w:rPr>
              <w:t>13.4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88" w:lineRule="auto"/>
        <w:rPr>
          <w:sz w:val="20"/>
          <w:szCs w:val="20"/>
          <w:color w:val="auto"/>
        </w:rPr>
      </w:pPr>
      <w:r>
        <w:rPr>
          <w:rFonts w:ascii="Arial" w:cs="Arial" w:eastAsia="Arial" w:hAnsi="Arial"/>
          <w:sz w:val="16"/>
          <w:szCs w:val="16"/>
          <w:color w:val="auto"/>
        </w:rPr>
        <w:t>Our investment in the subordinated notes of Saratoga CLO represents a first loss position in a portfolio that, at February 28, 2014, February 28, 2013, and February 29, 2012, was composed of $301.3 million, $383.3 million, and $380.2 million, respectively, in aggregate principal amount of predominantly senior secured first lien term loans. This investment is subject to unique risks. (See “Risk Factors—Our investment in Saratoga CLO 2013-</w:t>
      </w:r>
    </w:p>
    <w:p>
      <w:pPr>
        <w:ind w:right="80"/>
        <w:spacing w:after="0" w:line="251" w:lineRule="auto"/>
        <w:rPr>
          <w:sz w:val="20"/>
          <w:szCs w:val="20"/>
          <w:color w:val="auto"/>
        </w:rPr>
      </w:pPr>
      <w:r>
        <w:rPr>
          <w:rFonts w:ascii="Arial" w:cs="Arial" w:eastAsia="Arial" w:hAnsi="Arial"/>
          <w:sz w:val="18"/>
          <w:szCs w:val="18"/>
          <w:color w:val="auto"/>
        </w:rPr>
        <w:t>1 LTD. constitutes a leveraged investment in a portfolio of predominantly senior secured first lien term loans and is subject to additional risks and volatility”). We do not consolidate the Saratoga CLO portfolio in our financial statements. Accordingly, the metrics below do not include the underlying Saratoga CLO portfolio investments. However, at February 28, 2014, $298.9 million or 99.5% of the Saratoga CLO portfolio investments in terms of market value had a CMR (as defined below) color rating of green or yellow and three Saratoga CLO portfolio investments were in default with a fair value of $1.6 million. At February 28, 2013, $368.9 million or 98.5% of the Saratoga CLO portfolio investments in terms of market value had a CMR color rating of green or yellow and one Saratoga CLO portfolio investment was in default with a fair value of $1.0 million. At February 28, 2012, $379.5 million or 99.3% of the Saratoga CLO portfolio investments in terms of market value had a CMR color rating of green or yellow and one Saratoga CLO portfolio investment was in default with a fair value of $0.7 million. For more information relating to Saratoga CLO, see the audited financial statements for Saratoga CLO included elsewhere herein.</w:t>
      </w:r>
    </w:p>
    <w:p>
      <w:pPr>
        <w:spacing w:after="0" w:line="19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CMR distribution of our investments at February 28, 2014 and February 28, 2013 was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5"/>
          </w:tcPr>
          <w:p>
            <w:pPr>
              <w:jc w:val="right"/>
              <w:ind w:right="1030"/>
              <w:spacing w:after="0"/>
              <w:rPr>
                <w:sz w:val="20"/>
                <w:szCs w:val="20"/>
                <w:color w:val="auto"/>
              </w:rPr>
            </w:pPr>
            <w:r>
              <w:rPr>
                <w:rFonts w:ascii="Arial" w:cs="Arial" w:eastAsia="Arial" w:hAnsi="Arial"/>
                <w:sz w:val="14"/>
                <w:szCs w:val="14"/>
                <w:b w:val="1"/>
                <w:bCs w:val="1"/>
                <w:color w:val="auto"/>
              </w:rPr>
              <w:t>At February 28, 2014</w:t>
            </w:r>
          </w:p>
        </w:tc>
        <w:tc>
          <w:tcPr>
            <w:tcW w:w="200" w:type="dxa"/>
            <w:vAlign w:val="bottom"/>
          </w:tcPr>
          <w:p>
            <w:pPr>
              <w:spacing w:after="0"/>
              <w:rPr>
                <w:sz w:val="14"/>
                <w:szCs w:val="14"/>
                <w:color w:val="auto"/>
              </w:rPr>
            </w:pPr>
          </w:p>
        </w:tc>
        <w:tc>
          <w:tcPr>
            <w:tcW w:w="298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At February 28, 2013</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Color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0"/>
              </w:rPr>
              <w:t>of</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at</w:t>
            </w:r>
          </w:p>
        </w:tc>
        <w:tc>
          <w:tcPr>
            <w:tcW w:w="180" w:type="dxa"/>
            <w:vAlign w:val="bottom"/>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89"/>
              </w:rPr>
              <w:t>Total</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2"/>
          </w:tcPr>
          <w:p>
            <w:pPr>
              <w:ind w:left="660"/>
              <w:spacing w:after="0"/>
              <w:rPr>
                <w:sz w:val="20"/>
                <w:szCs w:val="20"/>
                <w:color w:val="auto"/>
              </w:rPr>
            </w:pPr>
            <w:r>
              <w:rPr>
                <w:rFonts w:ascii="Arial" w:cs="Arial" w:eastAsia="Arial" w:hAnsi="Arial"/>
                <w:sz w:val="14"/>
                <w:szCs w:val="14"/>
                <w:b w:val="1"/>
                <w:bCs w:val="1"/>
                <w:color w:val="auto"/>
              </w:rPr>
              <w:t>Score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6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Portfolio</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ind w:left="1020"/>
              <w:spacing w:after="0" w:line="142" w:lineRule="exact"/>
              <w:rPr>
                <w:sz w:val="20"/>
                <w:szCs w:val="20"/>
                <w:color w:val="auto"/>
              </w:rPr>
            </w:pPr>
            <w:r>
              <w:rPr>
                <w:rFonts w:ascii="Arial" w:cs="Arial" w:eastAsia="Arial" w:hAnsi="Arial"/>
                <w:sz w:val="14"/>
                <w:szCs w:val="14"/>
                <w:b w:val="1"/>
                <w:bCs w:val="1"/>
                <w:color w:val="auto"/>
              </w:rPr>
              <w:t>($ in thousands)</w:t>
            </w:r>
          </w:p>
        </w:tc>
        <w:tc>
          <w:tcPr>
            <w:tcW w:w="1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Green</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159,207</w:t>
            </w:r>
          </w:p>
        </w:tc>
        <w:tc>
          <w:tcPr>
            <w:tcW w:w="18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100,170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Yellow</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8,466</w:t>
            </w:r>
          </w:p>
        </w:tc>
        <w:tc>
          <w:tcPr>
            <w:tcW w:w="1820" w:type="dxa"/>
            <w:vAlign w:val="bottom"/>
            <w:gridSpan w:val="3"/>
          </w:tcPr>
          <w:p>
            <w:pPr>
              <w:jc w:val="right"/>
              <w:ind w:right="19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8,143</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5.3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8,270</w:t>
            </w:r>
          </w:p>
        </w:tc>
        <w:tc>
          <w:tcPr>
            <w:tcW w:w="18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13,229</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N/A(1)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29,902</w:t>
            </w:r>
          </w:p>
        </w:tc>
        <w:tc>
          <w:tcPr>
            <w:tcW w:w="1820" w:type="dxa"/>
            <w:vAlign w:val="bottom"/>
            <w:gridSpan w:val="3"/>
          </w:tcPr>
          <w:p>
            <w:pPr>
              <w:jc w:val="right"/>
              <w:ind w:right="19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33,538</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21.6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1206"/>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CMR distribution of Saratoga CLO investments at February 28, 2014 and February 28, 2013 was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4"/>
          </w:tcPr>
          <w:p>
            <w:pPr>
              <w:jc w:val="right"/>
              <w:ind w:right="1030"/>
              <w:spacing w:after="0"/>
              <w:rPr>
                <w:sz w:val="20"/>
                <w:szCs w:val="20"/>
                <w:color w:val="auto"/>
              </w:rPr>
            </w:pPr>
            <w:r>
              <w:rPr>
                <w:rFonts w:ascii="Arial" w:cs="Arial" w:eastAsia="Arial" w:hAnsi="Arial"/>
                <w:sz w:val="14"/>
                <w:szCs w:val="14"/>
                <w:b w:val="1"/>
                <w:bCs w:val="1"/>
                <w:color w:val="auto"/>
              </w:rPr>
              <w:t>At February 28, 2014</w:t>
            </w:r>
          </w:p>
        </w:tc>
        <w:tc>
          <w:tcPr>
            <w:tcW w:w="200" w:type="dxa"/>
            <w:vAlign w:val="bottom"/>
          </w:tcPr>
          <w:p>
            <w:pPr>
              <w:spacing w:after="0"/>
              <w:rPr>
                <w:sz w:val="14"/>
                <w:szCs w:val="14"/>
                <w:color w:val="auto"/>
              </w:rPr>
            </w:pPr>
          </w:p>
        </w:tc>
        <w:tc>
          <w:tcPr>
            <w:tcW w:w="29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Color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Arial" w:cs="Arial" w:eastAsia="Arial" w:hAnsi="Arial"/>
                <w:sz w:val="14"/>
                <w:szCs w:val="14"/>
                <w:b w:val="1"/>
                <w:bCs w:val="1"/>
                <w:color w:val="auto"/>
              </w:rPr>
              <w:t>Score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3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ind w:left="1020"/>
              <w:spacing w:after="0" w:line="142" w:lineRule="exact"/>
              <w:rPr>
                <w:sz w:val="20"/>
                <w:szCs w:val="20"/>
                <w:color w:val="auto"/>
              </w:rPr>
            </w:pPr>
            <w:r>
              <w:rPr>
                <w:rFonts w:ascii="Arial" w:cs="Arial" w:eastAsia="Arial" w:hAnsi="Arial"/>
                <w:sz w:val="14"/>
                <w:szCs w:val="14"/>
                <w:b w:val="1"/>
                <w:bCs w:val="1"/>
                <w:color w:val="auto"/>
              </w:rPr>
              <w:t>($ in thousands)</w:t>
            </w:r>
          </w:p>
        </w:tc>
        <w:tc>
          <w:tcPr>
            <w:tcW w:w="1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Green</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284,796</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318,181</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Yellow</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14,106</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50,677</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1,589</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300,491</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374,420</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portfolio composition by industry grouping at fair value at February 28, 2014 and February 28, 2013:</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color w:val="auto"/>
              </w:rPr>
              <w:t>At February 28, 2014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80" w:type="dxa"/>
            <w:vAlign w:val="bottom"/>
            <w:tcBorders>
              <w:top w:val="single" w:sz="8" w:color="auto"/>
            </w:tcBorders>
            <w:gridSpan w:val="2"/>
            <w:vMerge w:val="restart"/>
          </w:tcPr>
          <w:p>
            <w:pPr>
              <w:jc w:val="center"/>
              <w:ind w:right="212"/>
              <w:spacing w:after="0"/>
              <w:rPr>
                <w:sz w:val="20"/>
                <w:szCs w:val="20"/>
                <w:color w:val="auto"/>
              </w:rPr>
            </w:pPr>
            <w:r>
              <w:rPr>
                <w:rFonts w:ascii="Arial" w:cs="Arial" w:eastAsia="Arial" w:hAnsi="Arial"/>
                <w:sz w:val="14"/>
                <w:szCs w:val="14"/>
                <w:b w:val="1"/>
                <w:bCs w:val="1"/>
                <w:color w:val="auto"/>
                <w:w w:val="90"/>
              </w:rPr>
              <w:t>Investments</w:t>
            </w:r>
          </w:p>
        </w:tc>
        <w:tc>
          <w:tcPr>
            <w:tcW w:w="1000" w:type="dxa"/>
            <w:vAlign w:val="bottom"/>
            <w:tcBorders>
              <w:top w:val="single" w:sz="8" w:color="auto"/>
            </w:tcBorders>
          </w:tcPr>
          <w:p>
            <w:pPr>
              <w:jc w:val="center"/>
              <w:ind w:left="209"/>
              <w:spacing w:after="0" w:line="119" w:lineRule="exact"/>
              <w:rPr>
                <w:sz w:val="20"/>
                <w:szCs w:val="20"/>
                <w:color w:val="auto"/>
              </w:rPr>
            </w:pPr>
            <w:r>
              <w:rPr>
                <w:rFonts w:ascii="Arial" w:cs="Arial" w:eastAsia="Arial" w:hAnsi="Arial"/>
                <w:sz w:val="13"/>
                <w:szCs w:val="13"/>
                <w:b w:val="1"/>
                <w:bCs w:val="1"/>
                <w:color w:val="auto"/>
                <w:w w:val="96"/>
              </w:rPr>
              <w:t>Percentage</w:t>
            </w:r>
          </w:p>
        </w:tc>
        <w:tc>
          <w:tcPr>
            <w:tcW w:w="3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center"/>
              <w:ind w:right="416"/>
              <w:spacing w:after="0"/>
              <w:rPr>
                <w:sz w:val="20"/>
                <w:szCs w:val="20"/>
                <w:color w:val="auto"/>
              </w:rPr>
            </w:pPr>
            <w:r>
              <w:rPr>
                <w:rFonts w:ascii="Arial" w:cs="Arial" w:eastAsia="Arial" w:hAnsi="Arial"/>
                <w:sz w:val="14"/>
                <w:szCs w:val="14"/>
                <w:b w:val="1"/>
                <w:bCs w:val="1"/>
                <w:color w:val="auto"/>
                <w:w w:val="90"/>
              </w:rPr>
              <w:t>Investments</w:t>
            </w:r>
          </w:p>
        </w:tc>
        <w:tc>
          <w:tcPr>
            <w:tcW w:w="13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000" w:type="dxa"/>
            <w:vAlign w:val="bottom"/>
          </w:tcPr>
          <w:p>
            <w:pPr>
              <w:jc w:val="center"/>
              <w:ind w:left="209"/>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6"/>
              </w:rPr>
              <w:t>at</w:t>
            </w:r>
          </w:p>
        </w:tc>
        <w:tc>
          <w:tcPr>
            <w:tcW w:w="880" w:type="dxa"/>
            <w:vAlign w:val="bottom"/>
          </w:tcPr>
          <w:p>
            <w:pPr>
              <w:spacing w:after="0"/>
              <w:rPr>
                <w:sz w:val="12"/>
                <w:szCs w:val="12"/>
                <w:color w:val="auto"/>
              </w:rPr>
            </w:pPr>
          </w:p>
        </w:tc>
        <w:tc>
          <w:tcPr>
            <w:tcW w:w="1000" w:type="dxa"/>
            <w:vAlign w:val="bottom"/>
          </w:tcPr>
          <w:p>
            <w:pPr>
              <w:jc w:val="center"/>
              <w:ind w:left="209"/>
              <w:spacing w:after="0" w:line="149" w:lineRule="exact"/>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436"/>
              <w:spacing w:after="0" w:line="149" w:lineRule="exact"/>
              <w:rPr>
                <w:sz w:val="20"/>
                <w:szCs w:val="20"/>
                <w:color w:val="auto"/>
              </w:rPr>
            </w:pPr>
            <w:r>
              <w:rPr>
                <w:rFonts w:ascii="Arial" w:cs="Arial" w:eastAsia="Arial" w:hAnsi="Arial"/>
                <w:sz w:val="14"/>
                <w:szCs w:val="14"/>
                <w:b w:val="1"/>
                <w:bCs w:val="1"/>
                <w:color w:val="auto"/>
                <w:w w:val="96"/>
              </w:rPr>
              <w:t>at</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2"/>
          </w:tcPr>
          <w:p>
            <w:pPr>
              <w:jc w:val="center"/>
              <w:ind w:right="232"/>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tcPr>
          <w:p>
            <w:pPr>
              <w:jc w:val="center"/>
              <w:ind w:left="229"/>
              <w:spacing w:after="0"/>
              <w:rPr>
                <w:sz w:val="20"/>
                <w:szCs w:val="20"/>
                <w:color w:val="auto"/>
              </w:rPr>
            </w:pPr>
            <w:r>
              <w:rPr>
                <w:rFonts w:ascii="Arial" w:cs="Arial" w:eastAsia="Arial" w:hAnsi="Arial"/>
                <w:sz w:val="14"/>
                <w:szCs w:val="14"/>
                <w:b w:val="1"/>
                <w:bCs w:val="1"/>
                <w:color w:val="auto"/>
                <w:w w:val="93"/>
              </w:rPr>
              <w:t>Portfolio</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ind w:right="436"/>
              <w:spacing w:after="0"/>
              <w:rPr>
                <w:sz w:val="20"/>
                <w:szCs w:val="20"/>
                <w:color w:val="auto"/>
              </w:rPr>
            </w:pPr>
            <w:r>
              <w:rPr>
                <w:rFonts w:ascii="Arial" w:cs="Arial" w:eastAsia="Arial" w:hAnsi="Arial"/>
                <w:sz w:val="14"/>
                <w:szCs w:val="14"/>
                <w:b w:val="1"/>
                <w:bCs w:val="1"/>
                <w:color w:val="auto"/>
                <w:w w:val="95"/>
              </w:rPr>
              <w:t>Fair Value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jc w:val="right"/>
              <w:ind w:right="1236"/>
              <w:spacing w:after="0" w:line="142" w:lineRule="exact"/>
              <w:rPr>
                <w:sz w:val="20"/>
                <w:szCs w:val="20"/>
                <w:color w:val="auto"/>
              </w:rPr>
            </w:pPr>
            <w:r>
              <w:rPr>
                <w:rFonts w:ascii="Arial" w:cs="Arial" w:eastAsia="Arial" w:hAnsi="Arial"/>
                <w:sz w:val="14"/>
                <w:szCs w:val="14"/>
                <w:b w:val="1"/>
                <w:bCs w:val="1"/>
                <w:color w:val="auto"/>
              </w:rPr>
              <w:t>($ in thousands)</w:t>
            </w:r>
          </w:p>
        </w:tc>
        <w:tc>
          <w:tcPr>
            <w:tcW w:w="13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3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57,330</w:t>
            </w:r>
          </w:p>
        </w:tc>
        <w:tc>
          <w:tcPr>
            <w:tcW w:w="10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27.9%  $</w:t>
            </w:r>
          </w:p>
        </w:tc>
        <w:tc>
          <w:tcPr>
            <w:tcW w:w="14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22,155</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Healthcare Services</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23,810</w:t>
            </w:r>
          </w:p>
        </w:tc>
        <w:tc>
          <w:tcPr>
            <w:tcW w:w="10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11.6</w:t>
            </w:r>
          </w:p>
        </w:tc>
        <w:tc>
          <w:tcPr>
            <w:tcW w:w="200" w:type="dxa"/>
            <w:vAlign w:val="bottom"/>
          </w:tcPr>
          <w:p>
            <w:pPr>
              <w:spacing w:after="0"/>
              <w:rPr>
                <w:sz w:val="18"/>
                <w:szCs w:val="18"/>
                <w:color w:val="auto"/>
              </w:rPr>
            </w:pPr>
          </w:p>
        </w:tc>
        <w:tc>
          <w:tcPr>
            <w:tcW w:w="1480" w:type="dxa"/>
            <w:vAlign w:val="bottom"/>
          </w:tcPr>
          <w:p>
            <w:pPr>
              <w:jc w:val="right"/>
              <w:ind w:right="236"/>
              <w:spacing w:after="0"/>
              <w:rPr>
                <w:sz w:val="20"/>
                <w:szCs w:val="20"/>
                <w:color w:val="auto"/>
              </w:rPr>
            </w:pPr>
            <w:r>
              <w:rPr>
                <w:rFonts w:ascii="Arial" w:cs="Arial" w:eastAsia="Arial" w:hAnsi="Arial"/>
                <w:sz w:val="18"/>
                <w:szCs w:val="18"/>
                <w:color w:val="auto"/>
              </w:rPr>
              <w:t>12,400</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21,897</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10.6</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10,654</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Software</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21,738</w:t>
            </w:r>
          </w:p>
        </w:tc>
        <w:tc>
          <w:tcPr>
            <w:tcW w:w="10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10.5</w:t>
            </w:r>
          </w:p>
        </w:tc>
        <w:tc>
          <w:tcPr>
            <w:tcW w:w="200" w:type="dxa"/>
            <w:vAlign w:val="bottom"/>
          </w:tcPr>
          <w:p>
            <w:pPr>
              <w:spacing w:after="0"/>
              <w:rPr>
                <w:sz w:val="18"/>
                <w:szCs w:val="18"/>
                <w:color w:val="auto"/>
              </w:rPr>
            </w:pPr>
          </w:p>
        </w:tc>
        <w:tc>
          <w:tcPr>
            <w:tcW w:w="148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Securities(1)</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19,570</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25,517</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Food and Beverage</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17,286</w:t>
            </w:r>
          </w:p>
        </w:tc>
        <w:tc>
          <w:tcPr>
            <w:tcW w:w="10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480" w:type="dxa"/>
            <w:vAlign w:val="bottom"/>
          </w:tcPr>
          <w:p>
            <w:pPr>
              <w:jc w:val="right"/>
              <w:ind w:right="236"/>
              <w:spacing w:after="0"/>
              <w:rPr>
                <w:sz w:val="20"/>
                <w:szCs w:val="20"/>
                <w:color w:val="auto"/>
              </w:rPr>
            </w:pPr>
            <w:r>
              <w:rPr>
                <w:rFonts w:ascii="Arial" w:cs="Arial" w:eastAsia="Arial" w:hAnsi="Arial"/>
                <w:sz w:val="18"/>
                <w:szCs w:val="18"/>
                <w:color w:val="auto"/>
              </w:rPr>
              <w:t>18,199</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10,621</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14,805</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Electronics</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6,741</w:t>
            </w:r>
          </w:p>
        </w:tc>
        <w:tc>
          <w:tcPr>
            <w:tcW w:w="10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480" w:type="dxa"/>
            <w:vAlign w:val="bottom"/>
          </w:tcPr>
          <w:p>
            <w:pPr>
              <w:jc w:val="right"/>
              <w:ind w:right="236"/>
              <w:spacing w:after="0"/>
              <w:rPr>
                <w:sz w:val="20"/>
                <w:szCs w:val="20"/>
                <w:color w:val="auto"/>
              </w:rPr>
            </w:pPr>
            <w:r>
              <w:rPr>
                <w:rFonts w:ascii="Arial" w:cs="Arial" w:eastAsia="Arial" w:hAnsi="Arial"/>
                <w:sz w:val="18"/>
                <w:szCs w:val="18"/>
                <w:color w:val="auto"/>
              </w:rPr>
              <w:t>6,721</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24"/>
        </w:trPr>
        <w:tc>
          <w:tcPr>
            <w:tcW w:w="2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41" w:name="page42"/>
    <w:bookmarkEnd w:id="41"/>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Metals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6,645</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6,724</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Consumer Products</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6,118</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13,727</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8.9</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5,970</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Environmental</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5,249</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2,992</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1,191</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5,631</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Building Products</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901</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0.2</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Aerospace</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3,500</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Homebuilding</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0.2</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Logistics</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11,181</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7.2</w:t>
            </w:r>
          </w:p>
        </w:tc>
      </w:tr>
      <w:tr>
        <w:trPr>
          <w:trHeight w:val="223"/>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205,845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5520" w:hanging="5612"/>
        <w:spacing w:after="0" w:line="624"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Comprised of our investment in the subordinated notes of Saratoga CLO.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Saratoga CLO’s portfolio composition by industry grouping at fair value at February 28, 2014 and February 28, 2013: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At February 28, 2014</w:t>
            </w:r>
          </w:p>
        </w:tc>
        <w:tc>
          <w:tcPr>
            <w:tcW w:w="160" w:type="dxa"/>
            <w:vAlign w:val="bottom"/>
          </w:tcPr>
          <w:p>
            <w:pPr>
              <w:spacing w:after="0"/>
              <w:rPr>
                <w:sz w:val="14"/>
                <w:szCs w:val="14"/>
                <w:color w:val="auto"/>
              </w:rPr>
            </w:pPr>
          </w:p>
        </w:tc>
        <w:tc>
          <w:tcPr>
            <w:tcW w:w="2780" w:type="dxa"/>
            <w:vAlign w:val="bottom"/>
            <w:gridSpan w:val="4"/>
          </w:tcPr>
          <w:p>
            <w:pPr>
              <w:jc w:val="right"/>
              <w:ind w:right="810"/>
              <w:spacing w:after="0"/>
              <w:rPr>
                <w:sz w:val="20"/>
                <w:szCs w:val="20"/>
                <w:color w:val="auto"/>
              </w:rPr>
            </w:pPr>
            <w:r>
              <w:rPr>
                <w:rFonts w:ascii="Arial" w:cs="Arial" w:eastAsia="Arial" w:hAnsi="Arial"/>
                <w:sz w:val="14"/>
                <w:szCs w:val="14"/>
                <w:b w:val="1"/>
                <w:bCs w:val="1"/>
                <w:color w:val="auto"/>
              </w:rPr>
              <w:t>At February 28, 2013</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Investments</w:t>
            </w:r>
          </w:p>
        </w:tc>
        <w:tc>
          <w:tcPr>
            <w:tcW w:w="12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2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0"/>
              </w:rPr>
              <w:t>of</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at</w:t>
            </w:r>
          </w:p>
        </w:tc>
        <w:tc>
          <w:tcPr>
            <w:tcW w:w="14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89"/>
              </w:rPr>
              <w:t>Total</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Portfolio</w:t>
            </w:r>
          </w:p>
        </w:tc>
        <w:tc>
          <w:tcPr>
            <w:tcW w:w="16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14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Portfolio</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5"/>
          </w:tcPr>
          <w:p>
            <w:pPr>
              <w:jc w:val="right"/>
              <w:ind w:right="1160"/>
              <w:spacing w:after="0" w:line="142" w:lineRule="exact"/>
              <w:rPr>
                <w:sz w:val="20"/>
                <w:szCs w:val="20"/>
                <w:color w:val="auto"/>
              </w:rPr>
            </w:pPr>
            <w:r>
              <w:rPr>
                <w:rFonts w:ascii="Arial" w:cs="Arial" w:eastAsia="Arial" w:hAnsi="Arial"/>
                <w:sz w:val="14"/>
                <w:szCs w:val="14"/>
                <w:b w:val="1"/>
                <w:bCs w:val="1"/>
                <w:color w:val="auto"/>
              </w:rPr>
              <w:t>($ in thousands)</w:t>
            </w:r>
          </w:p>
        </w:tc>
        <w:tc>
          <w:tcPr>
            <w:tcW w:w="1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37,896</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40,502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Business Equipment and Services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28,386</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28,300</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7.6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Chemicals/Plastics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26,345</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28,817</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Conglomerate</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24,285</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29,888</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8.0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24,143</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21,864</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Aerospace and Defense</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20,465</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20,914</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5.6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Retailers (Except Food and Drugs)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15,314</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19,050</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Food Products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12,450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21,016</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5.6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Drugs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11,873</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18,226</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Electronics/Electric</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11,861</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26,321</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7.0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10,279</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10,625</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Leisure Goods/Activities/Movies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8,990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8,879</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2.4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Financial Intermediaries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8,138</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20,199</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Telecommunications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6,627</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10,951</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5,830</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9,932</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Food Services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5,612</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5,491</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5,517</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6,648</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Food/Drug Retailers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5,012</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4,329</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Nonferrous Metals/Minerals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4,328</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5,187</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Brokers/Dealers/Investment Houses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3,740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3,311</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Building and Development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3,246</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2,124</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Publishing</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2,913</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5,657</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Containers/Glass Products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2,906</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2,009</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Cable and Satellite Television</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2,666</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4,058</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Oil &amp; Gas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2,488</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Telecommunications/Cellular</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2,460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3,076</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Broadcast Radio and Television</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1,505</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Computers &amp; Electronics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1,479</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Ecological Services and Equipment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1,241</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Media</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Gaming And Hotels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Lodging and Casinos</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499</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7,400</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Leasing</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Beverage and Tobacco</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3,037</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Home Furnishings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2,984</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Steel</w:t>
            </w: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1,001</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Clothing/Textiles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300,491</w:t>
            </w:r>
          </w:p>
        </w:tc>
        <w:tc>
          <w:tcPr>
            <w:tcW w:w="3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374,420</w:t>
            </w:r>
          </w:p>
        </w:tc>
        <w:tc>
          <w:tcPr>
            <w:tcW w:w="2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8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following table shows our portfolio composition by geographic location at fair value at February 28, 2014 and February 28, 2013. The geographic composition is determined by the location of the corporate headquarters of the portfolio company.</w:t>
      </w:r>
    </w:p>
    <w:p>
      <w:pPr>
        <w:sectPr>
          <w:pgSz w:w="11900" w:h="16838" w:orient="portrait"/>
          <w:cols w:equalWidth="0" w:num="1">
            <w:col w:w="11460"/>
          </w:cols>
          <w:pgMar w:left="240" w:top="140" w:right="199" w:bottom="0" w:gutter="0" w:footer="0" w:header="0"/>
        </w:sectPr>
      </w:pPr>
    </w:p>
    <w:bookmarkStart w:id="42" w:name="page43"/>
    <w:bookmarkEnd w:id="42"/>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4"/>
          </w:tcPr>
          <w:p>
            <w:pPr>
              <w:jc w:val="right"/>
              <w:ind w:right="1030"/>
              <w:spacing w:after="0"/>
              <w:rPr>
                <w:sz w:val="20"/>
                <w:szCs w:val="20"/>
                <w:color w:val="auto"/>
              </w:rPr>
            </w:pPr>
            <w:r>
              <w:rPr>
                <w:rFonts w:ascii="Arial" w:cs="Arial" w:eastAsia="Arial" w:hAnsi="Arial"/>
                <w:sz w:val="14"/>
                <w:szCs w:val="14"/>
                <w:b w:val="1"/>
                <w:bCs w:val="1"/>
                <w:color w:val="auto"/>
              </w:rPr>
              <w:t>At February 28, 2014</w:t>
            </w:r>
          </w:p>
        </w:tc>
        <w:tc>
          <w:tcPr>
            <w:tcW w:w="200" w:type="dxa"/>
            <w:vAlign w:val="bottom"/>
          </w:tcPr>
          <w:p>
            <w:pPr>
              <w:spacing w:after="0"/>
              <w:rPr>
                <w:sz w:val="14"/>
                <w:szCs w:val="14"/>
                <w:color w:val="auto"/>
              </w:rPr>
            </w:pPr>
          </w:p>
        </w:tc>
        <w:tc>
          <w:tcPr>
            <w:tcW w:w="29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ind w:left="1020"/>
              <w:spacing w:after="0" w:line="142" w:lineRule="exact"/>
              <w:rPr>
                <w:sz w:val="20"/>
                <w:szCs w:val="20"/>
                <w:color w:val="auto"/>
              </w:rPr>
            </w:pPr>
            <w:r>
              <w:rPr>
                <w:rFonts w:ascii="Arial" w:cs="Arial" w:eastAsia="Arial" w:hAnsi="Arial"/>
                <w:sz w:val="14"/>
                <w:szCs w:val="14"/>
                <w:b w:val="1"/>
                <w:bCs w:val="1"/>
                <w:color w:val="auto"/>
              </w:rPr>
              <w:t>($ in thousands)</w:t>
            </w:r>
          </w:p>
        </w:tc>
        <w:tc>
          <w:tcPr>
            <w:tcW w:w="1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Southeast</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83,161</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70,476</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West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44,470</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26,573</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41,453</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18,469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Other(1)</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19,570</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25,517</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17,191</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205,845</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fiscal years ended February 28, 2014, February 28, 2013 and February 29, 2012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6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February 28,</w:t>
            </w:r>
          </w:p>
        </w:tc>
        <w:tc>
          <w:tcPr>
            <w:tcW w:w="16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February 28,</w:t>
            </w:r>
          </w:p>
        </w:tc>
        <w:tc>
          <w:tcPr>
            <w:tcW w:w="180" w:type="dxa"/>
            <w:vAlign w:val="bottom"/>
          </w:tcPr>
          <w:p>
            <w:pPr>
              <w:spacing w:after="0"/>
              <w:rPr>
                <w:sz w:val="10"/>
                <w:szCs w:val="10"/>
                <w:color w:val="auto"/>
              </w:rPr>
            </w:pPr>
          </w:p>
        </w:tc>
        <w:tc>
          <w:tcPr>
            <w:tcW w:w="118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February 29,</w:t>
            </w:r>
          </w:p>
        </w:tc>
        <w:tc>
          <w:tcPr>
            <w:tcW w:w="100" w:type="dxa"/>
            <w:vAlign w:val="bottom"/>
            <w:gridSpan w:val="2"/>
          </w:tcPr>
          <w:p>
            <w:pPr>
              <w:spacing w:after="0"/>
              <w:rPr>
                <w:sz w:val="10"/>
                <w:szCs w:val="10"/>
                <w:color w:val="auto"/>
              </w:rPr>
            </w:pPr>
          </w:p>
        </w:tc>
      </w:tr>
      <w:tr>
        <w:trPr>
          <w:trHeight w:val="171"/>
        </w:trPr>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22,893</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13,512</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Total expenses, net</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13,772</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9,979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7,811</w:t>
            </w:r>
          </w:p>
        </w:tc>
        <w:tc>
          <w:tcPr>
            <w:tcW w:w="80" w:type="dxa"/>
            <w:vAlign w:val="bottom"/>
          </w:tcPr>
          <w:p>
            <w:pPr>
              <w:spacing w:after="0"/>
              <w:rPr>
                <w:sz w:val="18"/>
                <w:szCs w:val="18"/>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1,271</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(12,186)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19,760</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our investment income for the fiscal years ended February 28, 2014, February 28, 2013 and February 29, 2012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w:t>
            </w: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February 28,</w:t>
            </w:r>
          </w:p>
        </w:tc>
        <w:tc>
          <w:tcPr>
            <w:tcW w:w="20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February 29,</w:t>
            </w:r>
          </w:p>
        </w:tc>
      </w:tr>
      <w:tr>
        <w:trPr>
          <w:trHeight w:val="171"/>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Management fees from Saratoga CLO</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1,775</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22,893</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17,007</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firstLine="648"/>
        <w:spacing w:after="0" w:line="291" w:lineRule="auto"/>
        <w:rPr>
          <w:sz w:val="20"/>
          <w:szCs w:val="20"/>
          <w:color w:val="auto"/>
        </w:rPr>
      </w:pPr>
      <w:r>
        <w:rPr>
          <w:rFonts w:ascii="Arial" w:cs="Arial" w:eastAsia="Arial" w:hAnsi="Arial"/>
          <w:sz w:val="16"/>
          <w:szCs w:val="16"/>
          <w:color w:val="auto"/>
        </w:rPr>
        <w:t>For the fiscal year ended February 28, 2014, total investment income increased $5.9 million, or 34.6% compared to the fiscal year ended February 28, 2013. Interest income from investments increased $5.7 million, or 39.7%, to $20.2 million for the year ended February 28, 2014 from</w:t>
      </w:r>
    </w:p>
    <w:p>
      <w:pPr>
        <w:ind w:right="20"/>
        <w:spacing w:after="0" w:line="261" w:lineRule="auto"/>
        <w:rPr>
          <w:sz w:val="20"/>
          <w:szCs w:val="20"/>
          <w:color w:val="auto"/>
        </w:rPr>
      </w:pPr>
      <w:r>
        <w:rPr>
          <w:rFonts w:ascii="Arial" w:cs="Arial" w:eastAsia="Arial" w:hAnsi="Arial"/>
          <w:sz w:val="18"/>
          <w:szCs w:val="18"/>
          <w:color w:val="auto"/>
        </w:rPr>
        <w:t>$14.4 million for the fiscal year ended February 28, 2013. This reflects an increase of 32.7% in total investments to $205.8 million at February 28, 2014 from $155.1 million at February 28, 2013, while the weighted average current coupon remained relatively unchanged at 12.5%.</w:t>
      </w:r>
    </w:p>
    <w:p>
      <w:pPr>
        <w:spacing w:after="0" w:line="184" w:lineRule="exact"/>
        <w:rPr>
          <w:sz w:val="20"/>
          <w:szCs w:val="20"/>
          <w:color w:val="auto"/>
        </w:rPr>
      </w:pPr>
    </w:p>
    <w:p>
      <w:pPr>
        <w:ind w:right="820" w:firstLine="648"/>
        <w:spacing w:after="0" w:line="264" w:lineRule="auto"/>
        <w:rPr>
          <w:sz w:val="20"/>
          <w:szCs w:val="20"/>
          <w:color w:val="auto"/>
        </w:rPr>
      </w:pPr>
      <w:r>
        <w:rPr>
          <w:rFonts w:ascii="Arial" w:cs="Arial" w:eastAsia="Arial" w:hAnsi="Arial"/>
          <w:sz w:val="18"/>
          <w:szCs w:val="18"/>
          <w:color w:val="auto"/>
        </w:rPr>
        <w:t>For the fiscal year ended February 28, 2013, total investment income increased $3.5 million, or 25.9% compared to the fiscal year ended February 29, 2012. Interest income from investments increased $3.2 million, or 28.4%, to $14.4 million for the year ended February 28, 2013 from $11.2 million for the fiscal year ended February 29, 2012.</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For the fiscal year ended February 29, 2012, total investment income decreased $0.6 million, or 4.7% compared to the fiscal year ended February 28, 2011. Interest income from our investment in the subordinated notes of Saratoga CLO increased $0.9 million, or 27.4%, to $4.2 million for the year ended February 29, 2012 from $3.3 million for the fiscal year ended February 28, 2011.</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the fiscal years ended February 28, 2014, February 28, 2013, and February 29, 2012, total PIK income was $0.9 million, $1.1 million, and $1.4 million, respectively.</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Saratoga CLO was refinanced in October 2013. As a result, proceeds from principal payments in the loan portfolio of Saratoga CLO must now be used to paydown its outstanding notes. Thus, the management fee income and investment income that we will receive from Saratoga CLO will decline in future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composition of our operating expenses for the years ended February 28, 2014, February 28, 2013 and February 29, 2012 are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357"/>
              <w:spacing w:after="0"/>
              <w:rPr>
                <w:sz w:val="20"/>
                <w:szCs w:val="20"/>
                <w:color w:val="auto"/>
              </w:rPr>
            </w:pPr>
            <w:r>
              <w:rPr>
                <w:rFonts w:ascii="Arial" w:cs="Arial" w:eastAsia="Arial" w:hAnsi="Arial"/>
                <w:sz w:val="14"/>
                <w:szCs w:val="14"/>
                <w:b w:val="1"/>
                <w:bCs w:val="1"/>
                <w:color w:val="auto"/>
              </w:rPr>
              <w:t>February 28,</w:t>
            </w:r>
          </w:p>
        </w:tc>
        <w:tc>
          <w:tcPr>
            <w:tcW w:w="280" w:type="dxa"/>
            <w:vAlign w:val="bottom"/>
          </w:tcPr>
          <w:p>
            <w:pPr>
              <w:spacing w:after="0"/>
              <w:rPr>
                <w:sz w:val="13"/>
                <w:szCs w:val="13"/>
                <w:color w:val="auto"/>
              </w:rPr>
            </w:pPr>
          </w:p>
        </w:tc>
        <w:tc>
          <w:tcPr>
            <w:tcW w:w="1360" w:type="dxa"/>
            <w:vAlign w:val="bottom"/>
          </w:tcPr>
          <w:p>
            <w:pPr>
              <w:jc w:val="center"/>
              <w:ind w:right="199"/>
              <w:spacing w:after="0"/>
              <w:rPr>
                <w:sz w:val="20"/>
                <w:szCs w:val="20"/>
                <w:color w:val="auto"/>
              </w:rPr>
            </w:pPr>
            <w:r>
              <w:rPr>
                <w:rFonts w:ascii="Arial" w:cs="Arial" w:eastAsia="Arial" w:hAnsi="Arial"/>
                <w:sz w:val="14"/>
                <w:szCs w:val="14"/>
                <w:b w:val="1"/>
                <w:bCs w:val="1"/>
                <w:color w:val="auto"/>
                <w:w w:val="96"/>
              </w:rPr>
              <w:t>February 28,</w:t>
            </w:r>
          </w:p>
        </w:tc>
        <w:tc>
          <w:tcPr>
            <w:tcW w:w="3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February 29,</w:t>
            </w:r>
          </w:p>
        </w:tc>
      </w:tr>
      <w:tr>
        <w:trPr>
          <w:trHeight w:val="171"/>
        </w:trPr>
        <w:tc>
          <w:tcPr>
            <w:tcW w:w="5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19"/>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credit facility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6,084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2,540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Base management fees</w:t>
            </w:r>
          </w:p>
        </w:tc>
        <w:tc>
          <w:tcPr>
            <w:tcW w:w="20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3,327</w:t>
            </w:r>
          </w:p>
        </w:tc>
        <w:tc>
          <w:tcPr>
            <w:tcW w:w="28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2,107</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1,618</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1,212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1,191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1,455</w:t>
            </w:r>
          </w:p>
        </w:tc>
      </w:tr>
    </w:tbl>
    <w:p>
      <w:pPr>
        <w:sectPr>
          <w:pgSz w:w="11900" w:h="16897" w:orient="portrait"/>
          <w:cols w:equalWidth="0" w:num="1">
            <w:col w:w="11420"/>
          </w:cols>
          <w:pgMar w:left="240" w:top="118" w:right="239" w:bottom="0" w:gutter="0" w:footer="0" w:header="0"/>
        </w:sectPr>
      </w:pPr>
    </w:p>
    <w:bookmarkStart w:id="43" w:name="page44"/>
    <w:bookmarkEnd w:id="43"/>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691</w:t>
            </w: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1,257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Insurance expenses</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5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General and administrative and other expenses</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810</w:t>
            </w:r>
          </w:p>
        </w:tc>
        <w:tc>
          <w:tcPr>
            <w:tcW w:w="5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r>
      <w:tr>
        <w:trPr>
          <w:trHeight w:val="21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the year ended February 28, 2014, total operating expenses before manager expense waiver and reimbursement increased $3.8 million, or 38.0% compared to the fiscal year ended February 28, 2013. For the year ended February 28, 2013, total operating expenses before manager expense waiver and reimbursement increased $2.2 million, or 27.8% compared to the fiscal year ended February 29, 2012.</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the years ended February 28, 2014 and 2013, the increase in interest and credit facility expense is primarily attributable to an increase in outstanding debt during the year from the issuance of $48.3 million notes during the year ended February 28, 2013, and the increase of our SBA debentures during both years, respectively. For the year ended February 28, 2014, the weighted average interest rate on our outstanding indebtedness was 5.35% compared to 6.35% for the fiscal year ended February 28, 2013 and 7.50% for the fiscal year ended February 29, 2012. This decrease was primarily driven by increased SBA debentures that have a lower interest rate.</w:t>
      </w:r>
    </w:p>
    <w:p>
      <w:pPr>
        <w:spacing w:after="0" w:line="188" w:lineRule="exact"/>
        <w:rPr>
          <w:sz w:val="20"/>
          <w:szCs w:val="20"/>
          <w:color w:val="auto"/>
        </w:rPr>
      </w:pPr>
    </w:p>
    <w:p>
      <w:pPr>
        <w:ind w:firstLine="702"/>
        <w:spacing w:after="0" w:line="302" w:lineRule="auto"/>
        <w:rPr>
          <w:sz w:val="20"/>
          <w:szCs w:val="20"/>
          <w:color w:val="auto"/>
        </w:rPr>
      </w:pPr>
      <w:r>
        <w:rPr>
          <w:rFonts w:ascii="Arial" w:cs="Arial" w:eastAsia="Arial" w:hAnsi="Arial"/>
          <w:sz w:val="16"/>
          <w:szCs w:val="16"/>
          <w:color w:val="auto"/>
        </w:rPr>
        <w:t>For the year ended February 28, 2014, base management fees increased $1.2 million, or 57.9% compared to the fiscal year ended February 28, 2013. The increase in base management fees results from the increase in the average value of our total net assets from $108.7 million to $114.9 million as of February 28, 2013 and 2014, respectively. For the year ended February 28, 2013, base management fees increased $0.5 million, or 30.3% compared to the fiscal year ended February 29, 2012. The increase in base management fees results from the increase in the average value of our total net assets.</w:t>
      </w:r>
    </w:p>
    <w:p>
      <w:pPr>
        <w:spacing w:after="0" w:line="15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For the year ended February 28, 2014, professional fees increased $0.02 million, or 1.8% compared to the fiscal year ended February 28, 2013. For the year ended February 28, 2013, professional fees decreased $0.3 million, or 18.2% compared to the fiscal year ended February 29, 2012.</w:t>
      </w:r>
    </w:p>
    <w:p>
      <w:pPr>
        <w:spacing w:after="0" w:line="12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For the year ended February 28, 2014, incentive management fees decreased $1.4 million, or 66.2 % compared to the fiscal year ended February 28, 2013. The decrease in incentive management fees is primarily attributable to the second part of the incentive fee accrual, with the year ending February 28, 2013 being an accrual of $1.0 million as compared to the year ending February 28, 2014 being a reversal of the accrual of $0.3 million. For the year ended February 28, 2013, incentive management fees increased $0.8 million, or 62.7% compared to the fiscal year ended February 29, 2012. The increase in incentive management fees is primarily attributable to an increase in accrued incentive fees related to net investment income.</w:t>
      </w:r>
    </w:p>
    <w:p>
      <w:pPr>
        <w:spacing w:after="0" w:line="15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discussed above, the increase in interest and credit facility expense for the years ended February 28, 2014, February 28, 2013 and February 29, 2012 is primarily attributable to an increase in the amount of outstanding debt as compared to the prior periods. For the years ended February 28, 2014, February 28, 2013 and February 29, 2012, the weighted average interest rate on the outstanding borrowings under the Credit Facility was 7.50%, 7.50% and 7.50%, respectively. For the years ended February 28, 2014 and February 28, 2013, the weighted average interest rate on the outstanding borrowings of the SBA debentures was 3.03% and 1.42%, respectively. There were no outstanding borrowings for the year ended February 29, 2012.</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fiscal year ended February 28, 2014, the Company had $71.6 million of sales, repayments, exits or restructurings resulting in $1.3 million of net realized gains. The most significant realized gains and losses during the year ended February 28, 2014 were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February 28,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center"/>
              <w:ind w:left="342"/>
              <w:spacing w:after="0"/>
              <w:rPr>
                <w:sz w:val="20"/>
                <w:szCs w:val="20"/>
                <w:color w:val="auto"/>
              </w:rPr>
            </w:pPr>
            <w:r>
              <w:rPr>
                <w:rFonts w:ascii="Arial" w:cs="Arial" w:eastAsia="Arial" w:hAnsi="Arial"/>
                <w:sz w:val="14"/>
                <w:szCs w:val="14"/>
                <w:b w:val="1"/>
                <w:bCs w:val="1"/>
                <w:color w:val="auto"/>
                <w:w w:val="88"/>
              </w:rPr>
              <w:t>Gross</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5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Asset Type</w:t>
            </w:r>
          </w:p>
        </w:tc>
        <w:tc>
          <w:tcPr>
            <w:tcW w:w="9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restart"/>
          </w:tcPr>
          <w:p>
            <w:pPr>
              <w:jc w:val="right"/>
              <w:ind w:right="597"/>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980" w:type="dxa"/>
            <w:vAlign w:val="bottom"/>
          </w:tcPr>
          <w:p>
            <w:pPr>
              <w:jc w:val="center"/>
              <w:ind w:left="322"/>
              <w:spacing w:after="0"/>
              <w:rPr>
                <w:sz w:val="20"/>
                <w:szCs w:val="20"/>
                <w:color w:val="auto"/>
              </w:rPr>
            </w:pPr>
            <w:r>
              <w:rPr>
                <w:rFonts w:ascii="Arial" w:cs="Arial" w:eastAsia="Arial" w:hAnsi="Arial"/>
                <w:sz w:val="14"/>
                <w:szCs w:val="14"/>
                <w:b w:val="1"/>
                <w:bCs w:val="1"/>
                <w:color w:val="auto"/>
                <w:w w:val="85"/>
              </w:rPr>
              <w:t>Proceeds</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 Term Loan</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4"/>
              </w:rPr>
              <w:t>4,887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4,681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Sourcehov, LLC</w:t>
            </w:r>
          </w:p>
        </w:tc>
        <w:tc>
          <w:tcPr>
            <w:tcW w:w="2580" w:type="dxa"/>
            <w:vAlign w:val="bottom"/>
            <w:gridSpan w:val="2"/>
          </w:tcPr>
          <w:p>
            <w:pPr>
              <w:spacing w:after="0"/>
              <w:rPr>
                <w:sz w:val="20"/>
                <w:szCs w:val="20"/>
                <w:color w:val="auto"/>
              </w:rPr>
            </w:pPr>
            <w:r>
              <w:rPr>
                <w:rFonts w:ascii="Arial" w:cs="Arial" w:eastAsia="Arial" w:hAnsi="Arial"/>
                <w:sz w:val="18"/>
                <w:szCs w:val="18"/>
                <w:color w:val="auto"/>
              </w:rPr>
              <w:t>Second Lien Term Loan</w:t>
            </w:r>
          </w:p>
        </w:tc>
        <w:tc>
          <w:tcPr>
            <w:tcW w:w="98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3,030</w:t>
            </w:r>
          </w:p>
        </w:tc>
        <w:tc>
          <w:tcPr>
            <w:tcW w:w="280" w:type="dxa"/>
            <w:vAlign w:val="bottom"/>
          </w:tcPr>
          <w:p>
            <w:pPr>
              <w:spacing w:after="0"/>
              <w:rPr>
                <w:sz w:val="18"/>
                <w:szCs w:val="18"/>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2,659</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Express Operations, LLC</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For the fiscal year ended February 28, 2013, the Company had $21.5 million of sales, repayments, exits or restructurings resulting in $0.6 million of net realized gains. The most significant realized gains and losses during the year ended February 28, 2013 were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February 28,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center"/>
              <w:ind w:left="282"/>
              <w:spacing w:after="0"/>
              <w:rPr>
                <w:sz w:val="20"/>
                <w:szCs w:val="20"/>
                <w:color w:val="auto"/>
              </w:rPr>
            </w:pPr>
            <w:r>
              <w:rPr>
                <w:rFonts w:ascii="Arial" w:cs="Arial" w:eastAsia="Arial" w:hAnsi="Arial"/>
                <w:sz w:val="14"/>
                <w:szCs w:val="14"/>
                <w:b w:val="1"/>
                <w:bCs w:val="1"/>
                <w:color w:val="auto"/>
                <w:w w:val="88"/>
              </w:rPr>
              <w:t>Gross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5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Asset Type</w:t>
            </w:r>
          </w:p>
        </w:tc>
        <w:tc>
          <w:tcPr>
            <w:tcW w:w="10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040" w:type="dxa"/>
            <w:vAlign w:val="bottom"/>
          </w:tcPr>
          <w:p>
            <w:pPr>
              <w:jc w:val="center"/>
              <w:ind w:left="262"/>
              <w:spacing w:after="0"/>
              <w:rPr>
                <w:sz w:val="20"/>
                <w:szCs w:val="20"/>
                <w:color w:val="auto"/>
              </w:rPr>
            </w:pPr>
            <w:r>
              <w:rPr>
                <w:rFonts w:ascii="Arial" w:cs="Arial" w:eastAsia="Arial" w:hAnsi="Arial"/>
                <w:sz w:val="14"/>
                <w:szCs w:val="14"/>
                <w:b w:val="1"/>
                <w:bCs w:val="1"/>
                <w:color w:val="auto"/>
                <w:w w:val="85"/>
              </w:rPr>
              <w:t>Proceeds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219"/>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US Holdings LLP</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 Term Loan</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Energy Alloys LLC</w:t>
            </w:r>
          </w:p>
        </w:tc>
        <w:tc>
          <w:tcPr>
            <w:tcW w:w="25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04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0"/>
                <w:szCs w:val="20"/>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fiscal year ended February 29, 2012, the Company had $33.6 million of sales, repayments, exits or restructurings resulting in $12.2 million of net realized losses. The most significant realized gains and losses during the year ended February 29, 2012 were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February 29,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8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5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Asset Type</w:t>
            </w:r>
          </w:p>
        </w:tc>
        <w:tc>
          <w:tcPr>
            <w:tcW w:w="1400" w:type="dxa"/>
            <w:vAlign w:val="bottom"/>
            <w:vMerge w:val="continue"/>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14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5"/>
              </w:rPr>
              <w:t>Proceeds</w:t>
            </w:r>
          </w:p>
        </w:tc>
        <w:tc>
          <w:tcPr>
            <w:tcW w:w="1820" w:type="dxa"/>
            <w:vAlign w:val="bottom"/>
            <w:vMerge w:val="continue"/>
          </w:tcPr>
          <w:p>
            <w:pPr>
              <w:spacing w:after="0"/>
              <w:rPr>
                <w:sz w:val="14"/>
                <w:szCs w:val="14"/>
                <w:color w:val="auto"/>
              </w:rPr>
            </w:pPr>
          </w:p>
        </w:tc>
        <w:tc>
          <w:tcPr>
            <w:tcW w:w="144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3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0"/>
              </w:rPr>
              <w:t>($ in thousands)</w:t>
            </w:r>
          </w:p>
        </w:tc>
        <w:tc>
          <w:tcPr>
            <w:tcW w:w="1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tabs>
          <w:tab w:leader="none" w:pos="4060" w:val="left"/>
          <w:tab w:leader="none" w:pos="6640" w:val="left"/>
          <w:tab w:leader="none" w:pos="7840" w:val="left"/>
          <w:tab w:leader="none" w:pos="8300" w:val="left"/>
          <w:tab w:leader="none" w:pos="9200" w:val="left"/>
          <w:tab w:leader="none" w:pos="9940" w:val="left"/>
          <w:tab w:leader="none" w:pos="10820" w:val="left"/>
        </w:tabs>
        <w:rPr>
          <w:sz w:val="20"/>
          <w:szCs w:val="20"/>
          <w:color w:val="auto"/>
        </w:rPr>
      </w:pPr>
      <w:r>
        <w:rPr>
          <w:rFonts w:ascii="Arial" w:cs="Arial" w:eastAsia="Arial" w:hAnsi="Arial"/>
          <w:sz w:val="18"/>
          <w:szCs w:val="18"/>
          <w:color w:val="auto"/>
        </w:rPr>
        <w:t>Grant US Holdings LLP</w:t>
      </w:r>
      <w:r>
        <w:rPr>
          <w:sz w:val="20"/>
          <w:szCs w:val="20"/>
          <w:color w:val="auto"/>
        </w:rPr>
        <w:tab/>
      </w:r>
      <w:r>
        <w:rPr>
          <w:rFonts w:ascii="Arial" w:cs="Arial" w:eastAsia="Arial" w:hAnsi="Arial"/>
          <w:sz w:val="18"/>
          <w:szCs w:val="18"/>
          <w:color w:val="auto"/>
        </w:rPr>
        <w:t>Second Lien Term Loan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(6,348)</w:t>
        <w:tab/>
        <w:t>$</w:t>
      </w:r>
      <w:r>
        <w:rPr>
          <w:sz w:val="20"/>
          <w:szCs w:val="20"/>
          <w:color w:val="auto"/>
        </w:rPr>
        <w:tab/>
      </w:r>
      <w:r>
        <w:rPr>
          <w:rFonts w:ascii="Arial" w:cs="Arial" w:eastAsia="Arial" w:hAnsi="Arial"/>
          <w:sz w:val="17"/>
          <w:szCs w:val="17"/>
          <w:color w:val="auto"/>
        </w:rPr>
        <w:t>(6,348)</w:t>
      </w:r>
    </w:p>
    <w:p>
      <w:pPr>
        <w:sectPr>
          <w:pgSz w:w="11900" w:h="16838" w:orient="portrait"/>
          <w:cols w:equalWidth="0" w:num="1">
            <w:col w:w="11420"/>
          </w:cols>
          <w:pgMar w:left="240" w:top="125" w:right="239" w:bottom="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Pracs Institute Ltd.</w:t>
            </w:r>
          </w:p>
        </w:tc>
        <w:tc>
          <w:tcPr>
            <w:tcW w:w="3300" w:type="dxa"/>
            <w:vAlign w:val="bottom"/>
          </w:tcPr>
          <w:p>
            <w:pPr>
              <w:ind w:left="580"/>
              <w:spacing w:after="0"/>
              <w:rPr>
                <w:sz w:val="20"/>
                <w:szCs w:val="20"/>
                <w:color w:val="auto"/>
              </w:rPr>
            </w:pPr>
            <w:r>
              <w:rPr>
                <w:rFonts w:ascii="Arial" w:cs="Arial" w:eastAsia="Arial" w:hAnsi="Arial"/>
                <w:sz w:val="18"/>
                <w:szCs w:val="18"/>
                <w:color w:val="auto"/>
              </w:rPr>
              <w:t>Second Lien Term Loan</w:t>
            </w:r>
          </w:p>
        </w:tc>
        <w:tc>
          <w:tcPr>
            <w:tcW w:w="18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(4,078)</w:t>
            </w:r>
          </w:p>
        </w:tc>
        <w:tc>
          <w:tcPr>
            <w:tcW w:w="1120" w:type="dxa"/>
            <w:vAlign w:val="bottom"/>
          </w:tcPr>
          <w:p>
            <w:pPr>
              <w:jc w:val="right"/>
              <w:spacing w:after="0"/>
              <w:rPr>
                <w:sz w:val="20"/>
                <w:szCs w:val="20"/>
                <w:color w:val="auto"/>
              </w:rPr>
            </w:pPr>
            <w:r>
              <w:rPr>
                <w:rFonts w:ascii="Arial" w:cs="Arial" w:eastAsia="Arial" w:hAnsi="Arial"/>
                <w:sz w:val="18"/>
                <w:szCs w:val="18"/>
                <w:color w:val="auto"/>
              </w:rPr>
              <w:t>(4,078)</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Bankruptcy Management Solutions, Inc.</w:t>
            </w:r>
          </w:p>
        </w:tc>
        <w:tc>
          <w:tcPr>
            <w:tcW w:w="3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Second Lien Term Loan</w:t>
            </w:r>
          </w:p>
        </w:tc>
        <w:tc>
          <w:tcPr>
            <w:tcW w:w="18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223</w:t>
            </w:r>
          </w:p>
        </w:tc>
        <w:tc>
          <w:tcPr>
            <w:tcW w:w="1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(2,645)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225"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For the year ended February 28, 2014, our investments had a decrease in net unrealized depreciation of $1.6 million versus an increase in net unrealized appreciation of $7.0 million for the year ended February 28, 2013. The most significant cumulative changes in unrealized appreciation and depreciation for the year ended February 28, 2014, were the following: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February 28,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218"/>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1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Issuer</w:t>
            </w:r>
          </w:p>
        </w:tc>
        <w:tc>
          <w:tcPr>
            <w:tcW w:w="300" w:type="dxa"/>
            <w:vAlign w:val="bottom"/>
          </w:tcPr>
          <w:p>
            <w:pPr>
              <w:spacing w:after="0"/>
              <w:rPr>
                <w:sz w:val="12"/>
                <w:szCs w:val="12"/>
                <w:color w:val="auto"/>
              </w:rPr>
            </w:pPr>
          </w:p>
        </w:tc>
        <w:tc>
          <w:tcPr>
            <w:tcW w:w="332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Asset Type</w:t>
            </w:r>
          </w:p>
        </w:tc>
        <w:tc>
          <w:tcPr>
            <w:tcW w:w="300" w:type="dxa"/>
            <w:vAlign w:val="bottom"/>
          </w:tcPr>
          <w:p>
            <w:pPr>
              <w:spacing w:after="0"/>
              <w:rPr>
                <w:sz w:val="12"/>
                <w:szCs w:val="12"/>
                <w:color w:val="auto"/>
              </w:rPr>
            </w:pPr>
          </w:p>
        </w:tc>
        <w:tc>
          <w:tcPr>
            <w:tcW w:w="9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tcPr>
          <w:p>
            <w:pPr>
              <w:jc w:val="right"/>
              <w:ind w:right="277"/>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180" w:type="dxa"/>
            <w:vAlign w:val="bottom"/>
          </w:tcPr>
          <w:p>
            <w:pPr>
              <w:jc w:val="center"/>
              <w:ind w:right="218"/>
              <w:spacing w:after="0"/>
              <w:rPr>
                <w:sz w:val="20"/>
                <w:szCs w:val="20"/>
                <w:color w:val="auto"/>
              </w:rPr>
            </w:pPr>
            <w:r>
              <w:rPr>
                <w:rFonts w:ascii="Arial" w:cs="Arial" w:eastAsia="Arial" w:hAnsi="Arial"/>
                <w:sz w:val="14"/>
                <w:szCs w:val="14"/>
                <w:b w:val="1"/>
                <w:bCs w:val="1"/>
                <w:color w:val="auto"/>
                <w:w w:val="93"/>
              </w:rPr>
              <w:t>(Depreciation)</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(Depreciation)</w:t>
            </w:r>
          </w:p>
        </w:tc>
        <w:tc>
          <w:tcPr>
            <w:tcW w:w="0" w:type="dxa"/>
            <w:vAlign w:val="bottom"/>
          </w:tcPr>
          <w:p>
            <w:pPr>
              <w:spacing w:after="0"/>
              <w:rPr>
                <w:sz w:val="1"/>
                <w:szCs w:val="1"/>
                <w:color w:val="auto"/>
              </w:rPr>
            </w:pPr>
          </w:p>
        </w:tc>
      </w:tr>
      <w:tr>
        <w:trPr>
          <w:trHeight w:val="142"/>
        </w:trPr>
        <w:tc>
          <w:tcPr>
            <w:tcW w:w="2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3"/>
          </w:tcPr>
          <w:p>
            <w:pPr>
              <w:jc w:val="right"/>
              <w:ind w:right="538"/>
              <w:spacing w:after="0" w:line="142"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Saratoga CLO</w:t>
            </w:r>
          </w:p>
        </w:tc>
        <w:tc>
          <w:tcPr>
            <w:tcW w:w="3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Structured Finance Securities</w:t>
            </w:r>
          </w:p>
        </w:tc>
        <w:tc>
          <w:tcPr>
            <w:tcW w:w="1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16,556</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  19,570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3,014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Targus Holdings, Inc.</w:t>
            </w:r>
          </w:p>
        </w:tc>
        <w:tc>
          <w:tcPr>
            <w:tcW w:w="3620" w:type="dxa"/>
            <w:vAlign w:val="bottom"/>
            <w:gridSpan w:val="2"/>
          </w:tcPr>
          <w:p>
            <w:pPr>
              <w:ind w:left="300"/>
              <w:spacing w:after="0"/>
              <w:rPr>
                <w:sz w:val="20"/>
                <w:szCs w:val="20"/>
                <w:color w:val="auto"/>
              </w:rPr>
            </w:pPr>
            <w:r>
              <w:rPr>
                <w:rFonts w:ascii="Arial" w:cs="Arial" w:eastAsia="Arial" w:hAnsi="Arial"/>
                <w:sz w:val="18"/>
                <w:szCs w:val="18"/>
                <w:color w:val="auto"/>
              </w:rPr>
              <w:t>Common Stock</w:t>
            </w:r>
          </w:p>
        </w:tc>
        <w:tc>
          <w:tcPr>
            <w:tcW w:w="1260" w:type="dxa"/>
            <w:vAlign w:val="bottom"/>
            <w:gridSpan w:val="2"/>
          </w:tcPr>
          <w:p>
            <w:pPr>
              <w:jc w:val="right"/>
              <w:ind w:right="88"/>
              <w:spacing w:after="0"/>
              <w:rPr>
                <w:sz w:val="20"/>
                <w:szCs w:val="20"/>
                <w:color w:val="auto"/>
              </w:rPr>
            </w:pPr>
            <w:r>
              <w:rPr>
                <w:rFonts w:ascii="Arial" w:cs="Arial" w:eastAsia="Arial" w:hAnsi="Arial"/>
                <w:sz w:val="18"/>
                <w:szCs w:val="18"/>
                <w:color w:val="auto"/>
              </w:rPr>
              <w:t>567</w:t>
            </w: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730</w:t>
            </w:r>
          </w:p>
        </w:tc>
        <w:tc>
          <w:tcPr>
            <w:tcW w:w="260" w:type="dxa"/>
            <w:vAlign w:val="bottom"/>
          </w:tcPr>
          <w:p>
            <w:pPr>
              <w:spacing w:after="0"/>
              <w:rPr>
                <w:sz w:val="18"/>
                <w:szCs w:val="18"/>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USS Parent Holding Corp.</w:t>
            </w:r>
          </w:p>
        </w:tc>
        <w:tc>
          <w:tcPr>
            <w:tcW w:w="3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Voting Common Stock</w:t>
            </w:r>
          </w:p>
        </w:tc>
        <w:tc>
          <w:tcPr>
            <w:tcW w:w="1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3,026</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5,028</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2,002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Group Dekko, Inc.</w:t>
            </w:r>
          </w:p>
        </w:tc>
        <w:tc>
          <w:tcPr>
            <w:tcW w:w="3620" w:type="dxa"/>
            <w:vAlign w:val="bottom"/>
            <w:gridSpan w:val="2"/>
          </w:tcPr>
          <w:p>
            <w:pPr>
              <w:ind w:left="300"/>
              <w:spacing w:after="0"/>
              <w:rPr>
                <w:sz w:val="20"/>
                <w:szCs w:val="20"/>
                <w:color w:val="auto"/>
              </w:rPr>
            </w:pPr>
            <w:r>
              <w:rPr>
                <w:rFonts w:ascii="Arial" w:cs="Arial" w:eastAsia="Arial" w:hAnsi="Arial"/>
                <w:sz w:val="18"/>
                <w:szCs w:val="18"/>
                <w:color w:val="auto"/>
              </w:rPr>
              <w:t>Second Lien Term Loan</w:t>
            </w:r>
          </w:p>
        </w:tc>
        <w:tc>
          <w:tcPr>
            <w:tcW w:w="1260" w:type="dxa"/>
            <w:vAlign w:val="bottom"/>
            <w:gridSpan w:val="2"/>
          </w:tcPr>
          <w:p>
            <w:pPr>
              <w:jc w:val="right"/>
              <w:ind w:right="88"/>
              <w:spacing w:after="0"/>
              <w:rPr>
                <w:sz w:val="20"/>
                <w:szCs w:val="20"/>
                <w:color w:val="auto"/>
              </w:rPr>
            </w:pPr>
            <w:r>
              <w:rPr>
                <w:rFonts w:ascii="Arial" w:cs="Arial" w:eastAsia="Arial" w:hAnsi="Arial"/>
                <w:sz w:val="18"/>
                <w:szCs w:val="18"/>
                <w:color w:val="auto"/>
              </w:rPr>
              <w:t>6,902</w:t>
            </w: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6,741</w:t>
            </w:r>
          </w:p>
        </w:tc>
        <w:tc>
          <w:tcPr>
            <w:tcW w:w="26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Elyria Foundry Company, LLC</w:t>
            </w:r>
          </w:p>
        </w:tc>
        <w:tc>
          <w:tcPr>
            <w:tcW w:w="3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Senior Secured Notes</w:t>
            </w:r>
          </w:p>
        </w:tc>
        <w:tc>
          <w:tcPr>
            <w:tcW w:w="1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9,037</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6,777</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(2,260)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For the year ended February 28, 2013, our investments had an increase in net unrealized appreciation of $7.0 million versus an increase in net unrealized appreciation of $19.8 million for the year ended February 29, 2012. The most significant cumulative changes in unrealized appreciation and depreciation for the year ended February 28, 2013, were the following: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February 28,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Issuer</w:t>
            </w:r>
          </w:p>
        </w:tc>
        <w:tc>
          <w:tcPr>
            <w:tcW w:w="300" w:type="dxa"/>
            <w:vAlign w:val="bottom"/>
          </w:tcPr>
          <w:p>
            <w:pPr>
              <w:spacing w:after="0"/>
              <w:rPr>
                <w:sz w:val="12"/>
                <w:szCs w:val="12"/>
                <w:color w:val="auto"/>
              </w:rPr>
            </w:pPr>
          </w:p>
        </w:tc>
        <w:tc>
          <w:tcPr>
            <w:tcW w:w="310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Asset Type</w:t>
            </w:r>
          </w:p>
        </w:tc>
        <w:tc>
          <w:tcPr>
            <w:tcW w:w="300" w:type="dxa"/>
            <w:vAlign w:val="bottom"/>
          </w:tcPr>
          <w:p>
            <w:pPr>
              <w:spacing w:after="0"/>
              <w:rPr>
                <w:sz w:val="12"/>
                <w:szCs w:val="12"/>
                <w:color w:val="auto"/>
              </w:rPr>
            </w:pPr>
          </w:p>
        </w:tc>
        <w:tc>
          <w:tcPr>
            <w:tcW w:w="9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tcPr>
          <w:p>
            <w:pPr>
              <w:jc w:val="right"/>
              <w:ind w:right="276"/>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(Depreciation)</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(Depreciation)</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3"/>
          </w:tcPr>
          <w:p>
            <w:pPr>
              <w:jc w:val="right"/>
              <w:ind w:right="537"/>
              <w:spacing w:after="0" w:line="142"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Saratoga CLO</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Structured Finance Securities</w:t>
            </w:r>
          </w:p>
        </w:tc>
        <w:tc>
          <w:tcPr>
            <w:tcW w:w="1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18,945</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  25,517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6,572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Targus Holdings, Inc.</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Common Stock</w:t>
            </w:r>
          </w:p>
        </w:tc>
        <w:tc>
          <w:tcPr>
            <w:tcW w:w="1260" w:type="dxa"/>
            <w:vAlign w:val="bottom"/>
            <w:gridSpan w:val="2"/>
          </w:tcPr>
          <w:p>
            <w:pPr>
              <w:jc w:val="right"/>
              <w:ind w:right="88"/>
              <w:spacing w:after="0"/>
              <w:rPr>
                <w:sz w:val="20"/>
                <w:szCs w:val="20"/>
                <w:color w:val="auto"/>
              </w:rPr>
            </w:pPr>
            <w:r>
              <w:rPr>
                <w:rFonts w:ascii="Arial" w:cs="Arial" w:eastAsia="Arial" w:hAnsi="Arial"/>
                <w:sz w:val="18"/>
                <w:szCs w:val="18"/>
                <w:color w:val="auto"/>
              </w:rPr>
              <w:t>567</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3,325</w:t>
            </w:r>
          </w:p>
        </w:tc>
        <w:tc>
          <w:tcPr>
            <w:tcW w:w="260" w:type="dxa"/>
            <w:vAlign w:val="bottom"/>
          </w:tcPr>
          <w:p>
            <w:pPr>
              <w:spacing w:after="0"/>
              <w:rPr>
                <w:sz w:val="18"/>
                <w:szCs w:val="18"/>
                <w:color w:val="auto"/>
              </w:rPr>
            </w:pP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2,758</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USS Parent Holding Corp.</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Voting Common Stock</w:t>
            </w:r>
          </w:p>
        </w:tc>
        <w:tc>
          <w:tcPr>
            <w:tcW w:w="1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3,026</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2,866</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Group Dekko, Inc.</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Second Lien Term Loan</w:t>
            </w:r>
          </w:p>
        </w:tc>
        <w:tc>
          <w:tcPr>
            <w:tcW w:w="1260" w:type="dxa"/>
            <w:vAlign w:val="bottom"/>
            <w:gridSpan w:val="2"/>
          </w:tcPr>
          <w:p>
            <w:pPr>
              <w:jc w:val="right"/>
              <w:ind w:right="88"/>
              <w:spacing w:after="0"/>
              <w:rPr>
                <w:sz w:val="20"/>
                <w:szCs w:val="20"/>
                <w:color w:val="auto"/>
              </w:rPr>
            </w:pPr>
            <w:r>
              <w:rPr>
                <w:rFonts w:ascii="Arial" w:cs="Arial" w:eastAsia="Arial" w:hAnsi="Arial"/>
                <w:sz w:val="18"/>
                <w:szCs w:val="18"/>
                <w:color w:val="auto"/>
              </w:rPr>
              <w:t>6,825</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6,721</w:t>
            </w:r>
          </w:p>
        </w:tc>
        <w:tc>
          <w:tcPr>
            <w:tcW w:w="26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9"/>
              </w:rPr>
              <w:t>Worldwide Express Operations, LLC</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First Lien Term Loan</w:t>
            </w:r>
          </w:p>
        </w:tc>
        <w:tc>
          <w:tcPr>
            <w:tcW w:w="1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6,461</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6,504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Penton Media, Inc.</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First Lien Term Loan</w:t>
            </w:r>
          </w:p>
        </w:tc>
        <w:tc>
          <w:tcPr>
            <w:tcW w:w="1260" w:type="dxa"/>
            <w:vAlign w:val="bottom"/>
            <w:gridSpan w:val="2"/>
          </w:tcPr>
          <w:p>
            <w:pPr>
              <w:jc w:val="right"/>
              <w:ind w:right="88"/>
              <w:spacing w:after="0"/>
              <w:rPr>
                <w:sz w:val="20"/>
                <w:szCs w:val="20"/>
                <w:color w:val="auto"/>
              </w:rPr>
            </w:pPr>
            <w:r>
              <w:rPr>
                <w:rFonts w:ascii="Arial" w:cs="Arial" w:eastAsia="Arial" w:hAnsi="Arial"/>
                <w:sz w:val="18"/>
                <w:szCs w:val="18"/>
                <w:color w:val="auto"/>
              </w:rPr>
              <w:t>4,497</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4,670</w:t>
            </w:r>
          </w:p>
        </w:tc>
        <w:tc>
          <w:tcPr>
            <w:tcW w:w="260" w:type="dxa"/>
            <w:vAlign w:val="bottom"/>
          </w:tcPr>
          <w:p>
            <w:pPr>
              <w:spacing w:after="0"/>
              <w:rPr>
                <w:sz w:val="20"/>
                <w:szCs w:val="20"/>
                <w:color w:val="auto"/>
              </w:rPr>
            </w:pP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For the year ended February 29, 2012, our investments had an increase in net unrealized appreciation of $19.8 million versus an increase in net unrealized appreciation of $36.4 million for the year ended February 28, 2011. The most significant cumulative changes in unrealized appreciation and depreciation for the year ended February 29, 2012, were the following: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February 29,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Issuer</w:t>
            </w:r>
          </w:p>
        </w:tc>
        <w:tc>
          <w:tcPr>
            <w:tcW w:w="300" w:type="dxa"/>
            <w:vAlign w:val="bottom"/>
          </w:tcPr>
          <w:p>
            <w:pPr>
              <w:spacing w:after="0"/>
              <w:rPr>
                <w:sz w:val="12"/>
                <w:szCs w:val="12"/>
                <w:color w:val="auto"/>
              </w:rPr>
            </w:pPr>
          </w:p>
        </w:tc>
        <w:tc>
          <w:tcPr>
            <w:tcW w:w="310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Asset Type</w:t>
            </w:r>
          </w:p>
        </w:tc>
        <w:tc>
          <w:tcPr>
            <w:tcW w:w="300" w:type="dxa"/>
            <w:vAlign w:val="bottom"/>
          </w:tcPr>
          <w:p>
            <w:pPr>
              <w:spacing w:after="0"/>
              <w:rPr>
                <w:sz w:val="12"/>
                <w:szCs w:val="12"/>
                <w:color w:val="auto"/>
              </w:rPr>
            </w:pPr>
          </w:p>
        </w:tc>
        <w:tc>
          <w:tcPr>
            <w:tcW w:w="9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60" w:type="dxa"/>
            <w:vAlign w:val="bottom"/>
          </w:tcPr>
          <w:p>
            <w:pPr>
              <w:jc w:val="right"/>
              <w:ind w:right="278"/>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(Depreciation)</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(Depreciation)</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3"/>
          </w:tcPr>
          <w:p>
            <w:pPr>
              <w:jc w:val="right"/>
              <w:ind w:right="539"/>
              <w:spacing w:after="0" w:line="142"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Saratoga CLO</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Structured Finance Securities</w:t>
            </w:r>
          </w:p>
        </w:tc>
        <w:tc>
          <w:tcPr>
            <w:tcW w:w="1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23,541</w:t>
            </w: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  25,846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2,305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Targus Holdings, Inc.</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Common Stock</w:t>
            </w:r>
          </w:p>
        </w:tc>
        <w:tc>
          <w:tcPr>
            <w:tcW w:w="1260" w:type="dxa"/>
            <w:vAlign w:val="bottom"/>
            <w:gridSpan w:val="2"/>
          </w:tcPr>
          <w:p>
            <w:pPr>
              <w:jc w:val="right"/>
              <w:ind w:right="88"/>
              <w:spacing w:after="0"/>
              <w:rPr>
                <w:sz w:val="20"/>
                <w:szCs w:val="20"/>
                <w:color w:val="auto"/>
              </w:rPr>
            </w:pPr>
            <w:r>
              <w:rPr>
                <w:rFonts w:ascii="Arial" w:cs="Arial" w:eastAsia="Arial" w:hAnsi="Arial"/>
                <w:sz w:val="18"/>
                <w:szCs w:val="18"/>
                <w:color w:val="auto"/>
              </w:rPr>
              <w:t>567</w:t>
            </w:r>
          </w:p>
        </w:tc>
        <w:tc>
          <w:tcPr>
            <w:tcW w:w="1060" w:type="dxa"/>
            <w:vAlign w:val="bottom"/>
          </w:tcPr>
          <w:p>
            <w:pPr>
              <w:jc w:val="right"/>
              <w:ind w:right="58"/>
              <w:spacing w:after="0"/>
              <w:rPr>
                <w:sz w:val="20"/>
                <w:szCs w:val="20"/>
                <w:color w:val="auto"/>
              </w:rPr>
            </w:pPr>
            <w:r>
              <w:rPr>
                <w:rFonts w:ascii="Arial" w:cs="Arial" w:eastAsia="Arial" w:hAnsi="Arial"/>
                <w:sz w:val="18"/>
                <w:szCs w:val="18"/>
                <w:color w:val="auto"/>
              </w:rPr>
              <w:t>2,676</w:t>
            </w:r>
          </w:p>
        </w:tc>
        <w:tc>
          <w:tcPr>
            <w:tcW w:w="26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2,109</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USS Parent Holding Corp.</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Voting Common Stock</w:t>
            </w:r>
          </w:p>
        </w:tc>
        <w:tc>
          <w:tcPr>
            <w:tcW w:w="1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3,026</w:t>
            </w: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2,225</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(801)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Penton Media, Inc.</w:t>
            </w:r>
          </w:p>
        </w:tc>
        <w:tc>
          <w:tcPr>
            <w:tcW w:w="3400" w:type="dxa"/>
            <w:vAlign w:val="bottom"/>
            <w:gridSpan w:val="2"/>
          </w:tcPr>
          <w:p>
            <w:pPr>
              <w:ind w:left="300"/>
              <w:spacing w:after="0"/>
              <w:rPr>
                <w:sz w:val="20"/>
                <w:szCs w:val="20"/>
                <w:color w:val="auto"/>
              </w:rPr>
            </w:pPr>
            <w:r>
              <w:rPr>
                <w:rFonts w:ascii="Arial" w:cs="Arial" w:eastAsia="Arial" w:hAnsi="Arial"/>
                <w:sz w:val="18"/>
                <w:szCs w:val="18"/>
                <w:color w:val="auto"/>
              </w:rPr>
              <w:t>First Lien Term Loan</w:t>
            </w:r>
          </w:p>
        </w:tc>
        <w:tc>
          <w:tcPr>
            <w:tcW w:w="1260" w:type="dxa"/>
            <w:vAlign w:val="bottom"/>
            <w:gridSpan w:val="2"/>
          </w:tcPr>
          <w:p>
            <w:pPr>
              <w:jc w:val="right"/>
              <w:ind w:right="88"/>
              <w:spacing w:after="0"/>
              <w:rPr>
                <w:sz w:val="20"/>
                <w:szCs w:val="20"/>
                <w:color w:val="auto"/>
              </w:rPr>
            </w:pPr>
            <w:r>
              <w:rPr>
                <w:rFonts w:ascii="Arial" w:cs="Arial" w:eastAsia="Arial" w:hAnsi="Arial"/>
                <w:sz w:val="18"/>
                <w:szCs w:val="18"/>
                <w:color w:val="auto"/>
              </w:rPr>
              <w:t>4,281</w:t>
            </w:r>
          </w:p>
        </w:tc>
        <w:tc>
          <w:tcPr>
            <w:tcW w:w="1060" w:type="dxa"/>
            <w:vAlign w:val="bottom"/>
          </w:tcPr>
          <w:p>
            <w:pPr>
              <w:jc w:val="right"/>
              <w:ind w:right="58"/>
              <w:spacing w:after="0"/>
              <w:rPr>
                <w:sz w:val="20"/>
                <w:szCs w:val="20"/>
                <w:color w:val="auto"/>
              </w:rPr>
            </w:pPr>
            <w:r>
              <w:rPr>
                <w:rFonts w:ascii="Arial" w:cs="Arial" w:eastAsia="Arial" w:hAnsi="Arial"/>
                <w:sz w:val="18"/>
                <w:szCs w:val="18"/>
                <w:color w:val="auto"/>
              </w:rPr>
              <w:t>3,655</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$6.9 million net unrealized appreciation in our investment in the Saratoga CLO subordinated notes was due to higher cash flow projections based on an increase in principal balance and an improvement in the overcollateralization ratios, a decrease in the assumed portfolio default rate (based on better than forecast actual default rates and improved default forecasts) and an improvement in reinvestment assumptions based on current market conditions and projections. In addition, for the year ended February 29, 2012 we had approximately $15.7 million of unrealized appreciation due to the reversal of prior period unrealized depreciation recorded upon the exit of certain investments including approximately $6.1 million related to Energy Alloys, L.L.C., $6.3 million related to Grant U.S. Holdings LLP., $2.3 million related to Bankruptcy Management Solutions and $1.1 million related to Pracs Institute, LTD.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fiscal years ended February 28, 2014, February 28, 2013 and February 29, 2012 we recorded a net increase in net assets resulting from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operations of $8.7 million, $14.6 million, and $13.3 million, respectively. Based on 4,920,517 weighted average common shares outstanding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2014, our per share net increase in net assets resulting from operations was $1.78 for the fiscal year ended February 28, 2014. This compares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per share net increase in net assets resulting from operations of $3.55 for the fiscal year ended February 28, 2013 (based on 4,110,484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shares outstanding as of February 28, 2013), and a per share net increase in net assets resulting from operations of $3.87 for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29, 2012 (based on 3,434,345 weighted average common shares outstanding as of February 29, 2012). These increases do not reflect the impact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payment of any dividends.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ectPr>
          <w:pgSz w:w="11900" w:h="16838" w:orient="portrait"/>
          <w:cols w:equalWidth="0" w:num="1">
            <w:col w:w="11420"/>
          </w:cols>
          <w:pgMar w:left="240" w:top="125" w:right="239" w:bottom="0" w:gutter="0" w:footer="0" w:header="0"/>
        </w:sectPr>
      </w:pPr>
    </w:p>
    <w:bookmarkStart w:id="45" w:name="page46"/>
    <w:bookmarkEnd w:id="45"/>
    <w:p>
      <w:pPr>
        <w:spacing w:after="0" w:line="13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intend to continue to generate cash primarily from cash flows from operations, including interest earned from our investments in debt in middle market companies, interest earned from the temporary investment of cash in U.S. government securities and other high-quality debt investments that mature in one year or less, future borrowings and future offerings of securities.</w:t>
      </w:r>
    </w:p>
    <w:p>
      <w:pPr>
        <w:spacing w:after="0" w:line="18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Although we expect to fund the growth of our investment portfolio through the net proceeds from SBA debenture drawdowns and future equity offerings, including our dividend reinvestment plan,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 Our stockholders approved a proposal at our annual meeting of stockholders held on September 26, 2013 that authorizes us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 shares of our common stock at an offering price per share to investors that is not less than 85% of our then current net asset value per share in one or more offerings for a period ending on the earlier of September 26, 2014 or the date of our next annual meeting of stockholders. We would need stockholder approval of a similar proposal to issue shares below net asset value per share at any time after the earlier of September 26, 2014 or our next annual meeting of stockholders.</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9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337.9% as of February 28, 2014 and 547.3% as of February 28, 2013.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7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Madison revolving credit facility</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(the “Credit Facility”) on June 30, 2010.</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 xml:space="preserve">Availability. </w:t>
      </w:r>
      <w:r>
        <w:rPr>
          <w:rFonts w:ascii="Arial" w:cs="Arial" w:eastAsia="Arial" w:hAnsi="Arial"/>
          <w:sz w:val="18"/>
          <w:szCs w:val="18"/>
          <w:color w:val="auto"/>
        </w:rPr>
        <w:t>The Company can draw up to the lesser of (i) $40.0 million (the “Facility Amount”) and (ii) the product of the applicable advance rate</w:t>
      </w:r>
      <w:r>
        <w:rPr>
          <w:rFonts w:ascii="Arial" w:cs="Arial" w:eastAsia="Arial" w:hAnsi="Arial"/>
          <w:sz w:val="18"/>
          <w:szCs w:val="18"/>
          <w:i w:val="1"/>
          <w:iCs w:val="1"/>
          <w:color w:val="auto"/>
        </w:rPr>
        <w:t xml:space="preserve"> </w:t>
      </w:r>
      <w:r>
        <w:rPr>
          <w:rFonts w:ascii="Arial" w:cs="Arial" w:eastAsia="Arial" w:hAnsi="Arial"/>
          <w:sz w:val="18"/>
          <w:szCs w:val="18"/>
          <w:color w:val="auto"/>
        </w:rPr>
        <w:t>(which varies from 50.0% to 75.0% depending on the type of loan asset) and the value, determined in accordance with the Credit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Credit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9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Credit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88"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i w:val="1"/>
          <w:iCs w:val="1"/>
          <w:color w:val="auto"/>
        </w:rPr>
        <w:t xml:space="preserve">Collateral. </w:t>
      </w:r>
      <w:r>
        <w:rPr>
          <w:rFonts w:ascii="Arial" w:cs="Arial" w:eastAsia="Arial" w:hAnsi="Arial"/>
          <w:sz w:val="18"/>
          <w:szCs w:val="18"/>
          <w:color w:val="auto"/>
        </w:rPr>
        <w:t>The Credit Facility is secured by substantially all of the assets of the Company (other than assets held by our SBIC subsidiary)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the subordinated notes (“CLO Notes”) issued by Saratoga CLO and the Company’s rights under the CLO Management Agreement (as defined below).</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Interest Rate and Fees. </w:t>
      </w:r>
      <w:r>
        <w:rPr>
          <w:rFonts w:ascii="Arial" w:cs="Arial" w:eastAsia="Arial" w:hAnsi="Arial"/>
          <w:sz w:val="16"/>
          <w:szCs w:val="16"/>
          <w:color w:val="auto"/>
        </w:rPr>
        <w:t>Under the Credit Facility, funds are borrowed from or through certain lenders at the greater of the prevailing LIBOR 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 0.75% per year on the unused amount of the Credit Facility for the duration of the Revolving Period (defined below). Accrued interest and commitment fees are payable monthly. The Company was also obligated to pay certain other fees to the lenders in connection with the closing of the Credit Facility.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 xml:space="preserve">Revolving Period and Maturity Date. </w:t>
      </w:r>
      <w:r>
        <w:rPr>
          <w:rFonts w:ascii="Arial" w:cs="Arial" w:eastAsia="Arial" w:hAnsi="Arial"/>
          <w:sz w:val="16"/>
          <w:szCs w:val="16"/>
          <w:color w:val="auto"/>
        </w:rPr>
        <w:t>The Company may make and repay borrowings under the Credit Facility for a period of three years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of the Credit Facility (the “Revolving Period”). The Revolving Period may be terminated at an earlier time by the Company or, upon the</w:t>
      </w:r>
    </w:p>
    <w:p>
      <w:pPr>
        <w:sectPr>
          <w:pgSz w:w="11900" w:h="16975" w:orient="portrait"/>
          <w:cols w:equalWidth="0" w:num="1">
            <w:col w:w="11420"/>
          </w:cols>
          <w:pgMar w:left="240" w:top="125" w:right="239" w:bottom="0" w:gutter="0" w:footer="0" w:header="0"/>
        </w:sectPr>
      </w:pPr>
    </w:p>
    <w:bookmarkStart w:id="46" w:name="page47"/>
    <w:bookmarkEnd w:id="46"/>
    <w:p>
      <w:pPr>
        <w:ind w:right="180"/>
        <w:spacing w:after="0" w:line="277" w:lineRule="auto"/>
        <w:rPr>
          <w:sz w:val="20"/>
          <w:szCs w:val="20"/>
          <w:color w:val="auto"/>
        </w:rPr>
      </w:pPr>
      <w:r>
        <w:rPr>
          <w:rFonts w:ascii="Arial" w:cs="Arial" w:eastAsia="Arial" w:hAnsi="Arial"/>
          <w:sz w:val="18"/>
          <w:szCs w:val="18"/>
          <w:color w:val="auto"/>
        </w:rPr>
        <w:t>occurrence of an event of default, by action of the lenders or automatically. All borrowings and other amounts payable under the Credit Facility are due and payable in full five years after the end of the Revolving Period.</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i w:val="1"/>
          <w:iCs w:val="1"/>
          <w:color w:val="auto"/>
        </w:rPr>
        <w:t xml:space="preserve">Collateral Tests. </w:t>
      </w:r>
      <w:r>
        <w:rPr>
          <w:rFonts w:ascii="Arial" w:cs="Arial" w:eastAsia="Arial" w:hAnsi="Arial"/>
          <w:sz w:val="16"/>
          <w:szCs w:val="16"/>
          <w:color w:val="auto"/>
        </w:rPr>
        <w:t>It is a condition precedent to any borrowing under the Credit Facility that the principal amount outstanding under the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147" w:lineRule="exact"/>
        <w:rPr>
          <w:sz w:val="20"/>
          <w:szCs w:val="20"/>
          <w:color w:val="auto"/>
        </w:rPr>
      </w:pPr>
    </w:p>
    <w:p>
      <w:pPr>
        <w:ind w:left="980" w:right="100" w:hanging="324"/>
        <w:spacing w:after="0" w:line="264" w:lineRule="auto"/>
        <w:tabs>
          <w:tab w:leader="none" w:pos="944"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Credit Facility, to accrued interest and commitment fees and any breakage costs payable to the lenders under the Credit Facility for the last 6 payment periods must equal at least 175.0%.</w:t>
      </w:r>
    </w:p>
    <w:p>
      <w:pPr>
        <w:spacing w:after="0" w:line="181" w:lineRule="exact"/>
        <w:rPr>
          <w:rFonts w:ascii="Arial" w:cs="Arial" w:eastAsia="Arial" w:hAnsi="Arial"/>
          <w:sz w:val="18"/>
          <w:szCs w:val="18"/>
          <w:color w:val="auto"/>
        </w:rPr>
      </w:pPr>
    </w:p>
    <w:p>
      <w:pPr>
        <w:ind w:left="980" w:right="120" w:hanging="324"/>
        <w:spacing w:after="0" w:line="286" w:lineRule="auto"/>
        <w:tabs>
          <w:tab w:leader="none" w:pos="944"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plus the fair value of certain ineligible pledged loan assets and the CLO Notes (in each case, subject to certain adjustments) to outstanding borrowings under the Credit Facility plus the Unfunded Exposure Amount must equal at least 200.0%.</w:t>
      </w:r>
    </w:p>
    <w:p>
      <w:pPr>
        <w:spacing w:after="0" w:line="165" w:lineRule="exact"/>
        <w:rPr>
          <w:rFonts w:ascii="Arial" w:cs="Arial" w:eastAsia="Arial" w:hAnsi="Arial"/>
          <w:sz w:val="17"/>
          <w:szCs w:val="17"/>
          <w:color w:val="auto"/>
        </w:rPr>
      </w:pPr>
    </w:p>
    <w:p>
      <w:pPr>
        <w:ind w:left="980" w:right="240" w:hanging="324"/>
        <w:spacing w:after="0" w:line="286" w:lineRule="auto"/>
        <w:tabs>
          <w:tab w:leader="none" w:pos="944"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Credit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Credit Facility require, after payment of specified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Reserve Account. </w:t>
      </w:r>
      <w:r>
        <w:rPr>
          <w:rFonts w:ascii="Arial" w:cs="Arial" w:eastAsia="Arial" w:hAnsi="Arial"/>
          <w:sz w:val="16"/>
          <w:szCs w:val="16"/>
          <w:color w:val="auto"/>
        </w:rPr>
        <w:t>The Credit Facility requires the Company to set aside an amount equal to the sum of accrued interest, commitment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6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Credit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Credit Facility provides for the payment of certain operating expenses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out of collections on principal and interest during the Revolving Period and out of collections on interest following the termination of the Revolving Period in accordance with the priority established in such provision. The operating expenses payable pursuant to the priority of payment provisions is limited to $350,000 for each monthly payment date or $2.5 million for the immediately preceding period of twelve consecutive monthly payment dates. This ceiling can be increased by the lesser of 5.0% or the percentage increase in the fair market value of all the Company’s assets only on the first monthly payment date to occur after each one-year anniversary following the closing of the Credit Facility. Upon the occurrence of a Manager Event (described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the consent of the administrative agent is required in order to pay operating expenses through the priority of payments provision.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Credit Facility contains certain negative covenants, customary representations and warranties and affirmative covenants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of default. The Credit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Credit Facility include, among other things, the following:</w:t>
      </w:r>
    </w:p>
    <w:p>
      <w:pPr>
        <w:spacing w:after="0" w:line="171" w:lineRule="exact"/>
        <w:rPr>
          <w:sz w:val="20"/>
          <w:szCs w:val="20"/>
          <w:color w:val="auto"/>
        </w:rPr>
      </w:pPr>
    </w:p>
    <w:p>
      <w:pPr>
        <w:ind w:left="940" w:hanging="284"/>
        <w:spacing w:after="0"/>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225" w:lineRule="exact"/>
        <w:rPr>
          <w:rFonts w:ascii="Arial" w:cs="Arial" w:eastAsia="Arial" w:hAnsi="Arial"/>
          <w:sz w:val="18"/>
          <w:szCs w:val="18"/>
          <w:color w:val="auto"/>
        </w:rPr>
      </w:pPr>
    </w:p>
    <w:p>
      <w:pPr>
        <w:ind w:left="1620" w:right="100" w:hanging="315"/>
        <w:spacing w:after="0" w:line="308" w:lineRule="auto"/>
        <w:tabs>
          <w:tab w:leader="none" w:pos="1584" w:val="left"/>
        </w:tabs>
        <w:numPr>
          <w:ilvl w:val="1"/>
          <w:numId w:val="58"/>
        </w:numPr>
        <w:rPr>
          <w:rFonts w:ascii="Arial" w:cs="Arial" w:eastAsia="Arial" w:hAnsi="Arial"/>
          <w:sz w:val="17"/>
          <w:szCs w:val="17"/>
          <w:color w:val="auto"/>
        </w:rPr>
      </w:pPr>
      <w:r>
        <w:rPr>
          <w:rFonts w:ascii="Arial" w:cs="Arial" w:eastAsia="Arial" w:hAnsi="Arial"/>
          <w:sz w:val="17"/>
          <w:szCs w:val="17"/>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146" w:lineRule="exact"/>
        <w:rPr>
          <w:rFonts w:ascii="Arial" w:cs="Arial" w:eastAsia="Arial" w:hAnsi="Arial"/>
          <w:sz w:val="17"/>
          <w:szCs w:val="17"/>
          <w:color w:val="auto"/>
        </w:rPr>
      </w:pPr>
    </w:p>
    <w:p>
      <w:pPr>
        <w:ind w:left="1600" w:hanging="295"/>
        <w:spacing w:after="0"/>
        <w:tabs>
          <w:tab w:leader="none" w:pos="16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failure of the Management Agreement between Saratoga Investment Advisors and the Company to be in full force and effect;</w:t>
      </w:r>
    </w:p>
    <w:p>
      <w:pPr>
        <w:sectPr>
          <w:pgSz w:w="11900" w:h="16838" w:orient="portrait"/>
          <w:cols w:equalWidth="0" w:num="1">
            <w:col w:w="11400"/>
          </w:cols>
          <w:pgMar w:left="240" w:top="125" w:right="259" w:bottom="0" w:gutter="0" w:footer="0" w:header="0"/>
        </w:sectPr>
      </w:pPr>
    </w:p>
    <w:bookmarkStart w:id="47" w:name="page48"/>
    <w:bookmarkEnd w:id="47"/>
    <w:p>
      <w:pPr>
        <w:ind w:left="1620" w:right="60" w:hanging="315"/>
        <w:spacing w:after="0" w:line="312" w:lineRule="auto"/>
        <w:tabs>
          <w:tab w:leader="none" w:pos="1584"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146" w:lineRule="exact"/>
        <w:rPr>
          <w:rFonts w:ascii="Arial" w:cs="Arial" w:eastAsia="Arial" w:hAnsi="Arial"/>
          <w:sz w:val="16"/>
          <w:szCs w:val="16"/>
          <w:color w:val="auto"/>
        </w:rPr>
      </w:pPr>
    </w:p>
    <w:p>
      <w:pPr>
        <w:ind w:left="1620" w:right="140" w:hanging="315"/>
        <w:spacing w:after="0" w:line="264" w:lineRule="auto"/>
        <w:tabs>
          <w:tab w:leader="none" w:pos="15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181" w:lineRule="exact"/>
        <w:rPr>
          <w:rFonts w:ascii="Arial" w:cs="Arial" w:eastAsia="Arial" w:hAnsi="Arial"/>
          <w:sz w:val="18"/>
          <w:szCs w:val="18"/>
          <w:color w:val="auto"/>
        </w:rPr>
      </w:pPr>
    </w:p>
    <w:p>
      <w:pPr>
        <w:ind w:left="1620" w:right="40" w:hanging="315"/>
        <w:spacing w:after="0" w:line="259" w:lineRule="auto"/>
        <w:tabs>
          <w:tab w:leader="none" w:pos="15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Credit Facility imposes certain additional conditions to the acquisition and pledge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for the aggregate amount of all documented, out-of-pocket costs and expenses, including the reasonable fees and expenses of lawyers, incurred by Madison Capital Funding in connection with the Credit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225" w:lineRule="exact"/>
        <w:rPr>
          <w:sz w:val="20"/>
          <w:szCs w:val="20"/>
          <w:color w:val="auto"/>
        </w:rPr>
      </w:pPr>
    </w:p>
    <w:p>
      <w:pPr>
        <w:ind w:left="940" w:hanging="284"/>
        <w:spacing w:after="0"/>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extend the Revolving Period from July 30, 2013 to February 24, 2015;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February 28, 2014, we had no outstanding balance under the Credit Facility and $50.0 million SBA-guaranteed debentures outstanding (which are discussed below). Our borrowing base under the Credit Facility was $44.6 million at February 28, 2014.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asset coverage ratio, as defined in the 1940 Act, was 337.9% and 547.3% for the years ended February 28, 2014 and February 28, 2013,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7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 million when it has at least $75 million in regulatory capital, receives a capital commitment from the SBA and has been through an examination by the SBA subsequent to licensing. As of February 28, 2014, our SBIC subsidiary had $32.0 million in regulatory capital and $50.0 million SBA-guaranteed debentures outstanding.</w:t>
      </w:r>
    </w:p>
    <w:p>
      <w:pPr>
        <w:spacing w:after="0" w:line="166"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received exemptive relief from the Securities and Exchange Commission to permit us to exclude the debt of our SBIC subsidiary guaranteed by the SBA from the definition of senior securities in the 200% asset coverage test under the 1940 Act. This allows us increased flexibility under the 200% asset coverage test by permitting us to borrow up to $150 million more than we would otherwise be able to absent the receipt of this exemptive relief.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Unsecured notes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In connection with the issuance of the notes, we agreed to the following covenants for the period of time during which the notes are outstanding:</w:t>
      </w:r>
    </w:p>
    <w:p>
      <w:pPr>
        <w:spacing w:after="0" w:line="193" w:lineRule="exact"/>
        <w:rPr>
          <w:sz w:val="20"/>
          <w:szCs w:val="20"/>
          <w:color w:val="auto"/>
        </w:rPr>
      </w:pPr>
    </w:p>
    <w:p>
      <w:pPr>
        <w:ind w:left="1100" w:right="160" w:hanging="327"/>
        <w:spacing w:after="0" w:line="259" w:lineRule="auto"/>
        <w:tabs>
          <w:tab w:leader="none" w:pos="10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ectPr>
          <w:pgSz w:w="11900" w:h="16838" w:orient="portrait"/>
          <w:cols w:equalWidth="0" w:num="1">
            <w:col w:w="11420"/>
          </w:cols>
          <w:pgMar w:left="240" w:top="125" w:right="239" w:bottom="0" w:gutter="0" w:footer="0" w:header="0"/>
        </w:sectPr>
      </w:pPr>
    </w:p>
    <w:bookmarkStart w:id="48" w:name="page49"/>
    <w:bookmarkEnd w:id="48"/>
    <w:p>
      <w:pPr>
        <w:ind w:left="1100" w:right="60" w:hanging="327"/>
        <w:spacing w:after="0" w:line="271" w:lineRule="auto"/>
        <w:tabs>
          <w:tab w:leader="none" w:pos="1064"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Notes are listed on the NYSE under the trading symbol “SAQ” with a par value of $25.00 per share.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At February 28, 2014 and February 28, 2013, the fair value of investments, cash and cash equivalents and cash and cash equivalents, securitization accounts were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center"/>
              <w:ind w:left="654"/>
              <w:spacing w:after="0"/>
              <w:rPr>
                <w:sz w:val="20"/>
                <w:szCs w:val="20"/>
                <w:color w:val="auto"/>
              </w:rPr>
            </w:pPr>
            <w:r>
              <w:rPr>
                <w:rFonts w:ascii="Arial" w:cs="Arial" w:eastAsia="Arial" w:hAnsi="Arial"/>
                <w:sz w:val="14"/>
                <w:szCs w:val="14"/>
                <w:b w:val="1"/>
                <w:bCs w:val="1"/>
                <w:color w:val="auto"/>
                <w:w w:val="96"/>
              </w:rPr>
              <w:t>At February 28,</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6"/>
              </w:rPr>
              <w:t>At February 28,</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jc w:val="center"/>
              <w:ind w:right="335"/>
              <w:spacing w:after="0" w:line="119" w:lineRule="exact"/>
              <w:rPr>
                <w:sz w:val="20"/>
                <w:szCs w:val="20"/>
                <w:color w:val="auto"/>
              </w:rPr>
            </w:pPr>
            <w:r>
              <w:rPr>
                <w:rFonts w:ascii="Arial" w:cs="Arial" w:eastAsia="Arial" w:hAnsi="Arial"/>
                <w:sz w:val="13"/>
                <w:szCs w:val="13"/>
                <w:b w:val="1"/>
                <w:bCs w:val="1"/>
                <w:color w:val="auto"/>
                <w:w w:val="96"/>
              </w:rPr>
              <w:t>Percent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2"/>
          </w:tcPr>
          <w:p>
            <w:pPr>
              <w:jc w:val="center"/>
              <w:ind w:right="47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120" w:type="dxa"/>
            <w:vAlign w:val="bottom"/>
            <w:gridSpan w:val="2"/>
          </w:tcPr>
          <w:p>
            <w:pPr>
              <w:jc w:val="center"/>
              <w:ind w:right="49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5"/>
              </w:rPr>
              <w:t>Cash and cash equivalents, securitization accounts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12,086</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32,390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First lien term loans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80,246</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83,792</w:t>
            </w:r>
          </w:p>
        </w:tc>
        <w:tc>
          <w:tcPr>
            <w:tcW w:w="42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27,804</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9,571</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Senior secured notes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30,032</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23,305</w:t>
            </w:r>
          </w:p>
        </w:tc>
        <w:tc>
          <w:tcPr>
            <w:tcW w:w="42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4,874</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19,570</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25,517</w:t>
            </w:r>
          </w:p>
        </w:tc>
        <w:tc>
          <w:tcPr>
            <w:tcW w:w="42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10,332</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8,021</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212,432</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167,315</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8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$13.117067 per share, which equaled the volume weighted average trading price per share of the common stock on December 20, 21 and 22, 2011.</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November 12, 2010, our board of directors declared a dividend of $4.40 per share to shareholders payable in cash or shares of our common stock, in accordance with the provisions of the IRS Revenue Procedure 2010-12, which allows a publicly-traded regulated investment company to satisfy its distribution requirements with a distribution paid partly in common stock provided that at least 10.0% of the distribution is payable in cash. The dividend was paid on December 29, 2010 to common shareholders of record on November 19, 2010.</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a price of $17.8049 per share, which equaled the volume weighted average trading price per share of the common stock on December 20, 21 and 22, 2010.</w:t>
      </w:r>
    </w:p>
    <w:p>
      <w:pPr>
        <w:spacing w:after="0" w:line="24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On November 13, 2009, our board of directors declared a dividend of $18.25 per share payable on December 31, 2009, to common stockholders of record on November 25, 2009. Shareholders had the option to receive payment of the dividend in cash, shares of common stock, or a combination of cash and shares of common stock, provided that the aggregate cash payable to all shareholders was limited to $2.1 million or $0.25 per share.</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Based on shareholder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shareholders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provide any assurance that these measures will provide sufficient sources of liquidity to support our operations and growth.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February 28,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Payment Due by Period</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jc w:val="center"/>
              <w:ind w:left="144"/>
              <w:spacing w:after="0" w:line="119" w:lineRule="exact"/>
              <w:rPr>
                <w:sz w:val="20"/>
                <w:szCs w:val="20"/>
                <w:color w:val="auto"/>
              </w:rPr>
            </w:pPr>
            <w:r>
              <w:rPr>
                <w:rFonts w:ascii="Arial" w:cs="Arial" w:eastAsia="Arial" w:hAnsi="Arial"/>
                <w:sz w:val="13"/>
                <w:szCs w:val="13"/>
                <w:b w:val="1"/>
                <w:bCs w:val="1"/>
                <w:color w:val="auto"/>
                <w:w w:val="99"/>
              </w:rPr>
              <w:t>Less Than</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365"/>
              <w:spacing w:after="0" w:line="119" w:lineRule="exact"/>
              <w:rPr>
                <w:sz w:val="20"/>
                <w:szCs w:val="20"/>
                <w:color w:val="auto"/>
              </w:rPr>
            </w:pPr>
            <w:r>
              <w:rPr>
                <w:rFonts w:ascii="Arial" w:cs="Arial" w:eastAsia="Arial" w:hAnsi="Arial"/>
                <w:sz w:val="13"/>
                <w:szCs w:val="13"/>
                <w:b w:val="1"/>
                <w:bCs w:val="1"/>
                <w:color w:val="auto"/>
              </w:rPr>
              <w:t>1 - 3</w:t>
            </w:r>
          </w:p>
        </w:tc>
        <w:tc>
          <w:tcPr>
            <w:tcW w:w="1120" w:type="dxa"/>
            <w:vAlign w:val="bottom"/>
            <w:gridSpan w:val="2"/>
          </w:tcPr>
          <w:p>
            <w:pPr>
              <w:jc w:val="right"/>
              <w:ind w:right="68"/>
              <w:spacing w:after="0" w:line="119" w:lineRule="exact"/>
              <w:rPr>
                <w:sz w:val="20"/>
                <w:szCs w:val="20"/>
                <w:color w:val="auto"/>
              </w:rPr>
            </w:pPr>
            <w:r>
              <w:rPr>
                <w:rFonts w:ascii="Arial" w:cs="Arial" w:eastAsia="Arial" w:hAnsi="Arial"/>
                <w:sz w:val="13"/>
                <w:szCs w:val="13"/>
                <w:b w:val="1"/>
                <w:bCs w:val="1"/>
                <w:color w:val="auto"/>
              </w:rPr>
              <w:t>3 - 5</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4"/>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40" w:type="dxa"/>
            <w:vAlign w:val="bottom"/>
          </w:tcPr>
          <w:p>
            <w:pPr>
              <w:jc w:val="center"/>
              <w:ind w:left="144"/>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85"/>
              <w:spacing w:after="0"/>
              <w:rPr>
                <w:sz w:val="20"/>
                <w:szCs w:val="20"/>
                <w:color w:val="auto"/>
              </w:rPr>
            </w:pPr>
            <w:r>
              <w:rPr>
                <w:rFonts w:ascii="Arial" w:cs="Arial" w:eastAsia="Arial" w:hAnsi="Arial"/>
                <w:sz w:val="14"/>
                <w:szCs w:val="14"/>
                <w:b w:val="1"/>
                <w:bCs w:val="1"/>
                <w:color w:val="auto"/>
                <w:w w:val="89"/>
              </w:rPr>
              <w:t>Years</w:t>
            </w:r>
          </w:p>
        </w:tc>
        <w:tc>
          <w:tcPr>
            <w:tcW w:w="280" w:type="dxa"/>
            <w:vAlign w:val="bottom"/>
          </w:tcPr>
          <w:p>
            <w:pPr>
              <w:spacing w:after="0"/>
              <w:rPr>
                <w:sz w:val="14"/>
                <w:szCs w:val="14"/>
                <w:color w:val="auto"/>
              </w:rPr>
            </w:pPr>
          </w:p>
        </w:tc>
        <w:tc>
          <w:tcPr>
            <w:tcW w:w="84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Years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9"/>
              </w:rPr>
              <w:t>($ in thousands)</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98,300</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98,300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Company’s off-balance sheet arrangements consisted of $12.2 million and $0.0 million of unfunded commitments to provide debt financing to its portfolio companies or to fund limited partnership interests as of February 28, 2014 and 2013,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business activities contain elements of market risk. We consider our principal market risk to be the fluctuation in interest rates. Managing this risk is essential to our business. Accordingly, we have systems and procedures designed to identify and analyze our risks, to establish appropriate policies and thresholds and to continually monitor this risk and thresholds by means of administrative and information technology systems and other policies and processes.</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Interest rate risk is defined as the sensitivity of our current and future earnings to interest rate volatility, including relative changes in different interest rates,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leveraged loans, high yield bonds and other debt investments and the value of our investment portfolio.</w:t>
      </w:r>
    </w:p>
    <w:p>
      <w:pPr>
        <w:spacing w:after="0" w:line="15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Our investment income is affected by fluctuations in various interest rates, including LIBOR and the prime rate. A large portion of our portfolio is, and we expect will continue to be, comprised of floating rate investments that utilize LIBOR. Our interest expense is affected by fluctuations in LIBOR. At February 28, 2014, we had $98.3 million of borrowings outstanding.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analyzed the potential impact of changes in interest rates on interest income from investments net of interest expense on the Credit Facility. Assuming that our investments as of February 28, 2014 were to remain constant for a full fiscal year and no actions were taken to alter the existing interest rate terms, a hypothetical change of 1.0% in interest rates would cause a corresponding increase of approximately $0.5 million to our interest income net of interest expense.</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credit quality, size and composition of the assets on the statement of assets and liabilities and other business developments that could magnify or diminish our sensitivity to interest rate changes, nor does it account for divergences in LIBOR and the commercial paper rate, which have historically moved in tandem but, in times of unusual credit dislocations, have experienced periods of divergence. Accordingly no assurances can be given that actual results would not materially differ from the potential outcome simulated by this estimate.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financial statements are annexed to this Annual Report beginning on page F-1. In addition, the Financial Statements of Saratoga Investment Corp. CLO 2013-1, Ltd. are annexed to this Annual Report beginning on page S-1.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68" w:right="239" w:bottom="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CEO and our CFO have evaluated the effectiveness of the design and operation of our disclosure controls and procedures (as defined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Rule 13a-15(e) of the Exchange Act) as of the end of the period covered by this report. Based upon that evaluation, our CEO and CFO have concluded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current disclosure controls and procedures are effective as of the end of the period covered by this report.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defined by Rule 13a-15(f) of the Exchange Act) and for the assessment of the effectiveness of internal control over financial reporting. The Company’s internal control over financial reporting is designed to provide reasonable assurance regarding the reliability of financial reporting and the preparation of the consolidated financial statements. Because of its inherent limitations, internal control over financial reporting may not prevent or detect misstatements and even when determined to be effective, can only provide reasonable assurance with respect to financial statement preparation and presentation. Under the supervision and with the participation of management, including the CEO and CFO, the Company conducted an evaluation of the effectiveness of the Company’s internal control over financial reporting based on the criteria established in the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Based on the Company’s assessment, management believes that the Company maintained effective internal control over financial reporting as of February 28, 2014.</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 13a-15(f) of Exchange Act) that occurred during our most recently completed fiscal quarter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following table sets forth the names, ages and positions held by each of our directors, followed by a brief biography of each individual, including the business experience of each individual during the past five years and the specific qualifications that led to the conclusion that each individual should serve as a director.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4"/>
                <w:szCs w:val="14"/>
                <w:color w:val="auto"/>
              </w:rPr>
            </w:pPr>
          </w:p>
        </w:tc>
        <w:tc>
          <w:tcPr>
            <w:tcW w:w="4860" w:type="dxa"/>
            <w:vAlign w:val="bottom"/>
            <w:gridSpan w:val="2"/>
            <w:vMerge w:val="restart"/>
          </w:tcPr>
          <w:p>
            <w:pPr>
              <w:ind w:left="1980"/>
              <w:spacing w:after="0"/>
              <w:rPr>
                <w:sz w:val="20"/>
                <w:szCs w:val="20"/>
                <w:color w:val="auto"/>
              </w:rPr>
            </w:pPr>
            <w:r>
              <w:rPr>
                <w:rFonts w:ascii="Arial" w:cs="Arial" w:eastAsia="Arial" w:hAnsi="Arial"/>
                <w:sz w:val="14"/>
                <w:szCs w:val="14"/>
                <w:b w:val="1"/>
                <w:bCs w:val="1"/>
                <w:color w:val="auto"/>
              </w:rPr>
              <w:t>Position</w:t>
            </w: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Director</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Since</w:t>
            </w: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Expires</w:t>
            </w:r>
          </w:p>
        </w:tc>
        <w:tc>
          <w:tcPr>
            <w:tcW w:w="0" w:type="dxa"/>
            <w:vAlign w:val="bottom"/>
          </w:tcPr>
          <w:p>
            <w:pPr>
              <w:spacing w:after="0"/>
              <w:rPr>
                <w:sz w:val="1"/>
                <w:szCs w:val="1"/>
                <w:color w:val="auto"/>
              </w:rPr>
            </w:pP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Christian L. Oberbeck</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Chairman of the Board and Chief Executive Officer</w:t>
            </w:r>
          </w:p>
        </w:tc>
        <w:tc>
          <w:tcPr>
            <w:tcW w:w="1220" w:type="dxa"/>
            <w:vAlign w:val="bottom"/>
          </w:tcPr>
          <w:p>
            <w:pPr>
              <w:jc w:val="right"/>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Grisius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President and Director</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2011</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Looney</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Charles S. Whitman III</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220" w:type="dxa"/>
            <w:vAlign w:val="bottom"/>
          </w:tcPr>
          <w:p>
            <w:pPr>
              <w:jc w:val="right"/>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Cabell Williams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b w:val="1"/>
          <w:bCs w:val="1"/>
          <w:i w:val="1"/>
          <w:iCs w:val="1"/>
          <w:color w:val="auto"/>
        </w:rPr>
        <w:t>Christian L. Oberbeck</w:t>
      </w:r>
      <w:r>
        <w:rPr>
          <w:rFonts w:ascii="Arial" w:cs="Arial" w:eastAsia="Arial" w:hAnsi="Arial"/>
          <w:sz w:val="18"/>
          <w:szCs w:val="18"/>
          <w:color w:val="auto"/>
        </w:rPr>
        <w:t>—Mr. Oberbeck has over 26 years of experience in leveraged finance, from distressed debt to private equity, and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involved in originating, structuring, negotiating, consummating, managing and monitoring investments in these businesses. Mr. Oberbeck is the Managing Partner of Saratoga Partners, a middle market private equity investment firm, and has served on its investment committee since 1995. Mr. Oberbeck is also the Managing Member of Saratoga Investment Advisors, LLC, the Company’s investment adviser, and the Chief Executive Officer of the Company. Mr. Oberbeck also served as our President until February 2014.</w:t>
      </w:r>
    </w:p>
    <w:p>
      <w:pPr>
        <w:spacing w:after="0" w:line="188"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Prior to assuming management responsibility for Saratoga Partners in 2008, Mr. Oberbeck has co-managed Saratoga Partners since 1995, when he joined Dillon Read and Saratoga Partners from Castle Harlan, Inc., a corporate buyout firm which he had joined at its founding in 1987 and was a Managing Director, leading successful investments in manufacturing and financial services companies. Prior to that, he worked in the Corporate Development Group of Arthur Young and in corporate finance at Blyth Eastman Paine Webber. Mr. Oberbeck has been a director of numerous middle market companies.</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Mr. Oberbeck graduated from Brown University in 1982 with a BS in Physics and a BA in Mathematics. In 1985, he earned an MBA from Columbia University. Mr. Oberbeck’s qualifications as a director include his extensive experience in the investment and finance industry, as well as his intimate knowledge of the Company’s operations, gained through his service as an executive officer.</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b w:val="1"/>
          <w:bCs w:val="1"/>
          <w:i w:val="1"/>
          <w:iCs w:val="1"/>
          <w:color w:val="auto"/>
        </w:rPr>
        <w:t>Michael J. Grisius</w:t>
      </w:r>
      <w:r>
        <w:rPr>
          <w:rFonts w:ascii="Arial" w:cs="Arial" w:eastAsia="Arial" w:hAnsi="Arial"/>
          <w:sz w:val="16"/>
          <w:szCs w:val="16"/>
          <w:color w:val="auto"/>
        </w:rPr>
        <w:t>—Mr. Grisius has over 23 years of experience in leveraged finance, investment management and financial services. He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originated, structured, negotiated, consummated, managed and monitored numerous successful investments in mezzanine debt, private equity, senior debt, structured products and commercial real estate debt. Mr. Grisius is Chief Investment Officer and a Managing Director of Saratoga Investment Advisors, LLC,</w:t>
      </w:r>
    </w:p>
    <w:p>
      <w:pPr>
        <w:sectPr>
          <w:pgSz w:w="11900" w:h="16838" w:orient="portrait"/>
          <w:cols w:equalWidth="0" w:num="1">
            <w:col w:w="11420"/>
          </w:cols>
          <w:pgMar w:left="240" w:top="121" w:right="239" w:bottom="0" w:gutter="0" w:footer="0" w:header="0"/>
        </w:sectPr>
      </w:pPr>
    </w:p>
    <w:bookmarkStart w:id="51" w:name="page52"/>
    <w:bookmarkEnd w:id="51"/>
    <w:p>
      <w:pPr>
        <w:ind w:right="60"/>
        <w:spacing w:after="0" w:line="277" w:lineRule="auto"/>
        <w:rPr>
          <w:sz w:val="20"/>
          <w:szCs w:val="20"/>
          <w:color w:val="auto"/>
        </w:rPr>
      </w:pPr>
      <w:r>
        <w:rPr>
          <w:rFonts w:ascii="Arial" w:cs="Arial" w:eastAsia="Arial" w:hAnsi="Arial"/>
          <w:sz w:val="18"/>
          <w:szCs w:val="18"/>
          <w:color w:val="auto"/>
        </w:rPr>
        <w:t>the Company’s investment adviser, and was appointed President of the Company in February 2013. Mr. Grisius joined Saratoga Investment Advisors, LLC in July 2011.</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Prior to joining Saratoga Investment Advisors, Mr. Grisius served as Managing Director at Allied Capital Corporation, where he was an investment professional for 16 years. At Allied Capital Corporation, Mr. Grisius held several senior positions including co-head of Mezzanine Finance and member of its Management Committee and its Investment Committee. In 2008, Mr. Grisius was appointed co-chairman of the Allied Capital Corporation’s Investment Committee. He also had responsibility for structuring and managing Unitranche Fund, LLC. During his tenure at Allied, Mr. Grisius built and led teams that made investments in subordinated debt, control equity and real estate mortgage debt. Mr. Grisius has served on the board of directors of numerous middle market companies. Prior to joining Allied Capital Corp., Mr. Grisius worked in leveraged finance at Chemical Bank from 1989 to 1992 and held senior accountant and consultant positions with KPMG LLP from 1985 to 1988.</w:t>
      </w:r>
    </w:p>
    <w:p>
      <w:pPr>
        <w:spacing w:after="0" w:line="17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Mr. Grisius graduated with a BS from Georgetown University in 1985 and earned an MBA from Cornell University’s Johnson Graduate School of Management in 1990. Mr. Grisius’ qualifications as a director include his broad experience in leverage finance, investment management, private equity and financial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i w:val="1"/>
          <w:iCs w:val="1"/>
          <w:color w:val="auto"/>
        </w:rPr>
        <w:t>Steven M. Looney</w:t>
      </w:r>
      <w:r>
        <w:rPr>
          <w:rFonts w:ascii="Arial" w:cs="Arial" w:eastAsia="Arial" w:hAnsi="Arial"/>
          <w:sz w:val="16"/>
          <w:szCs w:val="16"/>
          <w:color w:val="auto"/>
        </w:rPr>
        <w:t>—Mr. Looney is a Managing Director of Peale Davies &amp; Co. Inc., a consulting firm with particular expertise in financial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IT outsourcing, and is a CPA and an attorney. Mr. Looney also serves as a consultant and director to numerous companies in the healthcare, manufacturing and technology services industries, including WH Industries Inc. Between 2000 and 2005, he served as Senior Vice President and Chief Financial Officer of PCCI, Inc., a private IT staffing and outsourcing firm. Between 1992 and 2000, Mr. Looney worked at WH Industries as Chief Financial and Administrative Officer. Mr. Looney also serves as a director of Excellent Education for Everyone, a nonprofit organization. Mr. Looney graduated summa cum laude from the University of Washington with a B.A. degree in Accounting and received a J.D. from the University of Washington School of Law where he was a member of the law review. Mr. Looney’s qualifications as director include his experience as a Managing Director of Peale Davies &amp; Co. Inc. and as Chief Financial and Administrative Officer of WH Industries, as well as his financial, accounting and legal expertise.</w:t>
      </w:r>
    </w:p>
    <w:p>
      <w:pPr>
        <w:spacing w:after="0" w:line="166"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b w:val="1"/>
          <w:bCs w:val="1"/>
          <w:i w:val="1"/>
          <w:iCs w:val="1"/>
          <w:color w:val="auto"/>
        </w:rPr>
        <w:t>Charles S. Whitman III</w:t>
      </w:r>
      <w:r>
        <w:rPr>
          <w:rFonts w:ascii="Arial" w:cs="Arial" w:eastAsia="Arial" w:hAnsi="Arial"/>
          <w:sz w:val="16"/>
          <w:szCs w:val="16"/>
          <w:color w:val="auto"/>
        </w:rPr>
        <w:t>—Mr. Whitman is senior counsel (retired) at Davis Polk &amp; Wardwell LLP. Mr. Whitman was a partner in Davis Polk’s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Department for 28 years, representing clients in a broad range of corporate finance matters, including shelf registrations, securities compliance for financial institutions, foreign asset privatizations, and mergers and acquisitions. From 1971 to 1973, Mr. Whitman served as Executive Assistant to three successive Chairmen of the SEC. Mr. Whitman graduated from Harvard College and graduated magna cum laude from Harvard Law School with a LL.B. Mr. Whitman also received an LL.M. from Cambridge University in England. Mr. Whitman’s qualifications as director include his 28 years of experience representing clients, including AT&amp;T, Exxon Mobil, General Motors and BP, in securities matters as a partner in Davis Polk’s corporate department.</w:t>
      </w:r>
    </w:p>
    <w:p>
      <w:pPr>
        <w:spacing w:after="0" w:line="16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i w:val="1"/>
          <w:iCs w:val="1"/>
          <w:color w:val="auto"/>
        </w:rPr>
        <w:t>G. Cabell Williams</w:t>
      </w:r>
      <w:r>
        <w:rPr>
          <w:rFonts w:ascii="Arial" w:cs="Arial" w:eastAsia="Arial" w:hAnsi="Arial"/>
          <w:sz w:val="16"/>
          <w:szCs w:val="16"/>
          <w:color w:val="auto"/>
        </w:rPr>
        <w:t>—Mr. Williams has served as the Managing General Partner of Williams and Gallagher, a private equity partnership located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Chevy Chase, Maryland since 2004. Mr Williams is also a Senior Manager, Director of Farragut Capital Partners which is a Chevy Chase, Maryland based Mezzanine Fund. Since 2011, Mr. Williams has also served as a partner of Farragut Capital Partners, an investment firm based in Fairfax, VA. In 2004, Mr. Williams concluded a 23 year career at Allied Capital Corporation, a business development company based in Washington, DC, which was acquired by Ares Capital Corporation in 2010. While at Allied, Mr. Williams held a variety of positions, including President, COO and finally Managing Director following Allied’s merger with its affiliates in 1998. From 1991 to 2004, Mr. Williams either led or co-managed the firm’s Private Equity Group. For the nine years prior to 1999, Mr. Williams led Allied’s Mezzanine investment activities. For 15 years, Mr. Williams served on Allied’s Investment Committee where he was responsible for reviewing and approving all of the firm’s investments. Prior to 1991, Mr. Williams ran Allied’s Minority Small Business Investment Company. He also founded Allied Capital Commercial Corporation, a real estate investment vehicle. Mr. Williams has served on the Board of various public and private companies. Mr. Williams attended The Landon School, and graduated from Mercersburg Academy and Rollins College, receiving a B.S. in Business Administration from the latter. Mr. Williams’ qualifications as director include his 28 years of experience managing investment activities at Allied Capital, where he served in a variety of positions, including President, COO and Managing Director.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Who Is Not also a Director</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sets forth the name, age and position held by our executive officer who is not also a director, followed by a brief biography, including the business experience during the past five years.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ind w:left="280"/>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40" w:type="dxa"/>
            <w:vAlign w:val="bottom"/>
          </w:tcPr>
          <w:p>
            <w:pPr>
              <w:ind w:left="23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18"/>
                <w:szCs w:val="18"/>
                <w:color w:val="auto"/>
              </w:rPr>
            </w:pPr>
          </w:p>
        </w:tc>
      </w:tr>
      <w:tr>
        <w:trPr>
          <w:trHeight w:val="202"/>
        </w:trPr>
        <w:tc>
          <w:tcPr>
            <w:tcW w:w="2080" w:type="dxa"/>
            <w:vAlign w:val="bottom"/>
            <w:gridSpan w:val="2"/>
          </w:tcPr>
          <w:p>
            <w:pPr>
              <w:spacing w:after="0" w:line="201" w:lineRule="exact"/>
              <w:rPr>
                <w:sz w:val="20"/>
                <w:szCs w:val="20"/>
                <w:color w:val="auto"/>
              </w:rPr>
            </w:pPr>
            <w:r>
              <w:rPr>
                <w:rFonts w:ascii="Arial" w:cs="Arial" w:eastAsia="Arial" w:hAnsi="Arial"/>
                <w:sz w:val="18"/>
                <w:szCs w:val="18"/>
                <w:color w:val="auto"/>
              </w:rPr>
              <w:t>Henri J. Steenkamp</w:t>
            </w:r>
          </w:p>
        </w:tc>
        <w:tc>
          <w:tcPr>
            <w:tcW w:w="580" w:type="dxa"/>
            <w:vAlign w:val="bottom"/>
          </w:tcPr>
          <w:p>
            <w:pPr>
              <w:spacing w:after="0"/>
              <w:rPr>
                <w:sz w:val="17"/>
                <w:szCs w:val="17"/>
                <w:color w:val="auto"/>
              </w:rPr>
            </w:pPr>
          </w:p>
        </w:tc>
        <w:tc>
          <w:tcPr>
            <w:tcW w:w="57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38   Interim Chief Financial Officer, Interim Chief Compliance</w:t>
            </w:r>
          </w:p>
        </w:tc>
      </w:tr>
      <w:tr>
        <w:trPr>
          <w:trHeight w:val="230"/>
        </w:trPr>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Officer, Interim Treasurer and Interim Secretary</w:t>
            </w: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Henri J. Steenkamp</w:t>
      </w:r>
      <w:r>
        <w:rPr>
          <w:rFonts w:ascii="Arial" w:cs="Arial" w:eastAsia="Arial" w:hAnsi="Arial"/>
          <w:sz w:val="18"/>
          <w:szCs w:val="18"/>
          <w:color w:val="auto"/>
        </w:rPr>
        <w:t>— Mr. Steenkamp, 37 years old, had served as the Chief Financial Officer of MF Global Holdings Ltd., a broker in commodities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derivatives, from April 2011. Prior to that, Mr. Steenkamp held the position of Chief Accounting Officer and Global Controller at MF Global for four years. He joined MF Global, then Man Financial, in 2006 as Vice President of External Reporting and Accounting Policy. After MF Global filed for bankruptcy protection in October 2011, he continued to serve as Chief Financial Officer through January 2013.</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Before joining MF Global, Mr. Steenkamp spent eight years with PricewaterhouseCoopers (“PwC”), including four years in Transaction Services in its New York office, managing a variety of capital-raising transactions on a global basis. His focus was also on the SEC registration and public company filing process, including technical accounting. He spent four years with PwC in South Africa, where he served as an auditor primarily for SEC registrants and assisted South African companies as they went public in the U.S. Mr. Steenkamp is a chartered accountant and holds an honors degree in Finance.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ectPr>
          <w:pgSz w:w="11900" w:h="16838" w:orient="portrait"/>
          <w:cols w:equalWidth="0" w:num="1">
            <w:col w:w="11420"/>
          </w:cols>
          <w:pgMar w:left="240" w:top="125" w:right="239" w:bottom="0" w:gutter="0" w:footer="0" w:header="0"/>
        </w:sectPr>
      </w:pPr>
    </w:p>
    <w:bookmarkStart w:id="52" w:name="page53"/>
    <w:bookmarkEnd w:id="52"/>
    <w:p>
      <w:pPr>
        <w:ind w:right="280" w:firstLine="648"/>
        <w:spacing w:after="0" w:line="276" w:lineRule="auto"/>
        <w:rPr>
          <w:sz w:val="20"/>
          <w:szCs w:val="20"/>
          <w:color w:val="auto"/>
        </w:rPr>
      </w:pPr>
      <w:r>
        <w:rPr>
          <w:rFonts w:ascii="Arial" w:cs="Arial" w:eastAsia="Arial" w:hAnsi="Arial"/>
          <w:sz w:val="17"/>
          <w:szCs w:val="17"/>
          <w:color w:val="auto"/>
        </w:rPr>
        <w:t>Section 16(a) of the Securities Exchange Act of 1934 requires our directors and executive officers, and persons who own 10.0% or more of our voting stock, to file reports of ownership and changes in ownership of our equity securities with the SEC. Directors, executive officers and 10.0% or more holders are required by SEC regulations to furnish us with copies of all Section 16(a) forms they file. Based solely on a review of the copies of those forms furnished to us, or written representations that no such forms were required, we believe that our directors, executive officers and 10.0% or more beneficial owners complied with all Section 16(a) filing requirements during the year ended February 28,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that applies to which applies to, among others, our executive officers, including our principal executive officer and principal financial officer, as well as every officer, director and employee of the Company. Requests for copies should be sent in writing to Saratoga Investment Corp., 535 Madison Avenue, New York, New York 10022. The Company’s Code of Business Conduct and Ethics is also available on our website at </w:t>
      </w:r>
      <w:r>
        <w:rPr>
          <w:rFonts w:ascii="Arial" w:cs="Arial" w:eastAsia="Arial" w:hAnsi="Arial"/>
          <w:sz w:val="18"/>
          <w:szCs w:val="18"/>
          <w:i w:val="1"/>
          <w:iCs w:val="1"/>
          <w:color w:val="auto"/>
        </w:rPr>
        <w:t>http://saratogainvestmentcorp.com</w:t>
      </w:r>
      <w:r>
        <w:rPr>
          <w:rFonts w:ascii="Arial" w:cs="Arial" w:eastAsia="Arial" w:hAnsi="Arial"/>
          <w:sz w:val="18"/>
          <w:szCs w:val="18"/>
          <w:color w:val="auto"/>
        </w:rPr>
        <w:t>.</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If we make any substantive amendment to, or grant a waiver from, a provision of our Code of Business Conduct and Ethics, we will promptly disclose the nature of the amendment or waiver on our website at </w:t>
      </w:r>
      <w:r>
        <w:rPr>
          <w:rFonts w:ascii="Arial" w:cs="Arial" w:eastAsia="Arial" w:hAnsi="Arial"/>
          <w:sz w:val="18"/>
          <w:szCs w:val="18"/>
          <w:i w:val="1"/>
          <w:iCs w:val="1"/>
          <w:color w:val="auto"/>
        </w:rPr>
        <w:t>http://saratogainvestmentcorp.com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material changes to the procedures by which stockholders may recommend nominees to our Board of Directors implemented since the filing of our Proxy Statement for our 2013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current members of the audit committee are Steven M. Looney (Chairman), Charles S. Whitman III and G. Cabell Williams. The Board has determined that Mr. Looney is an “audit committee financial expert” as defined under Item 407 of Regulation S-K of the Securities Exchange Act of 1934 and that each of Messrs. Whitman and Williams are “financially literate” as required by NYSE corporate governance standards. All of these members are independent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Currently, none of our executive officers are compensated by us. We currently have no employees, and each of our executive officers is also an employee of Saratoga Investment Advisors. Services necessary for our business are provided by individuals who are employees of Saratoga Investment Advisors, pursuant to the terms of the Management Agreement and an administration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concerning total compensation earned by or paid to each of our directors during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Fees Earned or</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Paid in Cash</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Christian L. Oberbeck(1)</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Michael J. Grisius(1)</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Independent Directors</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Steven M. Looney</w:t>
            </w: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Charles S. Whitman III</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66,000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66,000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 Cabell Williams</w:t>
            </w: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760" w:hanging="650"/>
        <w:spacing w:after="0"/>
        <w:tabs>
          <w:tab w:leader="none" w:pos="1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compensation was paid to directors who are interested persons of us as defined in the 1940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380" w:firstLine="648"/>
        <w:spacing w:after="0" w:line="285" w:lineRule="auto"/>
        <w:rPr>
          <w:sz w:val="20"/>
          <w:szCs w:val="20"/>
          <w:color w:val="auto"/>
        </w:rPr>
      </w:pPr>
      <w:r>
        <w:rPr>
          <w:rFonts w:ascii="Arial" w:cs="Arial" w:eastAsia="Arial" w:hAnsi="Arial"/>
          <w:sz w:val="16"/>
          <w:szCs w:val="16"/>
          <w:color w:val="auto"/>
        </w:rPr>
        <w:t>The current members of the compensation committee are G. Cabell Williams (Chairman), Steven M. Looney and Charles S. Whitman III. All of these members are independent directors. The compensation committee is responsible for overseeing the Company’s compensation policies generally and making recommendations to the Board with respect to incentive compensation and equity-based plans of the Company that are subject to Board approval, evaluating executive officer performance and reviewing the Company’s management succession plan, overseeing and setting compensation for the Company’s directors and, as applicable, its executive officers and, as applicable, preparing the report on executive officer compensation that SEC</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rules require to be included in our annual report on Form 10-K. Currently, none of our executive officers are compensated by the Company and as such the compensation committee is not required to produce a report on executive officer compensation for inclusion in our annual report on Form 10-K.</w:t>
      </w:r>
    </w:p>
    <w:p>
      <w:pPr>
        <w:sectPr>
          <w:pgSz w:w="11900" w:h="16838" w:orient="portrait"/>
          <w:cols w:equalWidth="0" w:num="1">
            <w:col w:w="11460"/>
          </w:cols>
          <w:pgMar w:left="240" w:top="125" w:right="199" w:bottom="0" w:gutter="0" w:footer="0" w:header="0"/>
        </w:sectPr>
      </w:pPr>
    </w:p>
    <w:bookmarkStart w:id="53" w:name="page54"/>
    <w:bookmarkEnd w:id="53"/>
    <w:p>
      <w:pPr>
        <w:ind w:right="280" w:firstLine="648"/>
        <w:spacing w:after="0" w:line="312" w:lineRule="auto"/>
        <w:rPr>
          <w:sz w:val="20"/>
          <w:szCs w:val="20"/>
          <w:color w:val="auto"/>
        </w:rPr>
      </w:pPr>
      <w:r>
        <w:rPr>
          <w:rFonts w:ascii="Arial" w:cs="Arial" w:eastAsia="Arial" w:hAnsi="Arial"/>
          <w:sz w:val="16"/>
          <w:szCs w:val="16"/>
          <w:color w:val="auto"/>
        </w:rPr>
        <w:t>During fiscal year 2014, none of the Company’s executive officers served on the board of directors (or a compensation committee thereof or other board committee performing equivalent functions) of any entities that had one or more executive officers serve on the compensation committee or on the board of directors. No current or past executive officers or employees of the Company or its affiliates serve on the compensation committee.</w:t>
      </w:r>
    </w:p>
    <w:p>
      <w:pPr>
        <w:spacing w:after="0" w:line="143"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following table sets forth, as of May 27, 2014, the beneficial ownership of each current director, the nominees for director, the Company’s executive officers, each person known to us to beneficially own 5.0% or more of the outstanding shares of our common stock, and the executive officers and directors as a group.</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percentage ownership is based on 5,379,616 shares of common stock outstanding as of May 27, 2014. Shares of common stock that are subject to warrants or other convertible securities currently exercisable or exercisable within 60 days thereof, are deemed outstanding for the purposes of computing the percentage ownership of the person holding these options or convertible securities, but are not deemed outstanding for computing the percentage ownership of any other person. Beneficial ownership is determined under the rules of the SEC and generally includes voting or investment power with respect to securities. To our knowledge, unless otherwise indicated in the footnotes to this table, the persons and entities named in the table have sole voting and sole investment power with respect to all shares beneficially owned. Unless otherwise indicated by footnote, the address for each listed individual is Saratoga Investment Corp., 535 Madison Avenue, New York, New York 10022.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Number of Shares of</w:t>
            </w: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Percent of</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Owners</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52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40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Beneficially Owned</w:t>
            </w: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Class</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Christian L. Oberbeck</w:t>
            </w:r>
          </w:p>
        </w:tc>
        <w:tc>
          <w:tcPr>
            <w:tcW w:w="3220" w:type="dxa"/>
            <w:vAlign w:val="bottom"/>
            <w:gridSpan w:val="4"/>
          </w:tcPr>
          <w:p>
            <w:pPr>
              <w:jc w:val="right"/>
              <w:ind w:right="80"/>
              <w:spacing w:after="0"/>
              <w:rPr>
                <w:sz w:val="20"/>
                <w:szCs w:val="20"/>
                <w:color w:val="auto"/>
              </w:rPr>
            </w:pPr>
            <w:r>
              <w:rPr>
                <w:rFonts w:ascii="Arial" w:cs="Arial" w:eastAsia="Arial" w:hAnsi="Arial"/>
                <w:sz w:val="18"/>
                <w:szCs w:val="18"/>
                <w:color w:val="auto"/>
              </w:rPr>
              <w:t>1,572,329(1)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Grisius</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34,710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 J. Steenkamp</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Looney</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1,547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Charles S. Whitman III</w:t>
            </w:r>
          </w:p>
        </w:tc>
        <w:tc>
          <w:tcPr>
            <w:tcW w:w="3220" w:type="dxa"/>
            <w:vAlign w:val="bottom"/>
            <w:gridSpan w:val="4"/>
          </w:tcPr>
          <w:p>
            <w:pPr>
              <w:jc w:val="right"/>
              <w:ind w:right="280"/>
              <w:spacing w:after="0"/>
              <w:rPr>
                <w:sz w:val="20"/>
                <w:szCs w:val="20"/>
                <w:color w:val="auto"/>
              </w:rPr>
            </w:pPr>
            <w:r>
              <w:rPr>
                <w:rFonts w:ascii="Arial" w:cs="Arial" w:eastAsia="Arial" w:hAnsi="Arial"/>
                <w:sz w:val="18"/>
                <w:szCs w:val="18"/>
                <w:color w:val="auto"/>
              </w:rPr>
              <w:t>1,833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Cabell Williams</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22,409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w w:val="98"/>
              </w:rPr>
              <w:t>All Directors and Executive Officers as a Group</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1,632,828</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Owners of 5% or more of our common stock</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Black Diamond Capital Management, L.L.C.(2)</w:t>
            </w:r>
          </w:p>
        </w:tc>
        <w:tc>
          <w:tcPr>
            <w:tcW w:w="3220" w:type="dxa"/>
            <w:vAlign w:val="bottom"/>
            <w:gridSpan w:val="4"/>
          </w:tcPr>
          <w:p>
            <w:pPr>
              <w:jc w:val="right"/>
              <w:ind w:right="280"/>
              <w:spacing w:after="0"/>
              <w:rPr>
                <w:sz w:val="20"/>
                <w:szCs w:val="20"/>
                <w:color w:val="auto"/>
              </w:rPr>
            </w:pPr>
            <w:r>
              <w:rPr>
                <w:rFonts w:ascii="Arial" w:cs="Arial" w:eastAsia="Arial" w:hAnsi="Arial"/>
                <w:sz w:val="18"/>
                <w:szCs w:val="18"/>
                <w:color w:val="auto"/>
              </w:rPr>
              <w:t>505,935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Raging Capital Management, LLC(3)</w:t>
            </w:r>
          </w:p>
        </w:tc>
        <w:tc>
          <w:tcPr>
            <w:tcW w:w="32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318,077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Thomas V. Inglesby(4)</w:t>
            </w:r>
          </w:p>
        </w:tc>
        <w:tc>
          <w:tcPr>
            <w:tcW w:w="3220" w:type="dxa"/>
            <w:vAlign w:val="bottom"/>
            <w:gridSpan w:val="4"/>
          </w:tcPr>
          <w:p>
            <w:pPr>
              <w:jc w:val="right"/>
              <w:ind w:right="280"/>
              <w:spacing w:after="0"/>
              <w:rPr>
                <w:sz w:val="20"/>
                <w:szCs w:val="20"/>
                <w:color w:val="auto"/>
              </w:rPr>
            </w:pPr>
            <w:r>
              <w:rPr>
                <w:rFonts w:ascii="Arial" w:cs="Arial" w:eastAsia="Arial" w:hAnsi="Arial"/>
                <w:sz w:val="18"/>
                <w:szCs w:val="18"/>
                <w:color w:val="auto"/>
              </w:rPr>
              <w:t>269,549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460"/>
              <w:spacing w:after="0"/>
              <w:rPr>
                <w:sz w:val="20"/>
                <w:szCs w:val="20"/>
                <w:color w:val="auto"/>
              </w:rPr>
            </w:pPr>
            <w:r>
              <w:rPr>
                <w:rFonts w:ascii="Arial" w:cs="Arial" w:eastAsia="Arial" w:hAnsi="Arial"/>
                <w:sz w:val="18"/>
                <w:szCs w:val="18"/>
                <w:color w:val="auto"/>
              </w:rPr>
              <w:t>Less than 1.0%</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Oberbeck and Mr. Inglesby are affiliates who make up 34.2% of the ownership of SAR.</w:t>
      </w:r>
    </w:p>
    <w:p>
      <w:pPr>
        <w:spacing w:after="0" w:line="225" w:lineRule="exact"/>
        <w:rPr>
          <w:sz w:val="20"/>
          <w:szCs w:val="20"/>
          <w:color w:val="auto"/>
        </w:rPr>
      </w:pPr>
    </w:p>
    <w:p>
      <w:pPr>
        <w:ind w:left="660" w:right="100" w:hanging="652"/>
        <w:spacing w:after="0" w:line="264" w:lineRule="auto"/>
        <w:tabs>
          <w:tab w:leader="none" w:pos="6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1,217,556 shares of common stock directly held by Mr. Oberbeck, 180,738 shares of common stock held by Saratoga Investment Advisors, which Mr. Oberbeck controls, and 174,035 shares of common stock held by CLO Partners LLC, an entity wholly owned by Mr. Oberbeck per records as of 12/31/2013</w:t>
      </w:r>
    </w:p>
    <w:p>
      <w:pPr>
        <w:spacing w:after="0" w:line="181" w:lineRule="exact"/>
        <w:rPr>
          <w:rFonts w:ascii="Arial" w:cs="Arial" w:eastAsia="Arial" w:hAnsi="Arial"/>
          <w:sz w:val="18"/>
          <w:szCs w:val="18"/>
          <w:color w:val="auto"/>
        </w:rPr>
      </w:pPr>
    </w:p>
    <w:p>
      <w:pPr>
        <w:ind w:left="660" w:right="640" w:hanging="652"/>
        <w:spacing w:after="0" w:line="277" w:lineRule="auto"/>
        <w:tabs>
          <w:tab w:leader="none" w:pos="6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information included in Amendment No. 2 to Schedule 13G filed by Black Diamond Capital Management, L.L.C. with the SEC on February 14, 2014.</w:t>
      </w:r>
    </w:p>
    <w:p>
      <w:pPr>
        <w:spacing w:after="0" w:line="170" w:lineRule="exact"/>
        <w:rPr>
          <w:rFonts w:ascii="Arial" w:cs="Arial" w:eastAsia="Arial" w:hAnsi="Arial"/>
          <w:sz w:val="18"/>
          <w:szCs w:val="18"/>
          <w:color w:val="auto"/>
        </w:rPr>
      </w:pPr>
    </w:p>
    <w:p>
      <w:pPr>
        <w:ind w:left="660" w:right="420" w:hanging="652"/>
        <w:spacing w:after="0" w:line="277" w:lineRule="auto"/>
        <w:tabs>
          <w:tab w:leader="none" w:pos="6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information included in Amendment No. 4 to Schedule 13G filed by Raging Capital Management, LLC with the SEC on February 14, 2014.</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information included in Schedule 13D filed by Thomas V. Inglesby with the SEC on January 6,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have entered into an Management Agreement with Saratoga Investment Advisors, LLC. We have also entered into a license agreement with Saratoga Investment Advisors, LLC, pursuant to which Saratoga Investment Advisors has agreed to grant us a non-exclusive, royalty-free license to use the name “Saratoga.” In addition, pursuant to the terms of the administration agreement, Saratoga Investment Advisors, LLC provides us with the office facilities and administrative services necessary to conduct our day-to-day operations. Mr. Oberbeck, our chief executive officer, is the primary investor in and controls Saratoga Investment Advisors, LLC.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Audit Committee of our Board is required to review and approve any transactions with related persons (as such term is defined in Item 404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ectPr>
          <w:pgSz w:w="11900" w:h="16838" w:orient="portrait"/>
          <w:cols w:equalWidth="0" w:num="1">
            <w:col w:w="11460"/>
          </w:cols>
          <w:pgMar w:left="240" w:top="341" w:right="199" w:bottom="0" w:gutter="0" w:footer="0" w:header="0"/>
        </w:sectPr>
      </w:pPr>
    </w:p>
    <w:bookmarkStart w:id="54" w:name="page55"/>
    <w:bookmarkEnd w:id="54"/>
    <w:p>
      <w:pPr>
        <w:ind w:right="80" w:firstLine="648"/>
        <w:spacing w:after="0" w:line="257" w:lineRule="auto"/>
        <w:rPr>
          <w:sz w:val="20"/>
          <w:szCs w:val="20"/>
          <w:color w:val="auto"/>
        </w:rPr>
      </w:pPr>
      <w:r>
        <w:rPr>
          <w:rFonts w:ascii="Arial" w:cs="Arial" w:eastAsia="Arial" w:hAnsi="Arial"/>
          <w:sz w:val="18"/>
          <w:szCs w:val="18"/>
          <w:color w:val="auto"/>
        </w:rPr>
        <w:t>In accordance with rules of the New York Stock Exchange (the “NYSE”), the Board annually determines the independence of each director. No director is considered independent unless the Board has determined that he or she has no material relationship with the Company. The Company monitors the status of its directors and officers through the activities of the Company’s Nominating and Corporate Governance Committee and through a questionnaire to be completed by each director no less frequently than annually, with updates periodically if information provided in the most recent questionnaire has changed.</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order to evaluate the materiality of any such relationship, the Board uses the definition of director independence set forth in the NYSE Listed Company Manual. Section 303A.00 of the NYSE Listed Company Manual provides that business development companies, or BDCs, such as the Company, are required to comply with all of the provisions of Section 303A applicable to domestic issuers other than Sections 303A.02, the section that defines director independence.</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Section 303A.00 provides that a director of a BDC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Board has determined that each of the directors is independent and has no relationship with the Company, except as a director and stockholder of the Company, with the exception of Messrs. Oberbeck and Grisius who are interested persons of the Company due to their positions as officers of the Company and its investment adviser.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years ended February 28, 2014 and February 28, 2013, the Company incurred the following fees for services provided by Ernst &amp;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Young LLP, including expenses: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Fiscal Year Ended</w:t>
            </w:r>
          </w:p>
        </w:tc>
        <w:tc>
          <w:tcPr>
            <w:tcW w:w="18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 Ended</w:t>
            </w:r>
          </w:p>
        </w:tc>
      </w:tr>
      <w:tr>
        <w:trPr>
          <w:trHeight w:val="17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February 28, 2014</w:t>
            </w:r>
          </w:p>
        </w:tc>
        <w:tc>
          <w:tcPr>
            <w:tcW w:w="18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2013</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Audit Related Fees</w:t>
            </w: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Fees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include fees for services that normally would be provided by the accountant in connection with statutory and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filings or engagements and that generally only the independent accountant can provide. In addition to fees for the audit of our annual financial statements, the audit of the effectiveness of our internal control over financial reporting and the review of our quarterly financial statements in accordance with generally accepted auditing standards, this category contains fees for comfort letters, statutory audits, consents, and assistance with and review of documents filed with the SEC.</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Audit Related Fees. </w:t>
      </w:r>
      <w:r>
        <w:rPr>
          <w:rFonts w:ascii="Arial" w:cs="Arial" w:eastAsia="Arial" w:hAnsi="Arial"/>
          <w:sz w:val="18"/>
          <w:szCs w:val="18"/>
          <w:color w:val="auto"/>
        </w:rPr>
        <w:t>Audit related fees are assurance related services that traditionally are performed by the independent accountant, such as attest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that are not required by statute or regulation.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include services in conjunction with preparation of the Company’s tax return.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Fees for other services would include fees for products and services other than the services reported above.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It is the policy of the audit committee to pre-approve all audit, review or attest engagements and permissible non-audit services to be performed by our independent registered public accounting firm.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CONSOLIDATED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or incorporated by reference as part of this Annual Report:</w:t>
      </w:r>
    </w:p>
    <w:p>
      <w:pPr>
        <w:spacing w:after="0" w:line="221"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229" w:lineRule="exact"/>
        <w:rPr>
          <w:rFonts w:ascii="Arial" w:cs="Arial" w:eastAsia="Arial" w:hAnsi="Arial"/>
          <w:sz w:val="18"/>
          <w:szCs w:val="18"/>
          <w:b w:val="1"/>
          <w:bCs w:val="1"/>
          <w:color w:val="auto"/>
        </w:rPr>
      </w:pPr>
    </w:p>
    <w:p>
      <w:pPr>
        <w:ind w:left="1300" w:right="5700" w:hanging="648"/>
        <w:spacing w:after="0" w:line="563" w:lineRule="auto"/>
        <w:rPr>
          <w:rFonts w:ascii="Arial" w:cs="Arial" w:eastAsia="Arial" w:hAnsi="Arial"/>
          <w:sz w:val="18"/>
          <w:szCs w:val="18"/>
          <w:b w:val="1"/>
          <w:bCs w:val="1"/>
          <w:color w:val="auto"/>
        </w:rPr>
      </w:pPr>
      <w:r>
        <w:rPr>
          <w:rFonts w:ascii="Arial" w:cs="Arial" w:eastAsia="Arial" w:hAnsi="Arial"/>
          <w:sz w:val="16"/>
          <w:szCs w:val="16"/>
          <w:color w:val="auto"/>
        </w:rPr>
        <w:t>The following financial statements of the Company are filed herewith: Report of Independent Registered Public Accounting Firm</w:t>
      </w:r>
    </w:p>
    <w:p>
      <w:pPr>
        <w:spacing w:after="0" w:line="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Consolidated Statements of Assets and Liabilities as of February 28, 2014 and February 28, 2013</w:t>
      </w:r>
    </w:p>
    <w:p>
      <w:pPr>
        <w:spacing w:after="0" w:line="225" w:lineRule="exact"/>
        <w:rPr>
          <w:sz w:val="20"/>
          <w:szCs w:val="20"/>
          <w:color w:val="auto"/>
        </w:rPr>
      </w:pPr>
    </w:p>
    <w:p>
      <w:pPr>
        <w:ind w:left="1300" w:right="1380"/>
        <w:spacing w:after="0" w:line="277" w:lineRule="auto"/>
        <w:rPr>
          <w:sz w:val="20"/>
          <w:szCs w:val="20"/>
          <w:color w:val="auto"/>
        </w:rPr>
      </w:pPr>
      <w:r>
        <w:rPr>
          <w:rFonts w:ascii="Arial" w:cs="Arial" w:eastAsia="Arial" w:hAnsi="Arial"/>
          <w:sz w:val="18"/>
          <w:szCs w:val="18"/>
          <w:color w:val="auto"/>
        </w:rPr>
        <w:t>Consolidated Statements of Operations for the years ended February 28, 2014, February 28, 2013, and February 29, 2012 Consolidated Schedules of Investments as of February 28, 2014 and February 28, 2013</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Changes in Net Assets for the years ended February 28, 2014, February 28, 2013, and February 29, 2012</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Cash Flows for the years ended February 28, 2014, February 28, 2013, and February 29, 2012</w:t>
      </w:r>
    </w:p>
    <w:p>
      <w:pPr>
        <w:sectPr>
          <w:pgSz w:w="11900" w:h="16838" w:orient="portrait"/>
          <w:cols w:equalWidth="0" w:num="1">
            <w:col w:w="11420"/>
          </w:cols>
          <w:pgMar w:left="240" w:top="125" w:right="239" w:bottom="0" w:gutter="0" w:footer="0" w:header="0"/>
        </w:sectPr>
      </w:pPr>
    </w:p>
    <w:bookmarkStart w:id="55" w:name="page56"/>
    <w:bookmarkEnd w:id="55"/>
    <w:p>
      <w:pPr>
        <w:spacing w:after="0" w:line="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229" w:lineRule="exact"/>
        <w:rPr>
          <w:rFonts w:ascii="Arial" w:cs="Arial" w:eastAsia="Arial" w:hAnsi="Arial"/>
          <w:sz w:val="18"/>
          <w:szCs w:val="18"/>
          <w:b w:val="1"/>
          <w:bCs w:val="1"/>
          <w:color w:val="auto"/>
        </w:rPr>
      </w:pPr>
    </w:p>
    <w:p>
      <w:pPr>
        <w:ind w:left="660" w:right="5440"/>
        <w:spacing w:after="0" w:line="528" w:lineRule="auto"/>
        <w:rPr>
          <w:rFonts w:ascii="Arial" w:cs="Arial" w:eastAsia="Arial" w:hAnsi="Arial"/>
          <w:sz w:val="18"/>
          <w:szCs w:val="18"/>
          <w:b w:val="1"/>
          <w:bCs w:val="1"/>
          <w:color w:val="auto"/>
        </w:rPr>
      </w:pPr>
      <w:r>
        <w:rPr>
          <w:rFonts w:ascii="Arial" w:cs="Arial" w:eastAsia="Arial" w:hAnsi="Arial"/>
          <w:sz w:val="17"/>
          <w:szCs w:val="17"/>
          <w:color w:val="auto"/>
        </w:rPr>
        <w:t>Reference is made to the Index to Other Financial Statements on page S-1. Schedule 12-14—Investments in and advances to affiliates</w:t>
      </w: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to be filed by Item 601 of Regulation S-K</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300" w:type="dxa"/>
            <w:vAlign w:val="bottom"/>
          </w:tcPr>
          <w:p>
            <w:pPr>
              <w:jc w:val="right"/>
              <w:ind w:right="5576"/>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83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1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8300" w:type="dxa"/>
            <w:vAlign w:val="bottom"/>
          </w:tcPr>
          <w:p>
            <w:pPr>
              <w:jc w:val="center"/>
              <w:ind w:right="3096"/>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30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-996950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-996950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340" w:right="560" w:hanging="667"/>
        <w:spacing w:after="0" w:line="259" w:lineRule="auto"/>
        <w:tabs>
          <w:tab w:leader="none" w:pos="1320" w:val="left"/>
        </w:tabs>
        <w:rPr>
          <w:sz w:val="20"/>
          <w:szCs w:val="20"/>
          <w:color w:val="auto"/>
        </w:rPr>
      </w:pPr>
      <w:r>
        <w:rPr>
          <w:rFonts w:ascii="Arial" w:cs="Arial" w:eastAsia="Arial" w:hAnsi="Arial"/>
          <w:sz w:val="18"/>
          <w:szCs w:val="18"/>
          <w:color w:val="auto"/>
        </w:rPr>
        <w:t>3.1(a)</w:t>
        <w:tab/>
        <w:t>Articles of Incorporation of Saratoga Investment Corp. (incorporated by reference to Saratoga Investment Corp.’s Form 10-Q for the quarterly period ended May 31, 2007, File No. 001-33376).</w:t>
      </w:r>
    </w:p>
    <w:p>
      <w:pPr>
        <w:spacing w:after="0" w:line="186" w:lineRule="exact"/>
        <w:rPr>
          <w:sz w:val="20"/>
          <w:szCs w:val="20"/>
          <w:color w:val="auto"/>
        </w:rPr>
      </w:pPr>
    </w:p>
    <w:p>
      <w:pPr>
        <w:ind w:left="1340" w:right="660" w:hanging="677"/>
        <w:spacing w:after="0" w:line="277" w:lineRule="auto"/>
        <w:tabs>
          <w:tab w:leader="none" w:pos="1320" w:val="left"/>
        </w:tabs>
        <w:rPr>
          <w:sz w:val="20"/>
          <w:szCs w:val="20"/>
          <w:color w:val="auto"/>
        </w:rPr>
      </w:pPr>
      <w:r>
        <w:rPr>
          <w:rFonts w:ascii="Arial" w:cs="Arial" w:eastAsia="Arial" w:hAnsi="Arial"/>
          <w:sz w:val="18"/>
          <w:szCs w:val="18"/>
          <w:color w:val="auto"/>
        </w:rPr>
        <w:t>3.1(b)</w:t>
        <w:tab/>
        <w:t>Articles of Amendment of Saratoga Investment Corp. (incorporated by reference to Saratoga Investment Corp.’s Current Report on Form 8-K filed August 3, 2010).</w:t>
      </w:r>
    </w:p>
    <w:p>
      <w:pPr>
        <w:spacing w:after="0" w:line="170" w:lineRule="exact"/>
        <w:rPr>
          <w:sz w:val="20"/>
          <w:szCs w:val="20"/>
          <w:color w:val="auto"/>
        </w:rPr>
      </w:pPr>
    </w:p>
    <w:p>
      <w:pPr>
        <w:ind w:left="1340" w:right="660" w:hanging="667"/>
        <w:spacing w:after="0" w:line="277" w:lineRule="auto"/>
        <w:tabs>
          <w:tab w:leader="none" w:pos="1320" w:val="left"/>
        </w:tabs>
        <w:rPr>
          <w:sz w:val="20"/>
          <w:szCs w:val="20"/>
          <w:color w:val="auto"/>
        </w:rPr>
      </w:pPr>
      <w:r>
        <w:rPr>
          <w:rFonts w:ascii="Arial" w:cs="Arial" w:eastAsia="Arial" w:hAnsi="Arial"/>
          <w:sz w:val="18"/>
          <w:szCs w:val="18"/>
          <w:color w:val="auto"/>
        </w:rPr>
        <w:t>3.1(c)</w:t>
        <w:tab/>
        <w:t>Articles of Amendment of Saratoga Investment Corp. (incorporated by reference to Saratoga Investment Corp.’s Current Report on Form 8-K filed August 13, 2010).</w:t>
      </w:r>
    </w:p>
    <w:p>
      <w:pPr>
        <w:spacing w:after="0" w:line="170" w:lineRule="exact"/>
        <w:rPr>
          <w:sz w:val="20"/>
          <w:szCs w:val="20"/>
          <w:color w:val="auto"/>
        </w:rPr>
      </w:pPr>
    </w:p>
    <w:p>
      <w:pPr>
        <w:ind w:left="1340" w:right="120" w:hanging="467"/>
        <w:spacing w:after="0" w:line="277" w:lineRule="auto"/>
        <w:tabs>
          <w:tab w:leader="none" w:pos="1320" w:val="left"/>
        </w:tabs>
        <w:rPr>
          <w:sz w:val="20"/>
          <w:szCs w:val="20"/>
          <w:color w:val="auto"/>
        </w:rPr>
      </w:pPr>
      <w:r>
        <w:rPr>
          <w:rFonts w:ascii="Arial" w:cs="Arial" w:eastAsia="Arial" w:hAnsi="Arial"/>
          <w:sz w:val="18"/>
          <w:szCs w:val="18"/>
          <w:color w:val="auto"/>
        </w:rPr>
        <w:t>3.2</w:t>
        <w:tab/>
        <w:t>Amended and Restated Bylaws of Saratoga Investment Corp. (incorporated by reference to Saratoga Investment Corp.’s Current Report on Form 8-K filed on March 5, 2008).</w:t>
      </w:r>
    </w:p>
    <w:p>
      <w:pPr>
        <w:spacing w:after="0" w:line="170" w:lineRule="exact"/>
        <w:rPr>
          <w:sz w:val="20"/>
          <w:szCs w:val="20"/>
          <w:color w:val="auto"/>
        </w:rPr>
      </w:pPr>
    </w:p>
    <w:p>
      <w:pPr>
        <w:ind w:left="1340" w:right="400" w:hanging="467"/>
        <w:spacing w:after="0" w:line="308" w:lineRule="auto"/>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Specimen certificate of Saratoga Investment Corp.’s common stock, par value $0.001 per share. (incorporated by reference to Saratoga Investment Corp.’s Registration Statement on Form N-2, File No. 333-169135, filed on September 1, 2010).</w:t>
      </w:r>
    </w:p>
    <w:p>
      <w:pPr>
        <w:spacing w:after="0" w:line="147" w:lineRule="exact"/>
        <w:rPr>
          <w:sz w:val="20"/>
          <w:szCs w:val="20"/>
          <w:color w:val="auto"/>
        </w:rPr>
      </w:pPr>
    </w:p>
    <w:p>
      <w:pPr>
        <w:ind w:left="1340" w:right="200" w:hanging="467"/>
        <w:spacing w:after="0" w:line="308" w:lineRule="auto"/>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dated July 30, 2010 between GSC Investment Corp., GSC CDO III L.L.C., and the investors party thereto (incorporated by reference to Saratoga Investment Corp.’s Current Report on Form 8-K filed on August 3, 2010).</w:t>
      </w:r>
    </w:p>
    <w:p>
      <w:pPr>
        <w:spacing w:after="0" w:line="147" w:lineRule="exact"/>
        <w:rPr>
          <w:sz w:val="20"/>
          <w:szCs w:val="20"/>
          <w:color w:val="auto"/>
        </w:rPr>
      </w:pPr>
    </w:p>
    <w:p>
      <w:pPr>
        <w:ind w:left="1340" w:right="440" w:hanging="467"/>
        <w:spacing w:after="0" w:line="277" w:lineRule="auto"/>
        <w:tabs>
          <w:tab w:leader="none" w:pos="1320" w:val="left"/>
        </w:tabs>
        <w:rPr>
          <w:sz w:val="20"/>
          <w:szCs w:val="20"/>
          <w:color w:val="auto"/>
        </w:rPr>
      </w:pPr>
      <w:r>
        <w:rPr>
          <w:rFonts w:ascii="Arial" w:cs="Arial" w:eastAsia="Arial" w:hAnsi="Arial"/>
          <w:sz w:val="18"/>
          <w:szCs w:val="18"/>
          <w:color w:val="auto"/>
        </w:rPr>
        <w:t>4.3</w:t>
        <w:tab/>
        <w:t>Form of Dividend Reinvestment Plan (incorporated by reference to Amendment No. 2 to the Saratoga Investment Corp.’s Registration Statement on Form N-2, File No. 333-138051, filed on January 12, 2007).</w:t>
      </w:r>
    </w:p>
    <w:p>
      <w:pPr>
        <w:spacing w:after="0" w:line="170" w:lineRule="exact"/>
        <w:rPr>
          <w:sz w:val="20"/>
          <w:szCs w:val="20"/>
          <w:color w:val="auto"/>
        </w:rPr>
      </w:pPr>
    </w:p>
    <w:p>
      <w:pPr>
        <w:ind w:left="1340" w:right="60" w:hanging="467"/>
        <w:spacing w:after="0" w:line="342" w:lineRule="auto"/>
        <w:tabs>
          <w:tab w:leader="none" w:pos="13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Indenture by and between the Company and U.S. Bank National Association, as trustee (incorporated by reference to Saratoga Investment Corp.’s Pre-Effective Amendment No. 1 to the Registration Statement on Form N-2, File No. 333-186323 filed April 30, 2013).</w:t>
      </w:r>
    </w:p>
    <w:p>
      <w:pPr>
        <w:spacing w:after="0" w:line="124" w:lineRule="exact"/>
        <w:rPr>
          <w:sz w:val="20"/>
          <w:szCs w:val="20"/>
          <w:color w:val="auto"/>
        </w:rPr>
      </w:pPr>
    </w:p>
    <w:p>
      <w:pPr>
        <w:ind w:left="1340" w:right="60" w:hanging="467"/>
        <w:spacing w:after="0" w:line="342" w:lineRule="auto"/>
        <w:tabs>
          <w:tab w:leader="none" w:pos="13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First Supplemental Indenture between the Company and U.S. Bank National Association (incorporated by reference to Saratoga Investment Corp.’s Pre-Effective Amendment No. 1 to the Registration Statement on Form N-2, File No. 333-186323 filed April 30, 2013).</w:t>
      </w:r>
    </w:p>
    <w:p>
      <w:pPr>
        <w:spacing w:after="0" w:line="124"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Note (Filed as Exhibit A to First Supplemental Indenture referred to in Exhibit 4.5).</w:t>
      </w:r>
    </w:p>
    <w:p>
      <w:pPr>
        <w:spacing w:after="0" w:line="225" w:lineRule="exact"/>
        <w:rPr>
          <w:sz w:val="20"/>
          <w:szCs w:val="20"/>
          <w:color w:val="auto"/>
        </w:rPr>
      </w:pPr>
    </w:p>
    <w:p>
      <w:pPr>
        <w:ind w:left="1340" w:right="120" w:hanging="557"/>
        <w:spacing w:after="0" w:line="308" w:lineRule="auto"/>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Investment Advisory and Management Agreement dated July 30, 2010 between GSC Investment Corp. and Saratoga Investment Advisors, LLC (incorporated by reference to Saratoga Investment Corp.’s Current Report on Form 8-K filed on August 3, 2010).</w:t>
      </w:r>
    </w:p>
    <w:p>
      <w:pPr>
        <w:spacing w:after="0" w:line="147" w:lineRule="exact"/>
        <w:rPr>
          <w:sz w:val="20"/>
          <w:szCs w:val="20"/>
          <w:color w:val="auto"/>
        </w:rPr>
      </w:pPr>
    </w:p>
    <w:p>
      <w:pPr>
        <w:ind w:left="1340" w:right="760" w:hanging="557"/>
        <w:spacing w:after="0" w:line="277" w:lineRule="auto"/>
        <w:tabs>
          <w:tab w:leader="none" w:pos="1320" w:val="left"/>
        </w:tabs>
        <w:rPr>
          <w:sz w:val="20"/>
          <w:szCs w:val="20"/>
          <w:color w:val="auto"/>
        </w:rPr>
      </w:pPr>
      <w:r>
        <w:rPr>
          <w:rFonts w:ascii="Arial" w:cs="Arial" w:eastAsia="Arial" w:hAnsi="Arial"/>
          <w:sz w:val="18"/>
          <w:szCs w:val="18"/>
          <w:color w:val="auto"/>
        </w:rPr>
        <w:t>10.2</w:t>
        <w:tab/>
        <w:t>Custodian Agreement dated March 21, 2007 between GSC Investment LLC and U.S. Bank National Association (incorporated by reference to Saratoga Investment Corp.’s Form 10-Q for the quarterly period ended May 31, 2007).</w:t>
      </w:r>
    </w:p>
    <w:p>
      <w:pPr>
        <w:spacing w:after="0" w:line="170" w:lineRule="exact"/>
        <w:rPr>
          <w:sz w:val="20"/>
          <w:szCs w:val="20"/>
          <w:color w:val="auto"/>
        </w:rPr>
      </w:pPr>
    </w:p>
    <w:p>
      <w:pPr>
        <w:ind w:left="1340" w:right="200" w:hanging="557"/>
        <w:spacing w:after="0" w:line="277" w:lineRule="auto"/>
        <w:tabs>
          <w:tab w:leader="none" w:pos="1320" w:val="left"/>
        </w:tabs>
        <w:rPr>
          <w:sz w:val="20"/>
          <w:szCs w:val="20"/>
          <w:color w:val="auto"/>
        </w:rPr>
      </w:pPr>
      <w:r>
        <w:rPr>
          <w:rFonts w:ascii="Arial" w:cs="Arial" w:eastAsia="Arial" w:hAnsi="Arial"/>
          <w:sz w:val="18"/>
          <w:szCs w:val="18"/>
          <w:color w:val="auto"/>
        </w:rPr>
        <w:t>10.3</w:t>
        <w:tab/>
        <w:t>Administration Agreement dated July 30, 2010 between GSC Investment Corp. and Saratoga Investment Advisors, LLC (incorporated by reference to Saratoga Investment Corp.’s Current Report on Form 8-K filed on August 3, 2010).</w:t>
      </w:r>
    </w:p>
    <w:p>
      <w:pPr>
        <w:spacing w:after="0" w:line="170" w:lineRule="exact"/>
        <w:rPr>
          <w:sz w:val="20"/>
          <w:szCs w:val="20"/>
          <w:color w:val="auto"/>
        </w:rPr>
      </w:pPr>
    </w:p>
    <w:p>
      <w:pPr>
        <w:ind w:left="1340" w:right="120" w:hanging="557"/>
        <w:spacing w:after="0" w:line="277" w:lineRule="auto"/>
        <w:tabs>
          <w:tab w:leader="none" w:pos="1320" w:val="left"/>
        </w:tabs>
        <w:rPr>
          <w:sz w:val="20"/>
          <w:szCs w:val="20"/>
          <w:color w:val="auto"/>
        </w:rPr>
      </w:pPr>
      <w:r>
        <w:rPr>
          <w:rFonts w:ascii="Arial" w:cs="Arial" w:eastAsia="Arial" w:hAnsi="Arial"/>
          <w:sz w:val="18"/>
          <w:szCs w:val="18"/>
          <w:color w:val="auto"/>
        </w:rPr>
        <w:t>10.4</w:t>
        <w:tab/>
        <w:t>Trademark License Agreement dated July 30, 2010 between Saratoga Investment Advisors, LLC and GSC Investment Corp. (incorporated by reference to Saratoga Investment Corp.’s Current Report on Form 8-K filed on August 3, 2010).</w:t>
      </w:r>
    </w:p>
    <w:p>
      <w:pPr>
        <w:spacing w:after="0" w:line="170" w:lineRule="exact"/>
        <w:rPr>
          <w:sz w:val="20"/>
          <w:szCs w:val="20"/>
          <w:color w:val="auto"/>
        </w:rPr>
      </w:pPr>
    </w:p>
    <w:p>
      <w:pPr>
        <w:ind w:left="1340" w:right="100" w:hanging="557"/>
        <w:spacing w:after="0" w:line="264" w:lineRule="auto"/>
        <w:tabs>
          <w:tab w:leader="none" w:pos="1320" w:val="left"/>
        </w:tabs>
        <w:rPr>
          <w:sz w:val="20"/>
          <w:szCs w:val="20"/>
          <w:color w:val="auto"/>
        </w:rPr>
      </w:pPr>
      <w:r>
        <w:rPr>
          <w:rFonts w:ascii="Arial" w:cs="Arial" w:eastAsia="Arial" w:hAnsi="Arial"/>
          <w:sz w:val="18"/>
          <w:szCs w:val="18"/>
          <w:color w:val="auto"/>
        </w:rPr>
        <w:t>10.5</w:t>
        <w:tab/>
        <w:t>Credit, Security and Management Agreement dated July 30, 2010 by and among GSC Investment Funding LLC, Saratoga Investment Corp., Saratoga Investment Advisors, LLC, Madison Capital Funding LLC and U.S. Bank National Association (incorporated by reference to Saratoga Investment Corp.’s Current Report on Form 8-K filed on August 3, 2010).</w:t>
      </w:r>
    </w:p>
    <w:p>
      <w:pPr>
        <w:spacing w:after="0" w:line="181" w:lineRule="exact"/>
        <w:rPr>
          <w:sz w:val="20"/>
          <w:szCs w:val="20"/>
          <w:color w:val="auto"/>
        </w:rPr>
      </w:pPr>
    </w:p>
    <w:p>
      <w:pPr>
        <w:ind w:left="1340" w:right="220" w:hanging="557"/>
        <w:spacing w:after="0" w:line="264" w:lineRule="auto"/>
        <w:tabs>
          <w:tab w:leader="none" w:pos="1320" w:val="left"/>
        </w:tabs>
        <w:rPr>
          <w:sz w:val="20"/>
          <w:szCs w:val="20"/>
          <w:color w:val="auto"/>
        </w:rPr>
      </w:pPr>
      <w:r>
        <w:rPr>
          <w:rFonts w:ascii="Arial" w:cs="Arial" w:eastAsia="Arial" w:hAnsi="Arial"/>
          <w:sz w:val="18"/>
          <w:szCs w:val="18"/>
          <w:color w:val="auto"/>
        </w:rPr>
        <w:t>10.6</w:t>
        <w:tab/>
        <w:t>Form of Indemnification Agreement between Saratoga Investment Corp. and each officer and director of Saratoga Investment Corp. (incorporated by reference to Amendment No. 2 to Saratoga Investment Corp.’s Registration Statement on Form N-2 filed on January 12, 2007).</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99" w:orient="portrait"/>
          <w:cols w:equalWidth="0" w:num="1">
            <w:col w:w="11460"/>
          </w:cols>
          <w:pgMar w:left="240" w:top="125" w:right="199" w:bottom="0" w:gutter="0" w:footer="0" w:header="0"/>
        </w:sect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vMerge w:val="restart"/>
          </w:tcPr>
          <w:p>
            <w:pPr>
              <w:ind w:left="27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99" w:orient="portrait"/>
          <w:cols w:equalWidth="0" w:num="1">
            <w:col w:w="11460"/>
          </w:cols>
          <w:pgMar w:left="240" w:top="125" w:right="199" w:bottom="0" w:gutter="0" w:footer="0" w:header="0"/>
          <w:type w:val="continuous"/>
        </w:sectPr>
      </w:pPr>
    </w:p>
    <w:bookmarkStart w:id="56" w:name="page57"/>
    <w:bookmarkEnd w:id="56"/>
    <w:p>
      <w:pPr>
        <w:ind w:left="1340" w:right="60" w:hanging="557"/>
        <w:spacing w:after="0" w:line="286" w:lineRule="auto"/>
        <w:tabs>
          <w:tab w:leader="none" w:pos="13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Amendment No. 1 to Credit, Security and Management Agreement dated February 24, 2012 by and among Saratoga Investment Funding LLC, Saratoga Investment Corp., Saratoga Investment Advisors, LLC, Madison Capital Funding LLC and U.S. Bank National Association (incorporated by reference to Saratoga Investment Corp.’s Current Report on Form 8-K filed on February 29, 2012).</w:t>
      </w:r>
    </w:p>
    <w:p>
      <w:pPr>
        <w:spacing w:after="0" w:line="166" w:lineRule="exact"/>
        <w:rPr>
          <w:sz w:val="20"/>
          <w:szCs w:val="20"/>
          <w:color w:val="auto"/>
        </w:rPr>
      </w:pPr>
    </w:p>
    <w:p>
      <w:pPr>
        <w:jc w:val="both"/>
        <w:ind w:left="1340" w:right="200" w:hanging="557"/>
        <w:spacing w:after="0" w:line="264" w:lineRule="auto"/>
        <w:tabs>
          <w:tab w:leader="none" w:pos="1320" w:val="left"/>
        </w:tabs>
        <w:rPr>
          <w:sz w:val="20"/>
          <w:szCs w:val="20"/>
          <w:color w:val="auto"/>
        </w:rPr>
      </w:pPr>
      <w:r>
        <w:rPr>
          <w:rFonts w:ascii="Arial" w:cs="Arial" w:eastAsia="Arial" w:hAnsi="Arial"/>
          <w:sz w:val="18"/>
          <w:szCs w:val="18"/>
          <w:color w:val="auto"/>
        </w:rPr>
        <w:t>10.8</w:t>
        <w:tab/>
        <w:t>Indenture, dated as of January 22, 2008, among GSC Investment Corp. CLO 2007, Ltd., GSC Investment Corp. CLO 2007, Inc. and U.S. Bank National Association (incorporated by reference to the registrant’s Registration Statement on Form N-2, File No. 333-186323, filed on April 30, 2013).</w:t>
      </w:r>
    </w:p>
    <w:p>
      <w:pPr>
        <w:spacing w:after="0" w:line="181" w:lineRule="exact"/>
        <w:rPr>
          <w:sz w:val="20"/>
          <w:szCs w:val="20"/>
          <w:color w:val="auto"/>
        </w:rPr>
      </w:pPr>
    </w:p>
    <w:p>
      <w:pPr>
        <w:ind w:left="1340" w:right="160" w:hanging="557"/>
        <w:spacing w:after="0" w:line="277" w:lineRule="auto"/>
        <w:tabs>
          <w:tab w:leader="none" w:pos="1320" w:val="left"/>
        </w:tabs>
        <w:rPr>
          <w:sz w:val="20"/>
          <w:szCs w:val="20"/>
          <w:color w:val="auto"/>
        </w:rPr>
      </w:pPr>
      <w:r>
        <w:rPr>
          <w:rFonts w:ascii="Arial" w:cs="Arial" w:eastAsia="Arial" w:hAnsi="Arial"/>
          <w:sz w:val="18"/>
          <w:szCs w:val="18"/>
          <w:color w:val="auto"/>
        </w:rPr>
        <w:t>12.1</w:t>
        <w:tab/>
        <w:t>Statement of Computation of Ratios of Earnings to Fixed Charges (incorporated by reference to the registrant’s Registration Statement on Form N-2, File No. 333-186323, filed on April 29, 2013).</w:t>
      </w:r>
    </w:p>
    <w:p>
      <w:pPr>
        <w:spacing w:after="0" w:line="170" w:lineRule="exact"/>
        <w:rPr>
          <w:sz w:val="20"/>
          <w:szCs w:val="20"/>
          <w:color w:val="auto"/>
        </w:rPr>
      </w:pPr>
    </w:p>
    <w:p>
      <w:pPr>
        <w:ind w:left="1340" w:right="320" w:hanging="557"/>
        <w:spacing w:after="0" w:line="277" w:lineRule="auto"/>
        <w:tabs>
          <w:tab w:leader="none" w:pos="1320" w:val="left"/>
        </w:tabs>
        <w:rPr>
          <w:sz w:val="20"/>
          <w:szCs w:val="20"/>
          <w:color w:val="auto"/>
        </w:rPr>
      </w:pPr>
      <w:r>
        <w:rPr>
          <w:rFonts w:ascii="Arial" w:cs="Arial" w:eastAsia="Arial" w:hAnsi="Arial"/>
          <w:sz w:val="18"/>
          <w:szCs w:val="18"/>
          <w:color w:val="auto"/>
        </w:rPr>
        <w:t>21.1</w:t>
        <w:tab/>
        <w:t>List of Subsidiaries and jurisdiction of incorporation/organization: Saratoga Investment Funding LLC—Delaware; Saratoga Investment Corp. SBIC, LP—Delaware; and Saratoga Investment Corp. GP, LLC—Delaware.</w:t>
      </w:r>
    </w:p>
    <w:p>
      <w:pPr>
        <w:spacing w:after="0" w:line="170" w:lineRule="exact"/>
        <w:rPr>
          <w:sz w:val="20"/>
          <w:szCs w:val="20"/>
          <w:color w:val="auto"/>
        </w:rPr>
      </w:pPr>
    </w:p>
    <w:p>
      <w:pPr>
        <w:ind w:left="1340" w:right="120" w:hanging="647"/>
        <w:spacing w:after="0" w:line="277" w:lineRule="auto"/>
        <w:tabs>
          <w:tab w:leader="none" w:pos="1320" w:val="left"/>
        </w:tabs>
        <w:rPr>
          <w:sz w:val="20"/>
          <w:szCs w:val="20"/>
          <w:color w:val="auto"/>
        </w:rPr>
      </w:pPr>
      <w:r>
        <w:rPr>
          <w:rFonts w:ascii="Arial" w:cs="Arial" w:eastAsia="Arial" w:hAnsi="Arial"/>
          <w:sz w:val="18"/>
          <w:szCs w:val="18"/>
          <w:color w:val="auto"/>
        </w:rPr>
        <w:t>31.1*</w:t>
        <w:tab/>
        <w:t>Chief Executive Officer Certification Pursuant to Rule 13a-14 of the Securities Exchange Act of 1934, as adopted pursuant to Section 302 of the Sarbanes-Oxley Act of 2002.</w:t>
      </w:r>
    </w:p>
    <w:p>
      <w:pPr>
        <w:spacing w:after="0" w:line="170" w:lineRule="exact"/>
        <w:rPr>
          <w:sz w:val="20"/>
          <w:szCs w:val="20"/>
          <w:color w:val="auto"/>
        </w:rPr>
      </w:pPr>
    </w:p>
    <w:p>
      <w:pPr>
        <w:ind w:left="1340" w:right="480" w:hanging="647"/>
        <w:spacing w:after="0" w:line="277" w:lineRule="auto"/>
        <w:tabs>
          <w:tab w:leader="none" w:pos="1320" w:val="left"/>
        </w:tabs>
        <w:rPr>
          <w:sz w:val="20"/>
          <w:szCs w:val="20"/>
          <w:color w:val="auto"/>
        </w:rPr>
      </w:pPr>
      <w:r>
        <w:rPr>
          <w:rFonts w:ascii="Arial" w:cs="Arial" w:eastAsia="Arial" w:hAnsi="Arial"/>
          <w:sz w:val="18"/>
          <w:szCs w:val="18"/>
          <w:color w:val="auto"/>
        </w:rPr>
        <w:t>31.2*</w:t>
        <w:tab/>
        <w:t>Chief Financial Officer Certification Pursuant to Rule 13a-14 of the Securities Act of 1934, as adopted pursuant to Section 302 of the Sarbanes-Oxley Act of 2002.</w:t>
      </w:r>
    </w:p>
    <w:p>
      <w:pPr>
        <w:spacing w:after="0" w:line="170"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2"/>
          </w:tcPr>
          <w:p>
            <w:pPr>
              <w:ind w:left="2160"/>
              <w:spacing w:after="0"/>
              <w:rPr>
                <w:sz w:val="20"/>
                <w:szCs w:val="20"/>
                <w:color w:val="auto"/>
              </w:rPr>
            </w:pPr>
            <w:r>
              <w:rPr>
                <w:rFonts w:ascii="Arial" w:cs="Arial" w:eastAsia="Arial" w:hAnsi="Arial"/>
                <w:sz w:val="18"/>
                <w:szCs w:val="18"/>
                <w:color w:val="auto"/>
              </w:rPr>
              <w:t>SARATOGA INVESTMENT CORP.</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May 27, 2014</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CHRISTIAN L. OBERBECK</w:t>
            </w:r>
          </w:p>
        </w:tc>
      </w:tr>
      <w:tr>
        <w:trPr>
          <w:trHeight w:val="195"/>
        </w:trPr>
        <w:tc>
          <w:tcPr>
            <w:tcW w:w="36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00" w:type="dxa"/>
            <w:vAlign w:val="bottom"/>
          </w:tcPr>
          <w:p>
            <w:pPr>
              <w:jc w:val="center"/>
              <w:spacing w:after="0" w:line="195" w:lineRule="exact"/>
              <w:rPr>
                <w:sz w:val="20"/>
                <w:szCs w:val="20"/>
                <w:color w:val="auto"/>
              </w:rPr>
            </w:pPr>
            <w:r>
              <w:rPr>
                <w:rFonts w:ascii="Arial" w:cs="Arial" w:eastAsia="Arial" w:hAnsi="Arial"/>
                <w:sz w:val="18"/>
                <w:szCs w:val="18"/>
                <w:color w:val="auto"/>
                <w:w w:val="91"/>
              </w:rPr>
              <w:t>Christian L. Oberbeck</w:t>
            </w:r>
          </w:p>
        </w:tc>
      </w:tr>
      <w:tr>
        <w:trPr>
          <w:trHeight w:val="230"/>
        </w:trPr>
        <w:tc>
          <w:tcPr>
            <w:tcW w:w="36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432"/>
        </w:trPr>
        <w:tc>
          <w:tcPr>
            <w:tcW w:w="3600" w:type="dxa"/>
            <w:vAlign w:val="bottom"/>
          </w:tcPr>
          <w:p>
            <w:pPr>
              <w:spacing w:after="0"/>
              <w:rPr>
                <w:sz w:val="24"/>
                <w:szCs w:val="24"/>
                <w:color w:val="auto"/>
              </w:rPr>
            </w:pP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HENRI J. STEENKAMP</w:t>
            </w:r>
          </w:p>
        </w:tc>
      </w:tr>
      <w:tr>
        <w:trPr>
          <w:trHeight w:val="211"/>
        </w:trPr>
        <w:tc>
          <w:tcPr>
            <w:tcW w:w="3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88"/>
              </w:rPr>
              <w:t>Henri J. Steenkamp</w:t>
            </w:r>
          </w:p>
        </w:tc>
      </w:tr>
    </w:tbl>
    <w:p>
      <w:pPr>
        <w:ind w:left="6300"/>
        <w:spacing w:after="0"/>
        <w:rPr>
          <w:sz w:val="20"/>
          <w:szCs w:val="20"/>
          <w:color w:val="auto"/>
        </w:rPr>
      </w:pPr>
      <w:r>
        <w:rPr>
          <w:rFonts w:ascii="Arial" w:cs="Arial" w:eastAsia="Arial" w:hAnsi="Arial"/>
          <w:sz w:val="17"/>
          <w:szCs w:val="17"/>
          <w:i w:val="1"/>
          <w:iCs w:val="1"/>
          <w:color w:val="auto"/>
        </w:rPr>
        <w:t>Interim Chief Financial Officer and Interim Chief Compliance Officer</w:t>
      </w:r>
    </w:p>
    <w:p>
      <w:pPr>
        <w:spacing w:after="0" w:line="2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Christian L. Oberbeck and Henri J. Steenkamp, and each of them (with full power to each of them to act alone), his true and lawful attorneys-in-fact and agents, with full power of substitution and resubstitution, for him and in his name, place, and stead, in any and all capacities, to sign this report and any and all amendments thereto, and to file the same,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8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4"/>
                <w:szCs w:val="14"/>
                <w:color w:val="auto"/>
              </w:rPr>
            </w:pPr>
          </w:p>
        </w:tc>
        <w:tc>
          <w:tcPr>
            <w:tcW w:w="46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24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426"/>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CHRISTIAN L. OBERBECK</w:t>
            </w:r>
          </w:p>
        </w:tc>
        <w:tc>
          <w:tcPr>
            <w:tcW w:w="2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7"/>
              </w:rPr>
              <w:t>Chairman of the Board of Directors, Chief Executive Officer</w:t>
            </w: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rPr>
              <w:t>May 27, 2014</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1"/>
              </w:rPr>
              <w:t>Christian L. Oberbeck</w:t>
            </w:r>
          </w:p>
        </w:tc>
        <w:tc>
          <w:tcPr>
            <w:tcW w:w="2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MICHAEL J. GRISIUS</w:t>
            </w:r>
          </w:p>
        </w:tc>
        <w:tc>
          <w:tcPr>
            <w:tcW w:w="2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rPr>
              <w:t>May 27, 2014</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2"/>
              </w:rPr>
              <w:t>Michael J. Grisius</w:t>
            </w: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HENRI J. STEENKAMP</w:t>
            </w:r>
          </w:p>
        </w:tc>
        <w:tc>
          <w:tcPr>
            <w:tcW w:w="2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7"/>
              </w:rPr>
              <w:t>Interim Chief Financial Officer (Principal Accounting Officer</w:t>
            </w: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rPr>
              <w:t>May 27, 2014</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88"/>
              </w:rPr>
              <w:t>Henri J. Steenkamp</w:t>
            </w:r>
          </w:p>
        </w:tc>
        <w:tc>
          <w:tcPr>
            <w:tcW w:w="2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and Principal Financial Officer)</w:t>
            </w: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STEVEN M. LOONEY</w:t>
            </w:r>
          </w:p>
        </w:tc>
        <w:tc>
          <w:tcPr>
            <w:tcW w:w="2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rPr>
              <w:t>May 27, 2014</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0"/>
              </w:rPr>
              <w:t>Steven M. Looney</w:t>
            </w: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CHARLES S. WHITMAN III</w:t>
            </w:r>
          </w:p>
        </w:tc>
        <w:tc>
          <w:tcPr>
            <w:tcW w:w="2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rPr>
              <w:t>May 27, 2014</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3"/>
              </w:rPr>
              <w:t>Charles S. Whitman III</w:t>
            </w: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 CABELL WILLIAMS</w:t>
            </w:r>
          </w:p>
        </w:tc>
        <w:tc>
          <w:tcPr>
            <w:tcW w:w="2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rPr>
              <w:t>May 27, 2014</w:t>
            </w: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4"/>
              </w:rPr>
              <w:t>Cabell Williams</w:t>
            </w: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sectPr>
          <w:pgSz w:w="11900" w:h="16838" w:orient="portrait"/>
          <w:cols w:equalWidth="0" w:num="1">
            <w:col w:w="11420"/>
          </w:cols>
          <w:pgMar w:left="240" w:top="125" w:right="239" w:bottom="0" w:gutter="0" w:footer="0" w:header="0"/>
        </w:sectPr>
      </w:pPr>
    </w:p>
    <w:bookmarkStart w:id="57" w:name="page58"/>
    <w:bookmarkEnd w:id="57"/>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7180" w:type="dxa"/>
            <w:vAlign w:val="bottom"/>
            <w:gridSpan w:val="7"/>
          </w:tcPr>
          <w:p>
            <w:pPr>
              <w:jc w:val="center"/>
              <w:ind w:right="2060"/>
              <w:spacing w:after="0"/>
              <w:rPr>
                <w:sz w:val="20"/>
                <w:szCs w:val="20"/>
                <w:color w:val="auto"/>
              </w:rPr>
            </w:pPr>
            <w:r>
              <w:rPr>
                <w:rFonts w:ascii="Arial" w:cs="Arial" w:eastAsia="Arial" w:hAnsi="Arial"/>
                <w:sz w:val="18"/>
                <w:szCs w:val="18"/>
                <w:b w:val="1"/>
                <w:bCs w:val="1"/>
                <w:color w:val="auto"/>
              </w:rPr>
              <w:t>INDEX TO CONSOLIDATED FINANCIAL STATEMENTS</w:t>
            </w:r>
          </w:p>
        </w:tc>
        <w:tc>
          <w:tcPr>
            <w:tcW w:w="1120" w:type="dxa"/>
            <w:vAlign w:val="bottom"/>
          </w:tcPr>
          <w:p>
            <w:pPr>
              <w:spacing w:after="0"/>
              <w:rPr>
                <w:sz w:val="24"/>
                <w:szCs w:val="24"/>
                <w:color w:val="auto"/>
              </w:rPr>
            </w:pPr>
          </w:p>
        </w:tc>
      </w:tr>
      <w:tr>
        <w:trPr>
          <w:trHeight w:val="392"/>
        </w:trPr>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Report of Independent Registered Public Accounting Firm</w:t>
              </w:r>
            </w:hyperlink>
          </w:p>
        </w:tc>
        <w:tc>
          <w:tcPr>
            <w:tcW w:w="612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70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Consolidated Statements of Assets and Liabilities as of February 28, 2014 and February 28, 2013</w:t>
              </w:r>
            </w:hyperlink>
          </w:p>
        </w:tc>
        <w:tc>
          <w:tcPr>
            <w:tcW w:w="3320" w:type="dxa"/>
            <w:vAlign w:val="bottom"/>
            <w:gridSpan w:val="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10340" w:type="dxa"/>
            <w:vAlign w:val="bottom"/>
            <w:gridSpan w:val="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 for the years ended February 28, 2014, February 28, 2013, and February 29, 2012</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Schedules of Investments as of February 28, 2014 and February 28, 2013</w:t>
              </w:r>
            </w:hyperlink>
          </w:p>
        </w:tc>
        <w:tc>
          <w:tcPr>
            <w:tcW w:w="2460" w:type="dxa"/>
            <w:vAlign w:val="bottom"/>
            <w:tcBorders>
              <w:top w:val="single" w:sz="8" w:color="0000EE"/>
            </w:tcBorders>
            <w:gridSpan w:val="2"/>
          </w:tcPr>
          <w:p>
            <w:pPr>
              <w:spacing w:after="0"/>
              <w:rPr>
                <w:sz w:val="17"/>
                <w:szCs w:val="17"/>
                <w:color w:val="auto"/>
              </w:rPr>
            </w:pPr>
          </w:p>
        </w:tc>
        <w:tc>
          <w:tcPr>
            <w:tcW w:w="1600" w:type="dxa"/>
            <w:vAlign w:val="bottom"/>
            <w:gridSpan w:val="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10340" w:type="dxa"/>
            <w:vAlign w:val="bottom"/>
            <w:gridSpan w:val="9"/>
          </w:tcPr>
          <w:p>
            <w:pPr>
              <w:spacing w:after="0" w:line="19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Consolidated Statements of Changes in Net Assets for the years ended February 28, 2014, February 28, 2013, and February 29, 2012</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196"/>
        </w:trPr>
        <w:tc>
          <w:tcPr>
            <w:tcW w:w="958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Consolidated Statements of Cash Flows for the years ended February 28, 2014, February 28, 2013, and February 29, 2012</w:t>
              </w:r>
            </w:hyperlink>
          </w:p>
        </w:tc>
        <w:tc>
          <w:tcPr>
            <w:tcW w:w="7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196"/>
        </w:trPr>
        <w:tc>
          <w:tcPr>
            <w:tcW w:w="8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Notes to Consolidated Financial Statements</w:t>
              </w:r>
            </w:hyperlink>
          </w:p>
        </w:tc>
        <w:tc>
          <w:tcPr>
            <w:tcW w:w="154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453"/>
        </w:trPr>
        <w:tc>
          <w:tcPr>
            <w:tcW w:w="1280" w:type="dxa"/>
            <w:vAlign w:val="bottom"/>
            <w:tcBorders>
              <w:top w:val="single" w:sz="8" w:color="0000EE"/>
            </w:tcBorders>
          </w:tcPr>
          <w:p>
            <w:pPr>
              <w:spacing w:after="0"/>
              <w:rPr>
                <w:sz w:val="24"/>
                <w:szCs w:val="24"/>
                <w:color w:val="auto"/>
              </w:rPr>
            </w:pPr>
          </w:p>
        </w:tc>
        <w:tc>
          <w:tcPr>
            <w:tcW w:w="18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120" w:type="dxa"/>
            <w:vAlign w:val="bottom"/>
            <w:gridSpan w:val="6"/>
          </w:tcPr>
          <w:p>
            <w:pPr>
              <w:jc w:val="center"/>
              <w:ind w:right="3140"/>
              <w:spacing w:after="0"/>
              <w:rPr>
                <w:sz w:val="20"/>
                <w:szCs w:val="20"/>
                <w:color w:val="auto"/>
              </w:rPr>
            </w:pPr>
            <w:r>
              <w:rPr>
                <w:rFonts w:ascii="Arial" w:cs="Arial" w:eastAsia="Arial" w:hAnsi="Arial"/>
                <w:sz w:val="18"/>
                <w:szCs w:val="18"/>
                <w:color w:val="auto"/>
                <w:w w:val="96"/>
              </w:rPr>
              <w:t>F-1</w:t>
            </w:r>
          </w:p>
        </w:tc>
        <w:tc>
          <w:tcPr>
            <w:tcW w:w="112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Saratoga Investment Corp.</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have audited the accompanying consolidated statement of assets and liabilities of Saratoga Investment Corp. (the “Company”) as of February 28, 2014 and February 28, 2013, including the consolidated schedule of investments, and the related consolidated statements of operations, changes in net assets and cash flows for the years ended February 28, 2014, February 28, 2013 and February 29, 2012. These financial statements are the responsibility of the Company’s management. Our responsibility is to express an opinion on these financial statements based on our audits.</w:t>
      </w:r>
    </w:p>
    <w:p>
      <w:pPr>
        <w:spacing w:after="0" w:line="17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Our procedures included confirmation of securities owned as of February 28, 2014, by correspondence with the custodian, debt agents and lenders. We believe that our audits provide a reasonable basis for our opinion.</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Saratoga Investment Corp. at February 28, 2014 and February 28, 2013, and the consolidated results of its operations, changes in its net assets and its cash flows for the years ended February 28, 2014, February 28, 2013 and February 29, 2012, in conformity with U.S. generally accepted accounting principles.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27, 2014</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February 28, 2014</w:t>
            </w:r>
          </w:p>
        </w:tc>
        <w:tc>
          <w:tcPr>
            <w:tcW w:w="100" w:type="dxa"/>
            <w:vAlign w:val="bottom"/>
          </w:tcPr>
          <w:p>
            <w:pPr>
              <w:spacing w:after="0"/>
              <w:rPr>
                <w:sz w:val="12"/>
                <w:szCs w:val="12"/>
                <w:color w:val="auto"/>
              </w:rPr>
            </w:pPr>
          </w:p>
        </w:tc>
        <w:tc>
          <w:tcPr>
            <w:tcW w:w="126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5"/>
              </w:rPr>
              <w:t>Non-control/non-affiliate investments (amortized cost of $185,266,607 and $130,465,086, respectively)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186,275,106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129,563,428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 (cost of $16,555,808 and $18,944,966 respectively)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19,569,596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25,516,959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investments at fair value (amortized cost of $201,822,415 and $149,410,052 respectively)</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205,844,702</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155,080,387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3,293,898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reserve accounts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3,293,113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12,086,142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 (net of reserve of $150,058 and $53,543, respectively)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2,571,853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Deferred debt financing costs,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4,008,704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2,090,184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receivable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150,106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14,461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unsettled trades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1,817,074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219,176,837</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174,411,430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219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2192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8" w:name="page59"/>
    <w:bookmarkEnd w:id="5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SBA debentures payable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48,300,000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Management and incentive fees payable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3,856,962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4,509,322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824,568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Interest and debt fees payable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873,135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257,796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Due to manager</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398,154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104,252,819</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65,724,669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Commitments and contingencies (See Note 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$.001, 100,000,000 common shares authorized, 5,379,616 and 4,730,116 common</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and outstanding, respectively</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184,851,154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174,824,076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(29,627,578)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(24,522,951)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(44,327,225)</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(47,289,427)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and derivatives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4,022,287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Assets</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114,924,018</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108,686,761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219,176,837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174,411,430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21.36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jc w:val="center"/>
              <w:ind w:left="321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color w:val="auto"/>
                <w:w w:val="96"/>
              </w:rPr>
              <w:t>F-3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14"/>
                <w:szCs w:val="14"/>
                <w:color w:val="auto"/>
              </w:rPr>
            </w:pPr>
          </w:p>
        </w:tc>
        <w:tc>
          <w:tcPr>
            <w:tcW w:w="2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For the year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February 28, 2014</w:t>
            </w:r>
          </w:p>
        </w:tc>
        <w:tc>
          <w:tcPr>
            <w:tcW w:w="320" w:type="dxa"/>
            <w:vAlign w:val="bottom"/>
          </w:tcPr>
          <w:p>
            <w:pPr>
              <w:spacing w:after="0"/>
              <w:rPr>
                <w:sz w:val="14"/>
                <w:szCs w:val="14"/>
                <w:color w:val="auto"/>
              </w:rPr>
            </w:pPr>
          </w:p>
        </w:tc>
        <w:tc>
          <w:tcPr>
            <w:tcW w:w="21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February 28, 2013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February 29,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15,832,083</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9,176,156</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5,613,705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ind w:left="160"/>
              <w:spacing w:after="0" w:line="201" w:lineRule="exact"/>
              <w:rPr>
                <w:sz w:val="20"/>
                <w:szCs w:val="20"/>
                <w:color w:val="auto"/>
              </w:rPr>
            </w:pPr>
            <w:r>
              <w:rPr>
                <w:rFonts w:ascii="Arial" w:cs="Arial" w:eastAsia="Arial" w:hAnsi="Arial"/>
                <w:sz w:val="18"/>
                <w:szCs w:val="18"/>
                <w:color w:val="auto"/>
              </w:rPr>
              <w:t>Payment-in-kind interest income from Non-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control/Non-affiliate investments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936,208</w:t>
            </w: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1,062,687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1,442,004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3,410,868</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4,205,509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Total interest income</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20,179,159</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14,444,352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11,253,716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7,932</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Management fee income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1,775,141</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2,000,072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2,011,516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931,513</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22,893,745</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17,006,807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13,511,676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6,083,891</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2,540,413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Base management fees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3,326,879</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2,107,378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1,617,496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1,211,836</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Administrator expenses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1,000,000</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Incentive management fees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691,492</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2,044,788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Insurance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442,977</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516,121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578,746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204,607</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789,208</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368,815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389,825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21,207</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13,772,097</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9,979,241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7,810,815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9,121,648</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7,027,566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5,700,861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REALIZED AND UNREALIZED GAIN (LOSS)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ON INVESTMENTS: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from investments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1,270,765</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realized loss from derivatives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(131,000)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unrealized appreciation (depreciation) on</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(1,648,046)</w:t>
            </w:r>
          </w:p>
        </w:tc>
        <w:tc>
          <w:tcPr>
            <w:tcW w:w="3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7,012,726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19,776,469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Net unrealized appreciation (depreciation) on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130,925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(16,190)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 (loss) on investments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(377,281)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7,574,351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7,574,282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8,744,367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14,601,917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13,275,143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59" w:name="page60"/>
    <w:bookmarkEnd w:id="5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RESULTING FROM OPERATIONS</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WEIGHTED AVERAGE - BASIC AND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DILUTED EARNINGS PER COMMON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2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STOCK</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OUTSTANDING - BASIC AND DILUTED</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4,920,517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4,110,484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3,434,345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40" w:type="dxa"/>
            <w:vAlign w:val="bottom"/>
            <w:gridSpan w:val="10"/>
          </w:tcPr>
          <w:p>
            <w:pPr>
              <w:jc w:val="center"/>
              <w:ind w:left="836"/>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3"/>
          </w:tcPr>
          <w:p>
            <w:pPr>
              <w:jc w:val="center"/>
              <w:ind w:left="854"/>
              <w:spacing w:after="0"/>
              <w:rPr>
                <w:sz w:val="20"/>
                <w:szCs w:val="20"/>
                <w:color w:val="auto"/>
              </w:rPr>
            </w:pPr>
            <w:r>
              <w:rPr>
                <w:rFonts w:ascii="Arial" w:cs="Arial" w:eastAsia="Arial" w:hAnsi="Arial"/>
                <w:sz w:val="18"/>
                <w:szCs w:val="18"/>
                <w:color w:val="auto"/>
                <w:w w:val="96"/>
              </w:rPr>
              <w:t>F-4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5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5"/>
          </w:tcPr>
          <w:p>
            <w:pPr>
              <w:jc w:val="center"/>
              <w:ind w:left="574"/>
              <w:spacing w:after="0"/>
              <w:rPr>
                <w:sz w:val="20"/>
                <w:szCs w:val="20"/>
                <w:color w:val="auto"/>
              </w:rPr>
            </w:pPr>
            <w:r>
              <w:rPr>
                <w:rFonts w:ascii="Arial" w:cs="Arial" w:eastAsia="Arial" w:hAnsi="Arial"/>
                <w:sz w:val="18"/>
                <w:szCs w:val="18"/>
                <w:b w:val="1"/>
                <w:bCs w:val="1"/>
                <w:color w:val="auto"/>
                <w:w w:val="90"/>
              </w:rPr>
              <w:t>Saratoga Investment Corp.</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4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88"/>
              </w:rPr>
              <w:t>Consolidated Schedule of Investments</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February 28, 2014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Principal/</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500" w:type="dxa"/>
            <w:vAlign w:val="bottom"/>
            <w:gridSpan w:val="4"/>
          </w:tcPr>
          <w:p>
            <w:pPr>
              <w:spacing w:after="0"/>
              <w:rPr>
                <w:sz w:val="20"/>
                <w:szCs w:val="20"/>
                <w:color w:val="auto"/>
              </w:rPr>
            </w:pPr>
            <w:r>
              <w:rPr>
                <w:rFonts w:ascii="Arial" w:cs="Arial" w:eastAsia="Arial" w:hAnsi="Arial"/>
                <w:sz w:val="13"/>
                <w:szCs w:val="13"/>
                <w:b w:val="1"/>
                <w:bCs w:val="1"/>
                <w:color w:val="auto"/>
              </w:rPr>
              <w:t>Company (a)</w:t>
            </w:r>
          </w:p>
        </w:tc>
        <w:tc>
          <w:tcPr>
            <w:tcW w:w="1280" w:type="dxa"/>
            <w:vAlign w:val="bottom"/>
          </w:tcPr>
          <w:p>
            <w:pPr>
              <w:ind w:left="400"/>
              <w:spacing w:after="0"/>
              <w:rPr>
                <w:sz w:val="20"/>
                <w:szCs w:val="20"/>
                <w:color w:val="auto"/>
              </w:rPr>
            </w:pPr>
            <w:r>
              <w:rPr>
                <w:rFonts w:ascii="Arial" w:cs="Arial" w:eastAsia="Arial" w:hAnsi="Arial"/>
                <w:sz w:val="13"/>
                <w:szCs w:val="13"/>
                <w:b w:val="1"/>
                <w:bCs w:val="1"/>
                <w:color w:val="auto"/>
              </w:rPr>
              <w:t>Industry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3"/>
          </w:tcPr>
          <w:p>
            <w:pPr>
              <w:ind w:left="240"/>
              <w:spacing w:after="0"/>
              <w:rPr>
                <w:sz w:val="20"/>
                <w:szCs w:val="20"/>
                <w:color w:val="auto"/>
              </w:rPr>
            </w:pPr>
            <w:r>
              <w:rPr>
                <w:rFonts w:ascii="Arial" w:cs="Arial" w:eastAsia="Arial" w:hAnsi="Arial"/>
                <w:sz w:val="13"/>
                <w:szCs w:val="13"/>
                <w:b w:val="1"/>
                <w:bCs w:val="1"/>
                <w:color w:val="auto"/>
              </w:rPr>
              <w:t>Investment Interest Rate / Maturity</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Number of Shares</w:t>
            </w:r>
          </w:p>
        </w:tc>
        <w:tc>
          <w:tcPr>
            <w:tcW w:w="200" w:type="dxa"/>
            <w:vAlign w:val="bottom"/>
          </w:tcPr>
          <w:p>
            <w:pPr>
              <w:spacing w:after="0"/>
              <w:rPr>
                <w:sz w:val="13"/>
                <w:szCs w:val="13"/>
                <w:color w:val="auto"/>
              </w:rPr>
            </w:pPr>
          </w:p>
        </w:tc>
        <w:tc>
          <w:tcPr>
            <w:tcW w:w="116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Cost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 Value (c)</w:t>
            </w:r>
          </w:p>
        </w:tc>
        <w:tc>
          <w:tcPr>
            <w:tcW w:w="14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6"/>
              </w:rPr>
              <w:t>Net Assets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480" w:type="dxa"/>
            <w:vAlign w:val="bottom"/>
            <w:gridSpan w:val="3"/>
            <w:shd w:val="clear" w:color="auto" w:fill="CCEEFF"/>
          </w:tcPr>
          <w:p>
            <w:pPr>
              <w:spacing w:after="0" w:line="117" w:lineRule="exact"/>
              <w:rPr>
                <w:sz w:val="20"/>
                <w:szCs w:val="20"/>
                <w:color w:val="auto"/>
              </w:rPr>
            </w:pPr>
            <w:r>
              <w:rPr>
                <w:rFonts w:ascii="Arial" w:cs="Arial" w:eastAsia="Arial" w:hAnsi="Arial"/>
                <w:sz w:val="13"/>
                <w:szCs w:val="13"/>
                <w:b w:val="1"/>
                <w:bCs w:val="1"/>
                <w:color w:val="auto"/>
                <w:w w:val="99"/>
              </w:rPr>
              <w:t>Non-control/Non-affiliated investments -</w:t>
            </w:r>
          </w:p>
        </w:tc>
        <w:tc>
          <w:tcPr>
            <w:tcW w:w="1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3"/>
                <w:szCs w:val="13"/>
                <w:b w:val="1"/>
                <w:bCs w:val="1"/>
                <w:color w:val="auto"/>
              </w:rPr>
              <w:t>162.1% (b)</w:t>
            </w: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PATS Aircraft, LLC</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Aerospace</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Common Stock</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51,813</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0"/>
              </w:rPr>
              <w:t>89,636</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89,636</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PATS Aircraft, LLC</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Aerospace</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5"/>
              </w:rPr>
              <w:t>First Lien Term Loan 8.50% Cash, 10/6/2016</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254,598</w:t>
            </w: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254,598</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254,598</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Total Aerospace</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344,234</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344,234</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National Truck Protection Co., Inc. (d, g)</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Common Stock</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1,116</w:t>
            </w: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1,000,000</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1,152,531</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National Truck Protection Co., Inc. (d)</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2"/>
              </w:rPr>
              <w:t>First Lien Term Loan 15.50% Cash, 9/13/2018</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8,250,000</w:t>
            </w: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8,250,000</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8,250,000</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Take 5 Oil Change, L.L.C. (d, g)</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Common Stock</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7,128</w:t>
            </w: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712,800</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1,217,747</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Total Automotive</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9,962,800</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10,620,278</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Legacy Cabinets Holdings (d, g)</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Building Products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Common Stock Voting A-1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2,535</w:t>
            </w: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220,900</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552,351</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Legacy Cabinets Holdings (d, g)</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Building Products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Common Stock Voting B-1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1,600</w:t>
            </w: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139,424</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348,624</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Total Building Products</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360,324</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900,975</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ARSloane Acquistion, LLC</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5"/>
              </w:rPr>
              <w:t>First Lien Term Loan 7.50% Cash, 10/1/2019</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997,500</w:t>
            </w: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988,200</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1,004,981</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BMC Software, Inc. (d)</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5"/>
              </w:rPr>
              <w:t>First Lien Term Loan 5.00% Cash, 9/10/2020</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6,000,000</w:t>
            </w: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5,943,801</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6,013,800</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Dispensing Dynamics International (d)</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5"/>
              </w:rPr>
              <w:t>Senior Secured Note 12.50% Cash, 1/1/2018</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7,000,000</w:t>
            </w: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6,882,278</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7,525,000</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Easy Ice, LLC (d)</w:t>
            </w:r>
          </w:p>
        </w:tc>
        <w:tc>
          <w:tcPr>
            <w:tcW w:w="1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7"/>
              </w:rPr>
              <w:t>First Lien Term Loan 14.00% (11.00% Cash</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3.00% PIK), 3/29/2018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7,507,024</w:t>
            </w:r>
          </w:p>
        </w:tc>
        <w:tc>
          <w:tcPr>
            <w:tcW w:w="20" w:type="dxa"/>
            <w:vAlign w:val="bottom"/>
            <w:shd w:val="clear" w:color="auto" w:fill="CCEEFF"/>
          </w:tcPr>
          <w:p>
            <w:pPr>
              <w:spacing w:after="0"/>
              <w:rPr>
                <w:sz w:val="12"/>
                <w:szCs w:val="12"/>
                <w:color w:val="auto"/>
              </w:rPr>
            </w:pPr>
          </w:p>
        </w:tc>
        <w:tc>
          <w:tcPr>
            <w:tcW w:w="136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7,387,970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7,507,024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Emily Street Enterprises, L.L.C. (d)</w:t>
            </w:r>
          </w:p>
        </w:tc>
        <w:tc>
          <w:tcPr>
            <w:tcW w:w="1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Senior Secured Note 12.00% (11.00%</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Cash/1.00% PIK), 12/28/2017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5,767,983</w:t>
            </w:r>
          </w:p>
        </w:tc>
        <w:tc>
          <w:tcPr>
            <w:tcW w:w="20" w:type="dxa"/>
            <w:vAlign w:val="bottom"/>
            <w:shd w:val="clear" w:color="auto" w:fill="CCEEFF"/>
          </w:tcPr>
          <w:p>
            <w:pPr>
              <w:spacing w:after="0"/>
              <w:rPr>
                <w:sz w:val="12"/>
                <w:szCs w:val="12"/>
                <w:color w:val="auto"/>
              </w:rPr>
            </w:pPr>
          </w:p>
        </w:tc>
        <w:tc>
          <w:tcPr>
            <w:tcW w:w="136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5,680,703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5,767,983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Emily Street Enterprises, L.L.C. (d, g)</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Warrant Membership Interests</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49,318</w:t>
            </w: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400,000</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601,679</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8"/>
              </w:rPr>
              <w:t>Help/Systems Holdings, Inc.(Help/Systems,</w:t>
            </w:r>
          </w:p>
        </w:tc>
        <w:tc>
          <w:tcPr>
            <w:tcW w:w="1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LLC) (d)</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5"/>
              </w:rPr>
              <w:t>First Lien Term Loan 5.50% Cash, 6/28/2019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3,990,000</w:t>
            </w:r>
          </w:p>
        </w:tc>
        <w:tc>
          <w:tcPr>
            <w:tcW w:w="20" w:type="dxa"/>
            <w:vAlign w:val="bottom"/>
            <w:shd w:val="clear" w:color="auto" w:fill="CCEEFF"/>
          </w:tcPr>
          <w:p>
            <w:pPr>
              <w:spacing w:after="0"/>
              <w:rPr>
                <w:sz w:val="12"/>
                <w:szCs w:val="12"/>
                <w:color w:val="auto"/>
              </w:rPr>
            </w:pPr>
          </w:p>
        </w:tc>
        <w:tc>
          <w:tcPr>
            <w:tcW w:w="136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3,954,385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3,960,075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8"/>
              </w:rPr>
              <w:t>Help/Systems Holdings, Inc.(Help/Systems,</w:t>
            </w:r>
          </w:p>
        </w:tc>
        <w:tc>
          <w:tcPr>
            <w:tcW w:w="1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Second Lien Term Loan 9.50% Cash,</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LLC) (d)</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6/28/2020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20" w:type="dxa"/>
            <w:vAlign w:val="bottom"/>
            <w:shd w:val="clear" w:color="auto" w:fill="CCEEFF"/>
          </w:tcPr>
          <w:p>
            <w:pPr>
              <w:spacing w:after="0"/>
              <w:rPr>
                <w:sz w:val="12"/>
                <w:szCs w:val="12"/>
                <w:color w:val="auto"/>
              </w:rPr>
            </w:pPr>
          </w:p>
        </w:tc>
        <w:tc>
          <w:tcPr>
            <w:tcW w:w="136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1,972,758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2,000,000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Knowland Technology Holdings, L.L.C. (d)</w:t>
            </w:r>
          </w:p>
        </w:tc>
        <w:tc>
          <w:tcPr>
            <w:tcW w:w="1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First Lien Term Loan 11.00% Cash,</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11/29/2017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6,200,000</w:t>
            </w:r>
          </w:p>
        </w:tc>
        <w:tc>
          <w:tcPr>
            <w:tcW w:w="20" w:type="dxa"/>
            <w:vAlign w:val="bottom"/>
            <w:shd w:val="clear" w:color="auto" w:fill="CCEEFF"/>
          </w:tcPr>
          <w:p>
            <w:pPr>
              <w:spacing w:after="0"/>
              <w:rPr>
                <w:sz w:val="12"/>
                <w:szCs w:val="12"/>
                <w:color w:val="auto"/>
              </w:rPr>
            </w:pPr>
          </w:p>
        </w:tc>
        <w:tc>
          <w:tcPr>
            <w:tcW w:w="136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6,107,034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6,200,000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Trinet HR Corporation (SOI Holdings, Inc.)</w:t>
            </w:r>
          </w:p>
        </w:tc>
        <w:tc>
          <w:tcPr>
            <w:tcW w:w="1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(d)</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5"/>
              </w:rPr>
              <w:t>First Lien Term Loan 5.00% Cash, 8/20/2020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4,987,500</w:t>
            </w:r>
          </w:p>
        </w:tc>
        <w:tc>
          <w:tcPr>
            <w:tcW w:w="20" w:type="dxa"/>
            <w:vAlign w:val="bottom"/>
            <w:shd w:val="clear" w:color="auto" w:fill="CCEEFF"/>
          </w:tcPr>
          <w:p>
            <w:pPr>
              <w:spacing w:after="0"/>
              <w:rPr>
                <w:sz w:val="12"/>
                <w:szCs w:val="12"/>
                <w:color w:val="auto"/>
              </w:rPr>
            </w:pPr>
          </w:p>
        </w:tc>
        <w:tc>
          <w:tcPr>
            <w:tcW w:w="136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4,941,335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5,018,921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Trinet HR Corporation (SOI Holdings, Inc.)</w:t>
            </w:r>
          </w:p>
        </w:tc>
        <w:tc>
          <w:tcPr>
            <w:tcW w:w="1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Second Lien Term Loan 8.75% Cash,</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(d)</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2/20/2021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c>
          <w:tcPr>
            <w:tcW w:w="20" w:type="dxa"/>
            <w:vAlign w:val="bottom"/>
            <w:shd w:val="clear" w:color="auto" w:fill="CCEEFF"/>
          </w:tcPr>
          <w:p>
            <w:pPr>
              <w:spacing w:after="0"/>
              <w:rPr>
                <w:sz w:val="12"/>
                <w:szCs w:val="12"/>
                <w:color w:val="auto"/>
              </w:rPr>
            </w:pPr>
          </w:p>
        </w:tc>
        <w:tc>
          <w:tcPr>
            <w:tcW w:w="136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2,453,145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2,518,750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Vector Controls Holding Co., LLC (d)</w:t>
            </w:r>
          </w:p>
        </w:tc>
        <w:tc>
          <w:tcPr>
            <w:tcW w:w="1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5"/>
              </w:rPr>
              <w:t>First Lien Term Loan, 14.00% (12.00% Cash,</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2.00% PIK), 3/6/2018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9,261,074</w:t>
            </w:r>
          </w:p>
        </w:tc>
        <w:tc>
          <w:tcPr>
            <w:tcW w:w="20" w:type="dxa"/>
            <w:vAlign w:val="bottom"/>
            <w:shd w:val="clear" w:color="auto" w:fill="CCEEFF"/>
          </w:tcPr>
          <w:p>
            <w:pPr>
              <w:spacing w:after="0"/>
              <w:rPr>
                <w:sz w:val="12"/>
                <w:szCs w:val="12"/>
                <w:color w:val="auto"/>
              </w:rPr>
            </w:pPr>
          </w:p>
        </w:tc>
        <w:tc>
          <w:tcPr>
            <w:tcW w:w="136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9,115,415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9,075,853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Vector Controls Holding Co., LLC (d, g)</w:t>
            </w:r>
          </w:p>
        </w:tc>
        <w:tc>
          <w:tcPr>
            <w:tcW w:w="1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5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Warrants to Purchase Limited Liability</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Company Interests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101</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136,217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Total Business Services</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55,827,024</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57,330,283</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49.8%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Targus Group International, Inc. (d)</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2"/>
              </w:rPr>
              <w:t>First Lien Term Loan 11.00% Cash, 5/24/2016</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3,738,369</w:t>
            </w: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3,704,766</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3,663,602</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 g)</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Common Stock</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62,413</w:t>
            </w: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566,765</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730,232</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Unsecured Note 10.00% PIK, 6/14/2019</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2,054,158</w:t>
            </w: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2,054,158</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1,387,848</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Unsecured Note 16.00% Cash, 10/26/2018</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384,577</w:t>
            </w: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379,471</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336,505</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Total Consumer Products</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6,705,160</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6,118,187</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Avionte Holdins, LLC</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Services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Common Stock</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100,000</w:t>
            </w: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100,000</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100,000</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Avionte Holdins, LLC</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Services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8"/>
              </w:rPr>
              <w:t>First Lien Term Loan 9.75% Cash, 1/8/2019</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2,940,000</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3,000,000</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CFF Acquisition L.L.C. (d)</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Services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5"/>
              </w:rPr>
              <w:t>First Lien Term Loan 7.50% Cash, 7/31/2015</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1,319,891</w:t>
            </w: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1,273,596</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1,319,891</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Expedited Travel L.L.C. (d)</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Services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2"/>
              </w:rPr>
              <w:t>First Lien Term Loan 9.00% Cash, 12/28/2017</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4,580,000</w:t>
            </w: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4,501,104</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4,580,000</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PrePaid Legal Services, Inc. (d)</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Services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8"/>
              </w:rPr>
              <w:t>First Lien Term Loan 6.25% Cash, 7/1/2019</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4,274,194</w:t>
            </w: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4,236,035</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4,247,694</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PrePaid Legal Services, Inc. (d)</w:t>
            </w:r>
          </w:p>
        </w:tc>
        <w:tc>
          <w:tcPr>
            <w:tcW w:w="1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Services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1"/>
              </w:rPr>
              <w:t>Second Lien Term Loan 9.75% Cash, 7/1/2020</w:t>
            </w:r>
          </w:p>
        </w:tc>
        <w:tc>
          <w:tcPr>
            <w:tcW w:w="3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5,000,000</w:t>
            </w:r>
          </w:p>
        </w:tc>
        <w:tc>
          <w:tcPr>
            <w:tcW w:w="20" w:type="dxa"/>
            <w:vAlign w:val="bottom"/>
            <w:shd w:val="clear" w:color="auto" w:fill="CCEEFF"/>
          </w:tcPr>
          <w:p>
            <w:pPr>
              <w:spacing w:after="0"/>
              <w:rPr>
                <w:sz w:val="11"/>
                <w:szCs w:val="11"/>
                <w:color w:val="auto"/>
              </w:rPr>
            </w:pPr>
          </w:p>
        </w:tc>
        <w:tc>
          <w:tcPr>
            <w:tcW w:w="1360" w:type="dxa"/>
            <w:vAlign w:val="bottom"/>
            <w:gridSpan w:val="6"/>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4,931,888</w:t>
            </w: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5,044,000</w:t>
            </w:r>
          </w:p>
        </w:tc>
        <w:tc>
          <w:tcPr>
            <w:tcW w:w="9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2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-8767445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-8767445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35" w:right="199" w:bottom="0" w:gutter="0" w:footer="0" w:header="0"/>
        </w:sectPr>
      </w:pPr>
    </w:p>
    <w:bookmarkStart w:id="60" w:name="page61"/>
    <w:bookmarkEnd w:id="60"/>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Total Consumer Services</w:t>
            </w:r>
          </w:p>
        </w:tc>
        <w:tc>
          <w:tcPr>
            <w:tcW w:w="5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17,982,623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18,291,585</w:t>
            </w: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M/C Acquisition Corp., L.L.C. (d, g)</w:t>
            </w:r>
          </w:p>
        </w:tc>
        <w:tc>
          <w:tcPr>
            <w:tcW w:w="13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Education</w:t>
            </w:r>
          </w:p>
        </w:tc>
        <w:tc>
          <w:tcPr>
            <w:tcW w:w="27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Class A Common Stock</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544,761</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30,241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M/C Acquisition Corp., L.L.C. (d)</w:t>
            </w:r>
          </w:p>
        </w:tc>
        <w:tc>
          <w:tcPr>
            <w:tcW w:w="13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Education</w:t>
            </w:r>
          </w:p>
        </w:tc>
        <w:tc>
          <w:tcPr>
            <w:tcW w:w="27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First Lien Term Loan 1.00% Cash, 3/13/14</w:t>
            </w:r>
          </w:p>
        </w:tc>
        <w:tc>
          <w:tcPr>
            <w:tcW w:w="54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2,512,184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1,358,250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90,128</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jc w:val="right"/>
              <w:ind w:right="76"/>
              <w:spacing w:after="0" w:line="135" w:lineRule="exact"/>
              <w:rPr>
                <w:sz w:val="20"/>
                <w:szCs w:val="20"/>
                <w:color w:val="auto"/>
              </w:rPr>
            </w:pPr>
            <w:r>
              <w:rPr>
                <w:rFonts w:ascii="Arial" w:cs="Arial" w:eastAsia="Arial" w:hAnsi="Arial"/>
                <w:sz w:val="13"/>
                <w:szCs w:val="13"/>
                <w:color w:val="auto"/>
              </w:rPr>
              <w:t>Total Education</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1,388,491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90,128</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Group Dekko, Inc. (d)</w:t>
            </w:r>
          </w:p>
        </w:tc>
        <w:tc>
          <w:tcPr>
            <w:tcW w:w="13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Electronics</w:t>
            </w:r>
          </w:p>
        </w:tc>
        <w:tc>
          <w:tcPr>
            <w:tcW w:w="276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rPr>
              <w:t>Second Lien Term Loan 11.00% (10.00%</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7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Cash/1.00% PIK), 5/1/2016</w:t>
            </w:r>
          </w:p>
        </w:tc>
        <w:tc>
          <w:tcPr>
            <w:tcW w:w="5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6,901,547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6,901,547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6,741,431</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Total Electronics</w:t>
            </w:r>
          </w:p>
        </w:tc>
        <w:tc>
          <w:tcPr>
            <w:tcW w:w="5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6,901,547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6,741,431</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60" w:type="dxa"/>
            <w:vAlign w:val="bottom"/>
          </w:tcPr>
          <w:p>
            <w:pPr>
              <w:ind w:left="1800"/>
              <w:spacing w:after="0"/>
              <w:rPr>
                <w:sz w:val="20"/>
                <w:szCs w:val="20"/>
                <w:color w:val="auto"/>
              </w:rPr>
            </w:pPr>
            <w:r>
              <w:rPr>
                <w:rFonts w:ascii="Arial" w:cs="Arial" w:eastAsia="Arial" w:hAnsi="Arial"/>
                <w:sz w:val="18"/>
                <w:szCs w:val="18"/>
                <w:color w:val="auto"/>
              </w:rPr>
              <w:t>F-5</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4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1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USS Parent Holding Corp. (d, g)</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Environmental</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Non Voting Common Stock</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765</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133,002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220,992</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USS Parent Holding Corp. (d, g)</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Environmental</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Voting Common Stock</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17,396</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3,025,798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5,027,574</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Total Environmental</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3,158,800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5,248,566</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DS Waters of America, Inc. (d)</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Food and Beverage</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5.25% Cash, 8/30/2020</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2,493,750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2,470,506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2,531,156</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HOA Restaurant Group, L.L.C. (d)</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Food and Beverage</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Senior Secured Note 11.25% Cash, 4/1/2017</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4,000,000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3,918,437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4,240,000</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TB Corp. (d)</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Food and Beverage</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5.75% Cash, 6/19/2018</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5,101,971</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5,082,013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5,127,481</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TB Corp. (d)</w:t>
            </w:r>
          </w:p>
        </w:tc>
        <w:tc>
          <w:tcPr>
            <w:tcW w:w="138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Food and Beverage</w:t>
            </w:r>
          </w:p>
        </w:tc>
        <w:tc>
          <w:tcPr>
            <w:tcW w:w="27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3"/>
              </w:rPr>
              <w:t>Unsecured Note 13.50% (12.00% Cash/1.50%</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PIK), 12/20/2018</w:t>
            </w:r>
          </w:p>
        </w:tc>
        <w:tc>
          <w:tcPr>
            <w:tcW w:w="5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2,543,154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2,513,130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2,555,870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TM Restaurant Group L.L.C. (d)</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Food and Beverage</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7.75% Cash, 7/16/2017</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2,845,690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2,831,271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2,831,462</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Total Food and Beverage</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16,815,357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17,285,969</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Bristol Hospice, LLC</w:t>
            </w:r>
          </w:p>
        </w:tc>
        <w:tc>
          <w:tcPr>
            <w:tcW w:w="138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Healthcare Services</w:t>
            </w:r>
          </w:p>
        </w:tc>
        <w:tc>
          <w:tcPr>
            <w:tcW w:w="27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Senior Secured Note 11.00%(10.00%</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Cash/1.00% PIK), 11/29/2018</w:t>
            </w:r>
          </w:p>
        </w:tc>
        <w:tc>
          <w:tcPr>
            <w:tcW w:w="5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5,509,782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5,405,325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5,509,782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Oceans Acquisition, Inc. (d)</w:t>
            </w:r>
          </w:p>
        </w:tc>
        <w:tc>
          <w:tcPr>
            <w:tcW w:w="138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Healthcare Services</w:t>
            </w:r>
          </w:p>
        </w:tc>
        <w:tc>
          <w:tcPr>
            <w:tcW w:w="27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First Lien Term A Loan 10.75% Cash,</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12/27/2017</w:t>
            </w:r>
          </w:p>
        </w:tc>
        <w:tc>
          <w:tcPr>
            <w:tcW w:w="5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6,373,113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6,273,020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6,373,113</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Oceans Acquisition, Inc. (d)</w:t>
            </w:r>
          </w:p>
        </w:tc>
        <w:tc>
          <w:tcPr>
            <w:tcW w:w="138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Healthcare Services</w:t>
            </w:r>
          </w:p>
        </w:tc>
        <w:tc>
          <w:tcPr>
            <w:tcW w:w="27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First Lien Term B Loan 10.75% Cash,</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12/27/2017</w:t>
            </w:r>
          </w:p>
        </w:tc>
        <w:tc>
          <w:tcPr>
            <w:tcW w:w="5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500,000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490,224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500,000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Smile Brands Group Inc. (d)</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Healthcare Services</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7.50% Cash, 8/16/2019</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4,488,750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4,406,559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4,488,750</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Surgical Specialties Corporation (US), Inc.</w:t>
            </w:r>
          </w:p>
        </w:tc>
        <w:tc>
          <w:tcPr>
            <w:tcW w:w="138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Healthcare Services</w:t>
            </w:r>
          </w:p>
        </w:tc>
        <w:tc>
          <w:tcPr>
            <w:tcW w:w="27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(d)</w:t>
            </w:r>
          </w:p>
        </w:tc>
        <w:tc>
          <w:tcPr>
            <w:tcW w:w="1380" w:type="dxa"/>
            <w:vAlign w:val="bottom"/>
            <w:shd w:val="clear" w:color="auto" w:fill="CCEEFF"/>
          </w:tcPr>
          <w:p>
            <w:pPr>
              <w:spacing w:after="0"/>
              <w:rPr>
                <w:sz w:val="12"/>
                <w:szCs w:val="12"/>
                <w:color w:val="auto"/>
              </w:rPr>
            </w:pPr>
          </w:p>
        </w:tc>
        <w:tc>
          <w:tcPr>
            <w:tcW w:w="276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6"/>
              </w:rPr>
              <w:t>First Lien Term Loan 7.25% Cash, 8/22/2018</w:t>
            </w:r>
          </w:p>
        </w:tc>
        <w:tc>
          <w:tcPr>
            <w:tcW w:w="5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2,437,500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2,415,591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2,449,688</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Zest Holdings, LLC (d)</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Healthcare Services</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6.50% Cash, 8/16/2020</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4,488,750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4,405,073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4,488,750</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Total Healthcare Services</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23,395,792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23,810,083</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McMillin Companies L.L.C. (d, g)</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Homebuilding</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Senior Secured Note 0% Cash, 12/31/2013</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550,000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558,434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344,355</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Total Homebuilding</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558,434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344,355</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Distribution International, Inc. (d)</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Manufacturing</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7.50% Cash, 7/16/2019</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5,970,000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5,916,094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5,970,000</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Total Manufacturing</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5,916,094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5,970,000</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Elyria Foundry Company, L.L.C. (d)</w:t>
            </w:r>
          </w:p>
        </w:tc>
        <w:tc>
          <w:tcPr>
            <w:tcW w:w="138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Metals</w:t>
            </w:r>
          </w:p>
        </w:tc>
        <w:tc>
          <w:tcPr>
            <w:tcW w:w="27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Senior Secured Note 17.00% (13.00%</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Cash/4.00% PIK), 9/14/2014</w:t>
            </w:r>
          </w:p>
        </w:tc>
        <w:tc>
          <w:tcPr>
            <w:tcW w:w="5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8,859,614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8,859,614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6,644,711</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Elyria Foundry Company, L.L.C. (d, g)</w:t>
            </w:r>
          </w:p>
        </w:tc>
        <w:tc>
          <w:tcPr>
            <w:tcW w:w="138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Metals</w:t>
            </w:r>
          </w:p>
        </w:tc>
        <w:tc>
          <w:tcPr>
            <w:tcW w:w="27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Warrants to Purchase Limited Liability</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Company Interests (2008)</w:t>
            </w:r>
          </w:p>
        </w:tc>
        <w:tc>
          <w:tcPr>
            <w:tcW w:w="5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7,000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Elyria Foundry Company, L.L.C. (d, g)</w:t>
            </w:r>
          </w:p>
        </w:tc>
        <w:tc>
          <w:tcPr>
            <w:tcW w:w="138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Metals</w:t>
            </w:r>
          </w:p>
        </w:tc>
        <w:tc>
          <w:tcPr>
            <w:tcW w:w="27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Warrants to Purchase Limited Liability</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Company Interests (2013)</w:t>
            </w:r>
          </w:p>
        </w:tc>
        <w:tc>
          <w:tcPr>
            <w:tcW w:w="5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18,227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Total Metals</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8,859,634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6,644,711</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Network Communications, Inc. (d, g)</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Publishing</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Stock</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380,572</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Network Communications, Inc. (d)</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Publishing</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Unsecured Notes 8.60% PIK, 1/14/2020</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2,601,736</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2,202,168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1,190,888</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Total Publishing</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2,202,168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1,190,888</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Community Investors, Inc. (d, g)</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Software</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Stock</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1,282</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1,282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1,449</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Community Investors, Inc. (d)</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Software</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9"/>
              </w:rPr>
              <w:t>First Lien Term Loan 9.75% Cash, 5/9/2018</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6,983,333</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6,863,915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6,983,333</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Community Investors, Inc. (d)</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Software</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Revolver</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166,667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Community Investors, Inc. (d, g)</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Software</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Stock</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135,584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135,584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153,210</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Pen-Link, Ltd.</w:t>
            </w:r>
          </w:p>
        </w:tc>
        <w:tc>
          <w:tcPr>
            <w:tcW w:w="138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Software</w:t>
            </w:r>
          </w:p>
        </w:tc>
        <w:tc>
          <w:tcPr>
            <w:tcW w:w="27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Second Lien Term Loan 12.50% Cash,</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5/26/2019</w:t>
            </w:r>
          </w:p>
        </w:tc>
        <w:tc>
          <w:tcPr>
            <w:tcW w:w="5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11,500,000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11,280,887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11,500,000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Total Software</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18,281,668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18,637,992</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Advanced Air &amp; Heat of Florida, LLC</w:t>
            </w:r>
          </w:p>
        </w:tc>
        <w:tc>
          <w:tcPr>
            <w:tcW w:w="13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Utilities</w:t>
            </w:r>
          </w:p>
        </w:tc>
        <w:tc>
          <w:tcPr>
            <w:tcW w:w="27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3"/>
              </w:rPr>
              <w:t>First Lien Term Loan 10.00% Cash, 1/31/2019</w:t>
            </w:r>
          </w:p>
        </w:tc>
        <w:tc>
          <w:tcPr>
            <w:tcW w:w="54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6,705,441</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6,606,457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6,705,441</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Total Utilities</w:t>
            </w: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6,606,457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6,705,441</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Sub Total Non-control/Non-affiliated</w:t>
            </w:r>
          </w:p>
        </w:tc>
        <w:tc>
          <w:tcPr>
            <w:tcW w:w="138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8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investments</w:t>
            </w:r>
          </w:p>
        </w:tc>
        <w:tc>
          <w:tcPr>
            <w:tcW w:w="138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9"/>
              </w:rPr>
              <w:t>185,266,607</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186,275,106</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Control investments - 17.0% (b)</w:t>
            </w: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3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1"/>
              </w:rPr>
              <w:t>Saratoga Investment Corp. CLO 2013-1, Ltd.</w:t>
            </w:r>
          </w:p>
        </w:tc>
        <w:tc>
          <w:tcPr>
            <w:tcW w:w="138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Structured Finance</w:t>
            </w:r>
          </w:p>
        </w:tc>
        <w:tc>
          <w:tcPr>
            <w:tcW w:w="27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6"/>
              </w:rPr>
              <w:t>Other/Structured Finance Securities 15.16%,</w:t>
            </w:r>
          </w:p>
        </w:tc>
        <w:tc>
          <w:tcPr>
            <w:tcW w:w="5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(d, e, f)</w:t>
            </w:r>
          </w:p>
        </w:tc>
        <w:tc>
          <w:tcPr>
            <w:tcW w:w="1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Securities</w:t>
            </w:r>
          </w:p>
        </w:tc>
        <w:tc>
          <w:tcPr>
            <w:tcW w:w="27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10/17/2023</w:t>
            </w:r>
          </w:p>
        </w:tc>
        <w:tc>
          <w:tcPr>
            <w:tcW w:w="5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30,000,000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16,555,808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19,569,596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 Total Control investments</w:t>
            </w: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16,555,808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19,569,596</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- 179.1% (b)</w:t>
            </w:r>
          </w:p>
        </w:tc>
        <w:tc>
          <w:tcPr>
            <w:tcW w:w="138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w w:val="99"/>
              </w:rPr>
              <w:t>201,822,415</w:t>
            </w:r>
          </w:p>
        </w:tc>
        <w:tc>
          <w:tcPr>
            <w:tcW w:w="32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205,844,702</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-8448675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-8448675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All of our equity and debt investments are issued by eligible portfolio companies, as defined in the Investment Company Act of 1940, except Saratoga Investment Corp. CLO 2013-1, Ltd.</w:t>
      </w:r>
    </w:p>
    <w:p>
      <w:pPr>
        <w:ind w:left="220" w:hanging="212"/>
        <w:spacing w:after="0" w:line="216" w:lineRule="auto"/>
        <w:tabs>
          <w:tab w:leader="none" w:pos="2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Percentages are based on net assets of $114,924,018 as of February 28, 2014.</w:t>
      </w:r>
    </w:p>
    <w:p>
      <w:pPr>
        <w:ind w:left="220" w:hanging="212"/>
        <w:spacing w:after="0"/>
        <w:tabs>
          <w:tab w:leader="none" w:pos="220" w:val="left"/>
        </w:tabs>
        <w:numPr>
          <w:ilvl w:val="0"/>
          <w:numId w:val="68"/>
        </w:numPr>
        <w:rPr>
          <w:rFonts w:ascii="Arial" w:cs="Arial" w:eastAsia="Arial" w:hAnsi="Arial"/>
          <w:sz w:val="11"/>
          <w:szCs w:val="11"/>
          <w:color w:val="auto"/>
        </w:rPr>
      </w:pPr>
      <w:r>
        <w:rPr>
          <w:rFonts w:ascii="Arial" w:cs="Arial" w:eastAsia="Arial" w:hAnsi="Arial"/>
          <w:sz w:val="11"/>
          <w:szCs w:val="11"/>
          <w:color w:val="auto"/>
        </w:rPr>
        <w:t>Because there is no readily available market value for these investments, the fair value of these investments is approved in good faith by our board of directors. (see Note 3 to the consolidated financial statements).</w:t>
      </w:r>
    </w:p>
    <w:p>
      <w:pPr>
        <w:spacing w:after="0" w:line="8" w:lineRule="exact"/>
        <w:rPr>
          <w:rFonts w:ascii="Arial" w:cs="Arial" w:eastAsia="Arial" w:hAnsi="Arial"/>
          <w:sz w:val="11"/>
          <w:szCs w:val="11"/>
          <w:color w:val="auto"/>
        </w:rPr>
      </w:pPr>
    </w:p>
    <w:p>
      <w:pPr>
        <w:ind w:left="220" w:hanging="212"/>
        <w:spacing w:after="0"/>
        <w:tabs>
          <w:tab w:leader="none" w:pos="2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These securities are pledged as collateral under a senior secured revolving credit facility (see Note 6 to the consolidated financial statements).</w:t>
      </w:r>
    </w:p>
    <w:p>
      <w:pPr>
        <w:sectPr>
          <w:pgSz w:w="11900" w:h="16881" w:orient="portrait"/>
          <w:cols w:equalWidth="0" w:num="1">
            <w:col w:w="11460"/>
          </w:cols>
          <w:pgMar w:left="240" w:top="125" w:right="199" w:bottom="0" w:gutter="0" w:footer="0" w:header="0"/>
        </w:sectPr>
      </w:pPr>
    </w:p>
    <w:bookmarkStart w:id="61" w:name="page62"/>
    <w:bookmarkEnd w:id="61"/>
    <w:p>
      <w:pPr>
        <w:spacing w:after="0" w:line="62"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15.16% represents the modeled effective interest rate that is expected to be earned over the life of the investment.</w:t>
      </w:r>
    </w:p>
    <w:p>
      <w:pPr>
        <w:ind w:right="60" w:firstLine="8"/>
        <w:spacing w:after="0" w:line="229" w:lineRule="auto"/>
        <w:tabs>
          <w:tab w:leader="none" w:pos="189" w:val="left"/>
        </w:tabs>
        <w:numPr>
          <w:ilvl w:val="0"/>
          <w:numId w:val="69"/>
        </w:numPr>
        <w:rPr>
          <w:rFonts w:ascii="Arial" w:cs="Arial" w:eastAsia="Arial" w:hAnsi="Arial"/>
          <w:sz w:val="13"/>
          <w:szCs w:val="13"/>
          <w:color w:val="auto"/>
        </w:rPr>
      </w:pPr>
      <w:r>
        <w:rPr>
          <w:rFonts w:ascii="Arial" w:cs="Arial" w:eastAsia="Arial" w:hAnsi="Arial"/>
          <w:sz w:val="13"/>
          <w:szCs w:val="13"/>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Management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Net Realized</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Net Unrealized</w:t>
            </w:r>
          </w:p>
        </w:tc>
      </w:tr>
      <w:tr>
        <w:trPr>
          <w:trHeight w:val="153"/>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Company</w:t>
            </w:r>
          </w:p>
        </w:tc>
        <w:tc>
          <w:tcPr>
            <w:tcW w:w="920" w:type="dxa"/>
            <w:vAlign w:val="bottom"/>
          </w:tcPr>
          <w:p>
            <w:pPr>
              <w:jc w:val="right"/>
              <w:ind w:right="25"/>
              <w:spacing w:after="0"/>
              <w:rPr>
                <w:sz w:val="20"/>
                <w:szCs w:val="20"/>
                <w:color w:val="auto"/>
              </w:rPr>
            </w:pPr>
            <w:r>
              <w:rPr>
                <w:rFonts w:ascii="Arial" w:cs="Arial" w:eastAsia="Arial" w:hAnsi="Arial"/>
                <w:sz w:val="13"/>
                <w:szCs w:val="13"/>
                <w:b w:val="1"/>
                <w:bCs w:val="1"/>
                <w:color w:val="auto"/>
              </w:rPr>
              <w:t>Purchases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Redemptions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Sales (cost)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Income</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fee income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gains/(losses)</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0"/>
              </w:rPr>
              <w:t>gains/(losses)</w:t>
            </w:r>
          </w:p>
        </w:tc>
      </w:tr>
      <w:tr>
        <w:trPr>
          <w:trHeight w:val="114"/>
        </w:trPr>
        <w:tc>
          <w:tcPr>
            <w:tcW w:w="17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1"/>
              </w:rPr>
              <w:t>Saratoga Investment Corp. CLO</w:t>
            </w:r>
          </w:p>
        </w:tc>
        <w:tc>
          <w:tcPr>
            <w:tcW w:w="2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49"/>
        </w:trPr>
        <w:tc>
          <w:tcPr>
            <w:tcW w:w="19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2013-1, Ltd.</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845"/>
              <w:spacing w:after="0"/>
              <w:rPr>
                <w:sz w:val="20"/>
                <w:szCs w:val="20"/>
                <w:color w:val="auto"/>
              </w:rPr>
            </w:pPr>
            <w:r>
              <w:rPr>
                <w:rFonts w:ascii="Arial" w:cs="Arial" w:eastAsia="Arial" w:hAnsi="Arial"/>
                <w:sz w:val="9"/>
                <w:szCs w:val="9"/>
                <w:color w:val="auto"/>
                <w:w w:val="78"/>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1180" w:type="dxa"/>
            <w:vAlign w:val="bottom"/>
            <w:gridSpan w:val="2"/>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3,410,868</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1,775,141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3,013,788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(g) Non-income producing at February 28, 2014.</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February 28,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Principal/</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Net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40" w:type="dxa"/>
            <w:vAlign w:val="bottom"/>
            <w:gridSpan w:val="4"/>
          </w:tcPr>
          <w:p>
            <w:pPr>
              <w:spacing w:after="0"/>
              <w:rPr>
                <w:sz w:val="20"/>
                <w:szCs w:val="20"/>
                <w:color w:val="auto"/>
              </w:rPr>
            </w:pPr>
            <w:r>
              <w:rPr>
                <w:rFonts w:ascii="Arial" w:cs="Arial" w:eastAsia="Arial" w:hAnsi="Arial"/>
                <w:sz w:val="13"/>
                <w:szCs w:val="13"/>
                <w:b w:val="1"/>
                <w:bCs w:val="1"/>
                <w:color w:val="auto"/>
              </w:rPr>
              <w:t>Company (a)</w:t>
            </w:r>
          </w:p>
        </w:tc>
        <w:tc>
          <w:tcPr>
            <w:tcW w:w="1240" w:type="dxa"/>
            <w:vAlign w:val="bottom"/>
          </w:tcPr>
          <w:p>
            <w:pPr>
              <w:ind w:left="380"/>
              <w:spacing w:after="0"/>
              <w:rPr>
                <w:sz w:val="20"/>
                <w:szCs w:val="20"/>
                <w:color w:val="auto"/>
              </w:rPr>
            </w:pPr>
            <w:r>
              <w:rPr>
                <w:rFonts w:ascii="Arial" w:cs="Arial" w:eastAsia="Arial" w:hAnsi="Arial"/>
                <w:sz w:val="13"/>
                <w:szCs w:val="13"/>
                <w:b w:val="1"/>
                <w:bCs w:val="1"/>
                <w:color w:val="auto"/>
              </w:rPr>
              <w:t>Industry</w:t>
            </w:r>
          </w:p>
        </w:tc>
        <w:tc>
          <w:tcPr>
            <w:tcW w:w="240" w:type="dxa"/>
            <w:vAlign w:val="bottom"/>
          </w:tcPr>
          <w:p>
            <w:pPr>
              <w:spacing w:after="0"/>
              <w:rPr>
                <w:sz w:val="13"/>
                <w:szCs w:val="13"/>
                <w:color w:val="auto"/>
              </w:rPr>
            </w:pPr>
          </w:p>
        </w:tc>
        <w:tc>
          <w:tcPr>
            <w:tcW w:w="25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Investment Interest Rate / Maturity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Number of Shares</w:t>
            </w: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3"/>
              </w:rPr>
              <w:t>Fair Value (c)</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9"/>
              </w:rPr>
              <w:t>Assets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Non-control/Non-affiliated investments -</w:t>
            </w:r>
          </w:p>
        </w:tc>
        <w:tc>
          <w:tcPr>
            <w:tcW w:w="1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3"/>
                <w:szCs w:val="13"/>
                <w:b w:val="1"/>
                <w:bCs w:val="1"/>
                <w:color w:val="auto"/>
              </w:rPr>
              <w:t>119.2% (b)</w:t>
            </w: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Coast Plating, Inc.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Aerospace</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3"/>
              </w:rPr>
              <w:t>First Lien Term Loan 11.70% Cash, 9/13/2014</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2,550,000</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2,550,000</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2,550,000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Coast Plating, Inc.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Aerospace</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3"/>
              </w:rPr>
              <w:t>First Lien Term Loan 13.20% Cash, 9/13/2014</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950,000</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950,000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Aerospace</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3,500,000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National Truck Protection Co., Inc. (d),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589</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500,000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591,827</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National Truck Protection Co., Inc.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5"/>
              </w:rPr>
              <w:t>First Lien Term Loan 15.50% Cash 8/10/2017</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5,500,000</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5,500,000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5,500,000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Take 5 Oil Change, L.L.C.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3"/>
              </w:rPr>
              <w:t>First Lien Term Loan 9.00% Cash, 11/28/2016</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6,000,000</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6,000,000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Take 5 Oil Change, L.L.C.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Automotive</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First Lien Term Loan 13.00% Cash,</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11/28/2016</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2,000,000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1,961,761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Take 5 Oil Change, L.L.C. (d),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7,128</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712,800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712,800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Automotive</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14,674,561</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14,804,627</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Legacy Cabinets Holdings (d),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Building Products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Stock Voting A-1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2,535</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220,900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Legacy Cabinets Holdings (d),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Building Products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Stock Voting B-1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1,600</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139,424</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Legacy Cabinets, Inc.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Building Products</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First Lien Term Loan 7.25% (1.00%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Cash/6.25% PIK), 5/3/2014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332,229</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332,229</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267,378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Building Products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692,553</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267,378</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Emily Street Enterprises, L.L.C.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Senior Secured Note 14.00% (13.00%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Cash/1.00% PIK), 12/28/2017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5,705,384</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5,595,317</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5,705,384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Emily Street Enterprises, L.L.C. (d),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Membership Interests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49,318</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400,000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399,969</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Dispensing Dynamics International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Senior Secured Note 12.50% Cash, 1/1/2018</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7,000,000</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6,860,186</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7,000,000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Knowland Technology Holdings, L.L.C.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First Lien Term Loan 11.00% Cash,</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11/29/2017</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6,200,000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6,082,248</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6,200,000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Sourcehov LLC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Second Lien Term Loan 10.50% Cash,</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4/29/2018</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3,000,000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2,648,298</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2,850,000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Business Services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21,586,049</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22,155,353</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C.H.I. Overhead Doors, Inc.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7.25% Cash, 8/17/2017</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4,974,747</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4,930,481</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5,024,495</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Targus Group International, Inc.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3"/>
              </w:rPr>
              <w:t>First Lien Term Loan 11.00% Cash, 5/24/2016</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3,940,003</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3,888,460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3,956,551</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Unsecured Note 10.00% PIK, 6/14/2019</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1,914,341</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1,914,341</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1,116,252</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Unsecured Note 16.00% Cash, 10/26/2018</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332,500</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326,320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305,334</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2"/>
          </w:tcPr>
          <w:p>
            <w:pPr>
              <w:jc w:val="right"/>
              <w:ind w:right="700"/>
              <w:spacing w:after="0"/>
              <w:rPr>
                <w:sz w:val="20"/>
                <w:szCs w:val="20"/>
                <w:color w:val="auto"/>
              </w:rPr>
            </w:pPr>
            <w:r>
              <w:rPr>
                <w:rFonts w:ascii="Arial" w:cs="Arial" w:eastAsia="Arial" w:hAnsi="Arial"/>
                <w:sz w:val="18"/>
                <w:szCs w:val="18"/>
                <w:color w:val="auto"/>
              </w:rPr>
              <w:t>F-7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260" w:type="dxa"/>
            <w:vAlign w:val="bottom"/>
            <w:tcBorders>
              <w:bottom w:val="single" w:sz="8" w:color="010101"/>
            </w:tcBorders>
            <w:gridSpan w:val="2"/>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5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Principal/</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Net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40" w:type="dxa"/>
            <w:vAlign w:val="bottom"/>
            <w:gridSpan w:val="4"/>
          </w:tcPr>
          <w:p>
            <w:pPr>
              <w:spacing w:after="0"/>
              <w:rPr>
                <w:sz w:val="20"/>
                <w:szCs w:val="20"/>
                <w:color w:val="auto"/>
              </w:rPr>
            </w:pPr>
            <w:r>
              <w:rPr>
                <w:rFonts w:ascii="Arial" w:cs="Arial" w:eastAsia="Arial" w:hAnsi="Arial"/>
                <w:sz w:val="13"/>
                <w:szCs w:val="13"/>
                <w:b w:val="1"/>
                <w:bCs w:val="1"/>
                <w:color w:val="auto"/>
              </w:rPr>
              <w:t>Company (a)</w:t>
            </w:r>
          </w:p>
        </w:tc>
        <w:tc>
          <w:tcPr>
            <w:tcW w:w="1240" w:type="dxa"/>
            <w:vAlign w:val="bottom"/>
          </w:tcPr>
          <w:p>
            <w:pPr>
              <w:ind w:left="380"/>
              <w:spacing w:after="0"/>
              <w:rPr>
                <w:sz w:val="20"/>
                <w:szCs w:val="20"/>
                <w:color w:val="auto"/>
              </w:rPr>
            </w:pPr>
            <w:r>
              <w:rPr>
                <w:rFonts w:ascii="Arial" w:cs="Arial" w:eastAsia="Arial" w:hAnsi="Arial"/>
                <w:sz w:val="13"/>
                <w:szCs w:val="13"/>
                <w:b w:val="1"/>
                <w:bCs w:val="1"/>
                <w:color w:val="auto"/>
              </w:rPr>
              <w:t>Industry</w:t>
            </w:r>
          </w:p>
        </w:tc>
        <w:tc>
          <w:tcPr>
            <w:tcW w:w="240" w:type="dxa"/>
            <w:vAlign w:val="bottom"/>
          </w:tcPr>
          <w:p>
            <w:pPr>
              <w:spacing w:after="0"/>
              <w:rPr>
                <w:sz w:val="13"/>
                <w:szCs w:val="13"/>
                <w:color w:val="auto"/>
              </w:rPr>
            </w:pPr>
          </w:p>
        </w:tc>
        <w:tc>
          <w:tcPr>
            <w:tcW w:w="25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Investment Interest Rate / Maturity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Number of Shares</w:t>
            </w: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3"/>
              </w:rPr>
              <w:t>Fair Value (c)</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9"/>
              </w:rPr>
              <w:t>Assets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62,413</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566,765</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3,324,741</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Consumer Products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11,626,367</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13,727,373</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CFF Acquisition L.L.C.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Services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7.50% Cash, 7/31/2015</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2,161,391</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2,032,060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2,154,475</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276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Expedited Travel L.L.C.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Consumer Services</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First Lien Term Loan 12.00% Cash,</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12/28/2017</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5,500,000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5,380,520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5,500,000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276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Consumer Services</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First Lien Term Loan 11.00% Cash,</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12/31/2016</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3,000,000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2,936,860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Consumer Services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10,349,440</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10,654,475</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M/C Acquisition Corp., L.L.C.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3"/>
              </w:rPr>
              <w:t>First Lien Term Loan 1.00% Cash, 12/31/2012</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2,740,780</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1,586,846</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291,893</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276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spacing w:after="0"/>
              <w:rPr>
                <w:sz w:val="11"/>
                <w:szCs w:val="11"/>
                <w:color w:val="auto"/>
              </w:rPr>
            </w:pPr>
          </w:p>
        </w:tc>
        <w:tc>
          <w:tcPr>
            <w:tcW w:w="7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M/C Acquisition Corp., L.L.C. (d),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Class A Common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544,761</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30,242</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Education</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1,617,088</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291,893</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-2550160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-2550160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Group Dekko, Inc. (d)</w:t>
            </w: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Electronics</w:t>
            </w: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Second Lien Term Loan 11.00% (10.00%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Cash/1.00% PIK), 5/1/2016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6,824,717</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6,824,717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6,720,981</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Electronics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6,824,717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6,720,981</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USS Parent Holding Corp. (d),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Environmental</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Non Voting Common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765</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133,002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125,981</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USS Parent Holding Corp. (d),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Environmental</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Voting Common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17,396</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3,025,798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2,866,065</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Environmental</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3,158,800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2,992,046</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DS Waters of America, Inc.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Food and Beverage</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3"/>
              </w:rPr>
              <w:t>First Lien Term Loan 10.50% Cash, 8/29/2017</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3,970,000</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3,994,704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4,049,400</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HOA Restaurant Group, L.L.C.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Food and Beverage</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Senior Secured Note 11.25% Cash, 4/1/2017</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4,000,000</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3,897,940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3,560,000</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TB Corp.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Food and Beverage</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5.81% Cash, 6/19/2018</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5,153,506</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5,128,662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5,140,622</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TB Corp.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Food and Beverage</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w w:val="93"/>
              </w:rPr>
              <w:t>Unsecured Note 13.50% (12.00% Cash/1.50%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PIK), 2/19/2017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2,504,585</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2,468,317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2,492,062</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TM Restaurant Group L.L.C.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Food and Beverage</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7.75% Cash, 7/17/2017</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2,962,500</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2,943,045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2,956,871</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Food and Beverage</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18,432,668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18,198,955</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Oceans Acquisition, Inc.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Healthcare Services</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First Lien Term Loan 10.75% Cash,</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12/27/2017</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7,500,000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7,351,433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7,500,000</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Maverick Healthcare Group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Healthcare Services</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First Lien Term Loan 10.75% Cash,</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12/31/2016</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4,900,000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4,835,389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4,900,000</w:t>
            </w: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Healthcare Services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12,186,822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12,400,000</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McMillin Companies L.L.C. (d),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Homebuilding</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Senior Secured Note 0% Cash, 12/31/2013</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550,000</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536,764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315,370</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Homebuilding</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536,764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315,370</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Capstone Logistics, L.L.C.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Logistics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7.50% Cash, 9/16/2016</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899,769</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889,798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908,766</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Capstone Logistics, L.L.C.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Logistics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3"/>
              </w:rPr>
              <w:t>First Lien Term Loan 13.50% Cash, 9/16/2016</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3,693,369</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3,652,443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3,767,236</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Worldwide Express Operations, L.L.C.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Logistics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w w:val="96"/>
              </w:rPr>
              <w:t>First Lien Term Loan 7.50% Cash, 6/30/2013</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6,527,979</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6,461,295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6,504,478</w:t>
            </w: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2"/>
          </w:tcPr>
          <w:p>
            <w:pPr>
              <w:jc w:val="right"/>
              <w:ind w:right="700"/>
              <w:spacing w:after="0"/>
              <w:rPr>
                <w:sz w:val="20"/>
                <w:szCs w:val="20"/>
                <w:color w:val="auto"/>
              </w:rPr>
            </w:pPr>
            <w:r>
              <w:rPr>
                <w:rFonts w:ascii="Arial" w:cs="Arial" w:eastAsia="Arial" w:hAnsi="Arial"/>
                <w:sz w:val="18"/>
                <w:szCs w:val="18"/>
                <w:color w:val="auto"/>
              </w:rPr>
              <w:t>F-8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5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Principal/</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Net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40" w:type="dxa"/>
            <w:vAlign w:val="bottom"/>
            <w:gridSpan w:val="4"/>
          </w:tcPr>
          <w:p>
            <w:pPr>
              <w:spacing w:after="0"/>
              <w:rPr>
                <w:sz w:val="20"/>
                <w:szCs w:val="20"/>
                <w:color w:val="auto"/>
              </w:rPr>
            </w:pPr>
            <w:r>
              <w:rPr>
                <w:rFonts w:ascii="Arial" w:cs="Arial" w:eastAsia="Arial" w:hAnsi="Arial"/>
                <w:sz w:val="13"/>
                <w:szCs w:val="13"/>
                <w:b w:val="1"/>
                <w:bCs w:val="1"/>
                <w:color w:val="auto"/>
              </w:rPr>
              <w:t>Company (a)</w:t>
            </w:r>
          </w:p>
        </w:tc>
        <w:tc>
          <w:tcPr>
            <w:tcW w:w="1240" w:type="dxa"/>
            <w:vAlign w:val="bottom"/>
          </w:tcPr>
          <w:p>
            <w:pPr>
              <w:ind w:left="380"/>
              <w:spacing w:after="0"/>
              <w:rPr>
                <w:sz w:val="20"/>
                <w:szCs w:val="20"/>
                <w:color w:val="auto"/>
              </w:rPr>
            </w:pPr>
            <w:r>
              <w:rPr>
                <w:rFonts w:ascii="Arial" w:cs="Arial" w:eastAsia="Arial" w:hAnsi="Arial"/>
                <w:sz w:val="13"/>
                <w:szCs w:val="13"/>
                <w:b w:val="1"/>
                <w:bCs w:val="1"/>
                <w:color w:val="auto"/>
              </w:rPr>
              <w:t>Industry</w:t>
            </w:r>
          </w:p>
        </w:tc>
        <w:tc>
          <w:tcPr>
            <w:tcW w:w="240" w:type="dxa"/>
            <w:vAlign w:val="bottom"/>
          </w:tcPr>
          <w:p>
            <w:pPr>
              <w:spacing w:after="0"/>
              <w:rPr>
                <w:sz w:val="13"/>
                <w:szCs w:val="13"/>
                <w:color w:val="auto"/>
              </w:rPr>
            </w:pPr>
          </w:p>
        </w:tc>
        <w:tc>
          <w:tcPr>
            <w:tcW w:w="25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Investment Interest Rate / Maturity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Number of Shares</w:t>
            </w:r>
          </w:p>
        </w:tc>
        <w:tc>
          <w:tcPr>
            <w:tcW w:w="160" w:type="dxa"/>
            <w:vAlign w:val="bottom"/>
          </w:tcPr>
          <w:p>
            <w:pPr>
              <w:spacing w:after="0"/>
              <w:rPr>
                <w:sz w:val="13"/>
                <w:szCs w:val="13"/>
                <w:color w:val="auto"/>
              </w:rPr>
            </w:pPr>
          </w:p>
        </w:tc>
        <w:tc>
          <w:tcPr>
            <w:tcW w:w="860" w:type="dxa"/>
            <w:vAlign w:val="bottom"/>
            <w:gridSpan w:val="3"/>
          </w:tcPr>
          <w:p>
            <w:pPr>
              <w:ind w:left="16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ind w:left="40"/>
              <w:spacing w:after="0"/>
              <w:rPr>
                <w:sz w:val="20"/>
                <w:szCs w:val="20"/>
                <w:color w:val="auto"/>
              </w:rPr>
            </w:pPr>
            <w:r>
              <w:rPr>
                <w:rFonts w:ascii="Arial" w:cs="Arial" w:eastAsia="Arial" w:hAnsi="Arial"/>
                <w:sz w:val="13"/>
                <w:szCs w:val="13"/>
                <w:b w:val="1"/>
                <w:bCs w:val="1"/>
                <w:color w:val="auto"/>
              </w:rPr>
              <w:t>Fair Value (c)</w:t>
            </w:r>
          </w:p>
        </w:tc>
        <w:tc>
          <w:tcPr>
            <w:tcW w:w="7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79"/>
              </w:rPr>
              <w:t>Assets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Logistics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11,003,536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11,180,480</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Elyria Foundry Company, L.L.C.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Metals</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Senior Secured Note 17.00% (13.00%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Cash/4.00% PIK), 3/1/2013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7,728,566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7,728,566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6,723,852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Elyria Foundry Company, L.L.C. (d), (h)</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Metals</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Warrants to Purchase Limited Liability</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Company Interests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3,000</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Metals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7,728,566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6,723,852</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Network Communications, Inc. (d)</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Publishing</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Unsecured Note 8.60% PIK, 1/14/2020</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2,500,198</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2,049,660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960,827</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Network Communications, Inc. (d),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Publishing</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Stock</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211,429</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Penton Media, Inc.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Publishing</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First Lien Term Loan 6.00% (4.00%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Cash/2.00% PIK), 8/1/2014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4,839,189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4,497,495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4,669,818</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Total Publishing</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6,547,155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5,630,645</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Sub Total Non-control/Non-affiliated</w:t>
            </w:r>
          </w:p>
        </w:tc>
        <w:tc>
          <w:tcPr>
            <w:tcW w:w="1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3"/>
                <w:szCs w:val="13"/>
                <w:b w:val="1"/>
                <w:bCs w:val="1"/>
                <w:color w:val="auto"/>
              </w:rPr>
              <w:t>investments</w:t>
            </w: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9"/>
              </w:rPr>
              <w:t>130,465,086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129,563,428</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Control investments - 23.5% (b)</w:t>
            </w: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GSC Partners CDO GP III, LP (g),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Financial Services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100% General Partnership Interest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GSC Investment Corp. CLO 2007 LTD. (d),</w:t>
            </w:r>
          </w:p>
        </w:tc>
        <w:tc>
          <w:tcPr>
            <w:tcW w:w="1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Structured Finance</w:t>
            </w:r>
          </w:p>
        </w:tc>
        <w:tc>
          <w:tcPr>
            <w:tcW w:w="276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w w:val="96"/>
              </w:rPr>
              <w:t>Other/Structured Finance Securities 23.06%,</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(e), (g)</w:t>
            </w: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Securities</w:t>
            </w:r>
          </w:p>
        </w:tc>
        <w:tc>
          <w:tcPr>
            <w:tcW w:w="26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1/21/2020</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30,000,000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18,944,966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25,516,959</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 Total Control investments</w:t>
            </w: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18,944,966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25,516,959</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Affiliate investments - 0.0% (b)</w:t>
            </w: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GSC Partners CDO GP III, LP (f), (h)</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Financial Services</w:t>
            </w:r>
          </w:p>
        </w:tc>
        <w:tc>
          <w:tcPr>
            <w:tcW w:w="27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6.24% Limited Partnership Interest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 Total Affiliate investments</w:t>
            </w: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- 142.7% (b)</w:t>
            </w: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w w:val="99"/>
              </w:rPr>
              <w:t>149,410,052</w:t>
            </w:r>
          </w:p>
        </w:tc>
        <w:tc>
          <w:tcPr>
            <w:tcW w:w="10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155,080,387</w:t>
            </w: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-4246245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-4246245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hanging="292"/>
        <w:spacing w:after="0"/>
        <w:tabs>
          <w:tab w:leader="none" w:pos="300" w:val="left"/>
        </w:tabs>
        <w:numPr>
          <w:ilvl w:val="0"/>
          <w:numId w:val="70"/>
        </w:numPr>
        <w:rPr>
          <w:rFonts w:ascii="Arial" w:cs="Arial" w:eastAsia="Arial" w:hAnsi="Arial"/>
          <w:sz w:val="11"/>
          <w:szCs w:val="11"/>
          <w:color w:val="auto"/>
        </w:rPr>
      </w:pPr>
      <w:r>
        <w:rPr>
          <w:rFonts w:ascii="Arial" w:cs="Arial" w:eastAsia="Arial" w:hAnsi="Arial"/>
          <w:sz w:val="11"/>
          <w:szCs w:val="11"/>
          <w:color w:val="auto"/>
        </w:rPr>
        <w:t>All of our equity and debt investments are issued by eligible portfolio companies, as defined in the Investment Company Act of 1940, except GSC Investment Corp. CLO 2007 Ltd. and GSC Partners CDO GP III, LP.</w:t>
      </w:r>
    </w:p>
    <w:p>
      <w:pPr>
        <w:spacing w:after="0" w:line="18" w:lineRule="exact"/>
        <w:rPr>
          <w:rFonts w:ascii="Arial" w:cs="Arial" w:eastAsia="Arial" w:hAnsi="Arial"/>
          <w:sz w:val="11"/>
          <w:szCs w:val="11"/>
          <w:color w:val="auto"/>
        </w:rPr>
      </w:pPr>
    </w:p>
    <w:p>
      <w:pPr>
        <w:ind w:left="300" w:hanging="292"/>
        <w:spacing w:after="0" w:line="216"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Percentages are based on net assets of $108,686,761 as of February 28, 2013.</w:t>
      </w:r>
    </w:p>
    <w:p>
      <w:pPr>
        <w:ind w:left="300" w:hanging="292"/>
        <w:spacing w:after="0"/>
        <w:tabs>
          <w:tab w:leader="none" w:pos="300" w:val="left"/>
        </w:tabs>
        <w:numPr>
          <w:ilvl w:val="0"/>
          <w:numId w:val="70"/>
        </w:numPr>
        <w:rPr>
          <w:rFonts w:ascii="Arial" w:cs="Arial" w:eastAsia="Arial" w:hAnsi="Arial"/>
          <w:sz w:val="11"/>
          <w:szCs w:val="11"/>
          <w:color w:val="auto"/>
        </w:rPr>
      </w:pPr>
      <w:r>
        <w:rPr>
          <w:rFonts w:ascii="Arial" w:cs="Arial" w:eastAsia="Arial" w:hAnsi="Arial"/>
          <w:sz w:val="11"/>
          <w:szCs w:val="11"/>
          <w:color w:val="auto"/>
        </w:rPr>
        <w:t>Because there is no readily available market value for these investments, the fair value of these investments is approved in good faith by our board of directors. (see Note 3 to the consolidated financial statements).</w:t>
      </w:r>
    </w:p>
    <w:p>
      <w:pPr>
        <w:spacing w:after="0" w:line="8" w:lineRule="exact"/>
        <w:rPr>
          <w:rFonts w:ascii="Arial" w:cs="Arial" w:eastAsia="Arial" w:hAnsi="Arial"/>
          <w:sz w:val="11"/>
          <w:szCs w:val="11"/>
          <w:color w:val="auto"/>
        </w:rPr>
      </w:pPr>
    </w:p>
    <w:p>
      <w:pPr>
        <w:ind w:left="300" w:hanging="292"/>
        <w:spacing w:after="0" w:line="216"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These securities are pledged as collateral under a senior secured revolving credit facility (see Note 6 to the consolidated financial statements).</w:t>
      </w:r>
    </w:p>
    <w:p>
      <w:pPr>
        <w:ind w:left="300" w:hanging="292"/>
        <w:spacing w:after="0" w:line="216" w:lineRule="auto"/>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23.06% represents the modeled effective interest rate that is expected to be earned over the life of the investment.</w:t>
      </w:r>
    </w:p>
    <w:p>
      <w:pPr>
        <w:ind w:left="300" w:right="120" w:hanging="292"/>
        <w:spacing w:after="0" w:line="229" w:lineRule="auto"/>
        <w:tabs>
          <w:tab w:leader="none" w:pos="303" w:val="left"/>
        </w:tabs>
        <w:numPr>
          <w:ilvl w:val="0"/>
          <w:numId w:val="70"/>
        </w:numPr>
        <w:rPr>
          <w:rFonts w:ascii="Arial" w:cs="Arial" w:eastAsia="Arial" w:hAnsi="Arial"/>
          <w:sz w:val="13"/>
          <w:szCs w:val="13"/>
          <w:color w:val="auto"/>
        </w:rPr>
      </w:pPr>
      <w:r>
        <w:rPr>
          <w:rFonts w:ascii="Arial" w:cs="Arial" w:eastAsia="Arial" w:hAnsi="Arial"/>
          <w:sz w:val="13"/>
          <w:szCs w:val="13"/>
          <w:color w:val="auto"/>
        </w:rPr>
        <w:t>As defined in the Investment Company Act, we are an “Affiliate” of this portfolio company because we own 5% or more of the portfolio company’s outstanding voting securities. Transactions during the period in which the issuer was an Affiliate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ind w:left="380"/>
              <w:spacing w:after="0"/>
              <w:rPr>
                <w:sz w:val="20"/>
                <w:szCs w:val="20"/>
                <w:color w:val="auto"/>
              </w:rPr>
            </w:pPr>
            <w:r>
              <w:rPr>
                <w:rFonts w:ascii="Arial" w:cs="Arial" w:eastAsia="Arial" w:hAnsi="Arial"/>
                <w:sz w:val="13"/>
                <w:szCs w:val="13"/>
                <w:b w:val="1"/>
                <w:bCs w:val="1"/>
                <w:color w:val="auto"/>
              </w:rPr>
              <w:t>Interest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122"/>
              <w:spacing w:after="0"/>
              <w:rPr>
                <w:sz w:val="20"/>
                <w:szCs w:val="20"/>
                <w:color w:val="auto"/>
              </w:rPr>
            </w:pPr>
            <w:r>
              <w:rPr>
                <w:rFonts w:ascii="Arial" w:cs="Arial" w:eastAsia="Arial" w:hAnsi="Arial"/>
                <w:sz w:val="13"/>
                <w:szCs w:val="13"/>
                <w:b w:val="1"/>
                <w:bCs w:val="1"/>
                <w:color w:val="auto"/>
                <w:w w:val="90"/>
              </w:rPr>
              <w:t>Management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ind w:left="220"/>
              <w:spacing w:after="0"/>
              <w:rPr>
                <w:sz w:val="20"/>
                <w:szCs w:val="20"/>
                <w:color w:val="auto"/>
              </w:rPr>
            </w:pPr>
            <w:r>
              <w:rPr>
                <w:rFonts w:ascii="Arial" w:cs="Arial" w:eastAsia="Arial" w:hAnsi="Arial"/>
                <w:sz w:val="13"/>
                <w:szCs w:val="13"/>
                <w:b w:val="1"/>
                <w:bCs w:val="1"/>
                <w:color w:val="auto"/>
                <w:w w:val="93"/>
              </w:rPr>
              <w:t>Net Realized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Net Unrealized</w:t>
            </w:r>
          </w:p>
        </w:tc>
      </w:tr>
      <w:tr>
        <w:trPr>
          <w:trHeight w:val="153"/>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Company</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b w:val="1"/>
                <w:bCs w:val="1"/>
                <w:color w:val="auto"/>
              </w:rPr>
              <w:t>Purchases</w:t>
            </w:r>
          </w:p>
        </w:tc>
        <w:tc>
          <w:tcPr>
            <w:tcW w:w="14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3"/>
                <w:szCs w:val="13"/>
                <w:b w:val="1"/>
                <w:bCs w:val="1"/>
                <w:color w:val="auto"/>
              </w:rPr>
              <w:t>Redemptions</w:t>
            </w:r>
          </w:p>
        </w:tc>
        <w:tc>
          <w:tcPr>
            <w:tcW w:w="220" w:type="dxa"/>
            <w:vAlign w:val="bottom"/>
          </w:tcPr>
          <w:p>
            <w:pPr>
              <w:spacing w:after="0"/>
              <w:rPr>
                <w:sz w:val="13"/>
                <w:szCs w:val="1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Sales (cost)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ind w:left="380"/>
              <w:spacing w:after="0"/>
              <w:rPr>
                <w:sz w:val="20"/>
                <w:szCs w:val="20"/>
                <w:color w:val="auto"/>
              </w:rPr>
            </w:pPr>
            <w:r>
              <w:rPr>
                <w:rFonts w:ascii="Arial" w:cs="Arial" w:eastAsia="Arial" w:hAnsi="Arial"/>
                <w:sz w:val="13"/>
                <w:szCs w:val="13"/>
                <w:b w:val="1"/>
                <w:bCs w:val="1"/>
                <w:color w:val="auto"/>
              </w:rPr>
              <w:t>Income</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left="122"/>
              <w:spacing w:after="0"/>
              <w:rPr>
                <w:sz w:val="20"/>
                <w:szCs w:val="20"/>
                <w:color w:val="auto"/>
              </w:rPr>
            </w:pPr>
            <w:r>
              <w:rPr>
                <w:rFonts w:ascii="Arial" w:cs="Arial" w:eastAsia="Arial" w:hAnsi="Arial"/>
                <w:sz w:val="13"/>
                <w:szCs w:val="13"/>
                <w:b w:val="1"/>
                <w:bCs w:val="1"/>
                <w:color w:val="auto"/>
                <w:w w:val="82"/>
              </w:rPr>
              <w:t>fee income</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ind w:left="220"/>
              <w:spacing w:after="0"/>
              <w:rPr>
                <w:sz w:val="20"/>
                <w:szCs w:val="20"/>
                <w:color w:val="auto"/>
              </w:rPr>
            </w:pPr>
            <w:r>
              <w:rPr>
                <w:rFonts w:ascii="Arial" w:cs="Arial" w:eastAsia="Arial" w:hAnsi="Arial"/>
                <w:sz w:val="13"/>
                <w:szCs w:val="13"/>
                <w:b w:val="1"/>
                <w:bCs w:val="1"/>
                <w:color w:val="auto"/>
                <w:w w:val="82"/>
              </w:rPr>
              <w:t>gains/(losses)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0"/>
              </w:rPr>
              <w:t>gains/(losses)</w:t>
            </w:r>
          </w:p>
        </w:tc>
      </w:tr>
      <w:tr>
        <w:trPr>
          <w:trHeight w:val="129"/>
        </w:trPr>
        <w:tc>
          <w:tcPr>
            <w:tcW w:w="17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98"/>
              </w:rPr>
              <w:t>GSC Partners CDO GP III, LP</w:t>
            </w: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tcBorders>
            <w:shd w:val="clear" w:color="auto" w:fill="CCEEFF"/>
          </w:tcPr>
          <w:p>
            <w:pPr>
              <w:ind w:left="840"/>
              <w:spacing w:after="0" w:line="129" w:lineRule="exact"/>
              <w:rPr>
                <w:sz w:val="20"/>
                <w:szCs w:val="20"/>
                <w:color w:val="auto"/>
              </w:rPr>
            </w:pPr>
            <w:r>
              <w:rPr>
                <w:rFonts w:ascii="Arial" w:cs="Arial" w:eastAsia="Arial" w:hAnsi="Arial"/>
                <w:sz w:val="13"/>
                <w:szCs w:val="13"/>
                <w:color w:val="auto"/>
                <w:w w:val="76"/>
              </w:rPr>
              <w:t>—</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00" w:type="dxa"/>
            <w:vAlign w:val="bottom"/>
            <w:tcBorders>
              <w:top w:val="single" w:sz="8" w:color="auto"/>
            </w:tcBorders>
            <w:shd w:val="clear" w:color="auto" w:fill="CCEEFF"/>
          </w:tcPr>
          <w:p>
            <w:pPr>
              <w:ind w:left="880"/>
              <w:spacing w:after="0" w:line="129" w:lineRule="exact"/>
              <w:rPr>
                <w:sz w:val="20"/>
                <w:szCs w:val="20"/>
                <w:color w:val="auto"/>
              </w:rPr>
            </w:pPr>
            <w:r>
              <w:rPr>
                <w:rFonts w:ascii="Arial" w:cs="Arial" w:eastAsia="Arial" w:hAnsi="Arial"/>
                <w:sz w:val="13"/>
                <w:szCs w:val="13"/>
                <w:color w:val="auto"/>
                <w:w w:val="76"/>
              </w:rPr>
              <w:t>—</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817"/>
              <w:spacing w:after="0" w:line="129"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tcBorders>
            <w:shd w:val="clear" w:color="auto" w:fill="CCEEFF"/>
          </w:tcPr>
          <w:p>
            <w:pPr>
              <w:ind w:left="120"/>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ind w:right="862"/>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842"/>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ind w:left="880"/>
              <w:spacing w:after="0" w:line="129"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tcBorders>
            <w:shd w:val="clear" w:color="auto" w:fill="CCEEFF"/>
          </w:tcPr>
          <w:p>
            <w:pPr>
              <w:spacing w:after="0"/>
              <w:rPr>
                <w:sz w:val="11"/>
                <w:szCs w:val="11"/>
                <w:color w:val="auto"/>
              </w:rPr>
            </w:pPr>
          </w:p>
        </w:tc>
      </w:tr>
    </w:tbl>
    <w:p>
      <w:pPr>
        <w:spacing w:after="0" w:line="202" w:lineRule="exact"/>
        <w:rPr>
          <w:sz w:val="20"/>
          <w:szCs w:val="20"/>
          <w:color w:val="auto"/>
        </w:rPr>
      </w:pPr>
    </w:p>
    <w:p>
      <w:pPr>
        <w:ind w:left="300" w:right="320" w:hanging="292"/>
        <w:spacing w:after="0" w:line="237" w:lineRule="auto"/>
        <w:tabs>
          <w:tab w:leader="none" w:pos="27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2"/>
                <w:szCs w:val="12"/>
                <w:color w:val="auto"/>
              </w:rPr>
            </w:pPr>
          </w:p>
        </w:tc>
        <w:tc>
          <w:tcPr>
            <w:tcW w:w="1020" w:type="dxa"/>
            <w:vAlign w:val="bottom"/>
          </w:tcPr>
          <w:p>
            <w:pPr>
              <w:jc w:val="right"/>
              <w:ind w:right="157"/>
              <w:spacing w:after="0"/>
              <w:rPr>
                <w:sz w:val="20"/>
                <w:szCs w:val="20"/>
                <w:color w:val="auto"/>
              </w:rPr>
            </w:pPr>
            <w:r>
              <w:rPr>
                <w:rFonts w:ascii="Arial" w:cs="Arial" w:eastAsia="Arial" w:hAnsi="Arial"/>
                <w:sz w:val="13"/>
                <w:szCs w:val="13"/>
                <w:b w:val="1"/>
                <w:bCs w:val="1"/>
                <w:color w:val="auto"/>
                <w:w w:val="98"/>
              </w:rPr>
              <w:t>Management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Net Realized</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Net Unrealized</w:t>
            </w:r>
          </w:p>
        </w:tc>
      </w:tr>
      <w:tr>
        <w:trPr>
          <w:trHeight w:val="153"/>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Company</w:t>
            </w:r>
          </w:p>
        </w:tc>
        <w:tc>
          <w:tcPr>
            <w:tcW w:w="920" w:type="dxa"/>
            <w:vAlign w:val="bottom"/>
          </w:tcPr>
          <w:p>
            <w:pPr>
              <w:jc w:val="right"/>
              <w:ind w:right="27"/>
              <w:spacing w:after="0"/>
              <w:rPr>
                <w:sz w:val="20"/>
                <w:szCs w:val="20"/>
                <w:color w:val="auto"/>
              </w:rPr>
            </w:pPr>
            <w:r>
              <w:rPr>
                <w:rFonts w:ascii="Arial" w:cs="Arial" w:eastAsia="Arial" w:hAnsi="Arial"/>
                <w:sz w:val="13"/>
                <w:szCs w:val="13"/>
                <w:b w:val="1"/>
                <w:bCs w:val="1"/>
                <w:color w:val="auto"/>
              </w:rPr>
              <w:t>Purchases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Redemptions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Sales (cost)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Income</w:t>
            </w:r>
          </w:p>
        </w:tc>
        <w:tc>
          <w:tcPr>
            <w:tcW w:w="140" w:type="dxa"/>
            <w:vAlign w:val="bottom"/>
          </w:tcPr>
          <w:p>
            <w:pPr>
              <w:spacing w:after="0"/>
              <w:rPr>
                <w:sz w:val="13"/>
                <w:szCs w:val="13"/>
                <w:color w:val="auto"/>
              </w:rPr>
            </w:pPr>
          </w:p>
        </w:tc>
        <w:tc>
          <w:tcPr>
            <w:tcW w:w="1020" w:type="dxa"/>
            <w:vAlign w:val="bottom"/>
          </w:tcPr>
          <w:p>
            <w:pPr>
              <w:jc w:val="right"/>
              <w:ind w:right="237"/>
              <w:spacing w:after="0"/>
              <w:rPr>
                <w:sz w:val="20"/>
                <w:szCs w:val="20"/>
                <w:color w:val="auto"/>
              </w:rPr>
            </w:pPr>
            <w:r>
              <w:rPr>
                <w:rFonts w:ascii="Arial" w:cs="Arial" w:eastAsia="Arial" w:hAnsi="Arial"/>
                <w:sz w:val="13"/>
                <w:szCs w:val="13"/>
                <w:b w:val="1"/>
                <w:bCs w:val="1"/>
                <w:color w:val="auto"/>
              </w:rPr>
              <w:t>fee income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gains/(losses)</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0"/>
              </w:rPr>
              <w:t>gains/(losses)</w:t>
            </w:r>
          </w:p>
        </w:tc>
      </w:tr>
      <w:tr>
        <w:trPr>
          <w:trHeight w:val="114"/>
        </w:trPr>
        <w:tc>
          <w:tcPr>
            <w:tcW w:w="172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GSC Investment Corp. CLO</w:t>
            </w:r>
          </w:p>
        </w:tc>
        <w:tc>
          <w:tcPr>
            <w:tcW w:w="2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49"/>
        </w:trPr>
        <w:tc>
          <w:tcPr>
            <w:tcW w:w="19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2007 LTD.</w:t>
            </w: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847"/>
              <w:spacing w:after="0"/>
              <w:rPr>
                <w:sz w:val="20"/>
                <w:szCs w:val="20"/>
                <w:color w:val="auto"/>
              </w:rPr>
            </w:pPr>
            <w:r>
              <w:rPr>
                <w:rFonts w:ascii="Arial" w:cs="Arial" w:eastAsia="Arial" w:hAnsi="Arial"/>
                <w:sz w:val="9"/>
                <w:szCs w:val="9"/>
                <w:color w:val="auto"/>
                <w:w w:val="78"/>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1180" w:type="dxa"/>
            <w:vAlign w:val="bottom"/>
            <w:gridSpan w:val="2"/>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4,205,509</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2,000,072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6,571,992</w:t>
            </w:r>
          </w:p>
        </w:tc>
      </w:tr>
      <w:tr>
        <w:trPr>
          <w:trHeight w:val="160"/>
        </w:trPr>
        <w:tc>
          <w:tcPr>
            <w:tcW w:w="1960" w:type="dxa"/>
            <w:vAlign w:val="bottom"/>
            <w:gridSpan w:val="2"/>
          </w:tcPr>
          <w:p>
            <w:pPr>
              <w:spacing w:after="0"/>
              <w:rPr>
                <w:sz w:val="20"/>
                <w:szCs w:val="20"/>
                <w:color w:val="auto"/>
              </w:rPr>
            </w:pPr>
            <w:r>
              <w:rPr>
                <w:rFonts w:ascii="Arial" w:cs="Arial" w:eastAsia="Arial" w:hAnsi="Arial"/>
                <w:sz w:val="13"/>
                <w:szCs w:val="13"/>
                <w:color w:val="auto"/>
              </w:rPr>
              <w:t>GSC Partners CDO GP III, LP</w:t>
            </w:r>
          </w:p>
        </w:tc>
        <w:tc>
          <w:tcPr>
            <w:tcW w:w="920" w:type="dxa"/>
            <w:vAlign w:val="bottom"/>
          </w:tcPr>
          <w:p>
            <w:pPr>
              <w:jc w:val="right"/>
              <w:ind w:right="807"/>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847"/>
              <w:spacing w:after="0"/>
              <w:rPr>
                <w:sz w:val="20"/>
                <w:szCs w:val="20"/>
                <w:color w:val="auto"/>
              </w:rPr>
            </w:pPr>
            <w:r>
              <w:rPr>
                <w:rFonts w:ascii="Arial" w:cs="Arial" w:eastAsia="Arial" w:hAnsi="Arial"/>
                <w:sz w:val="9"/>
                <w:szCs w:val="9"/>
                <w:color w:val="auto"/>
                <w:w w:val="78"/>
              </w:rPr>
              <w:t>$</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1180" w:type="dxa"/>
            <w:vAlign w:val="bottom"/>
            <w:gridSpan w:val="2"/>
          </w:tcPr>
          <w:p>
            <w:pPr>
              <w:jc w:val="right"/>
              <w:ind w:right="817"/>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p>
    <w:p>
      <w:pPr>
        <w:sectPr>
          <w:pgSz w:w="11900" w:h="16838" w:orient="portrait"/>
          <w:cols w:equalWidth="0" w:num="1">
            <w:col w:w="11460"/>
          </w:cols>
          <w:pgMar w:left="240" w:top="246" w:right="199" w:bottom="0" w:gutter="0" w:footer="0" w:header="0"/>
        </w:sectPr>
      </w:pPr>
    </w:p>
    <w:bookmarkStart w:id="63" w:name="page64"/>
    <w:bookmarkEnd w:id="63"/>
    <w:p>
      <w:pPr>
        <w:spacing w:after="0" w:line="62"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color w:val="auto"/>
        </w:rPr>
        <w:t>(h)</w:t>
      </w:r>
      <w:r>
        <w:rPr>
          <w:sz w:val="20"/>
          <w:szCs w:val="20"/>
          <w:color w:val="auto"/>
        </w:rPr>
        <w:tab/>
      </w:r>
      <w:r>
        <w:rPr>
          <w:rFonts w:ascii="Arial" w:cs="Arial" w:eastAsia="Arial" w:hAnsi="Arial"/>
          <w:sz w:val="11"/>
          <w:szCs w:val="11"/>
          <w:color w:val="auto"/>
        </w:rPr>
        <w:t>Non-income producing at February 28, 2013.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For the year ended</w:t>
            </w:r>
          </w:p>
        </w:tc>
        <w:tc>
          <w:tcPr>
            <w:tcW w:w="180" w:type="dxa"/>
            <w:vAlign w:val="bottom"/>
          </w:tcPr>
          <w:p>
            <w:pPr>
              <w:spacing w:after="0"/>
              <w:rPr>
                <w:sz w:val="14"/>
                <w:szCs w:val="14"/>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For the year ended</w:t>
            </w: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For the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February 28, 2014</w:t>
            </w:r>
          </w:p>
        </w:tc>
        <w:tc>
          <w:tcPr>
            <w:tcW w:w="180" w:type="dxa"/>
            <w:vAlign w:val="bottom"/>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February 28, 2013</w:t>
            </w:r>
          </w:p>
        </w:tc>
        <w:tc>
          <w:tcPr>
            <w:tcW w:w="18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February 29,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INCREASE FROM OPERATIONS: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9,121,648</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7,027,566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5,700,861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gain (loss) from investments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561,700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realized loss from derivatives</w:t>
            </w: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(131,000)</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(1,648,046)</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7,012,726</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19,776,469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unrealized appreciation (depreciation) on derivatives</w:t>
            </w: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130,925</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(16,190)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increase in net assets from operations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8,744,367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14,601,917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13,275,143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line="196" w:lineRule="exact"/>
              <w:rPr>
                <w:sz w:val="20"/>
                <w:szCs w:val="20"/>
                <w:color w:val="auto"/>
              </w:rPr>
            </w:pPr>
            <w:r>
              <w:rPr>
                <w:rFonts w:ascii="Arial" w:cs="Arial" w:eastAsia="Arial" w:hAnsi="Arial"/>
                <w:sz w:val="18"/>
                <w:szCs w:val="18"/>
                <w:color w:val="auto"/>
              </w:rPr>
              <w:t>DECREASE FROM SHAREHOLDER DISTRIBUTIONS: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declared</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(12,534,807)</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(16,475,809)</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(9,831,231)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decrease in net assets from shareholder distributions</w:t>
            </w: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(12,534,807)</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(16,475,809)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(9,831,231)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CAPITAL SHARE TRANSACTIONS: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Stock dividend distribution</w:t>
            </w: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10,027,697</w:t>
            </w: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13,180,503</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7,864,784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increase in net assets from capital share transactions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10,027,697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13,180,503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7,864,784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in net 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6,237,257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11,306,611</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108,686,761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97,380,150</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86,071,454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114,924,018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108,686,761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97,380,150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5,379,616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4,730,116</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3,876,661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Distribution in excess of net investment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(29,627,578)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(24,522,951)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(13,920,068)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For the year ended</w:t>
            </w:r>
          </w:p>
        </w:tc>
        <w:tc>
          <w:tcPr>
            <w:tcW w:w="180" w:type="dxa"/>
            <w:vAlign w:val="bottom"/>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For the year ended</w:t>
            </w:r>
          </w:p>
        </w:tc>
        <w:tc>
          <w:tcPr>
            <w:tcW w:w="18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For the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February 28, 2014</w:t>
            </w:r>
          </w:p>
        </w:tc>
        <w:tc>
          <w:tcPr>
            <w:tcW w:w="180" w:type="dxa"/>
            <w:vAlign w:val="bottom"/>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February 28, 2013</w:t>
            </w:r>
          </w:p>
        </w:tc>
        <w:tc>
          <w:tcPr>
            <w:tcW w:w="18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February 29,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8,744,367</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14,601,917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13,275,143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IN NET ASSETS</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OPERATIONS TO NET CASH USED BY OPERATING</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Paid-in-kind interest income</w:t>
            </w: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(1,007,494)</w:t>
            </w:r>
          </w:p>
        </w:tc>
        <w:tc>
          <w:tcPr>
            <w:tcW w:w="1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(1,062,687)</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(1,442,004)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(666,849)</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(975,475)</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903,289</w:t>
            </w: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482,306</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674,724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 from investments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(1,270,765)</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(561,700)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Net realized loss from derivatives</w:t>
            </w: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131,000</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1,648,046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(7,012,726)</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(19,776,469)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Net unrealized (appreciation) depreciation on derivatives</w:t>
            </w: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(130,925)</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and redemption of investments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71,606,736</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21,487,698</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33,568,147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(121,073,990)</w:t>
            </w:r>
          </w:p>
        </w:tc>
        <w:tc>
          <w:tcPr>
            <w:tcW w:w="1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(71,595,649)</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(38,678,936)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operating assets: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Cash and cash equivalents, reserve accounts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8,793,029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13,448,053</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(21,164,208)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317,505</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(1,199,954)</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Management fee receivable</w:t>
            </w: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65,747</w:t>
            </w: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11,728</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68,946</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11,416</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Receivable from unsettled trades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1,817,074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(1,757,563)</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(59,511)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operating liabilities: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Payable for unsettled trades</w:t>
            </w: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(4,072,500)</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(827,500)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 and incentive fees payable</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(652,360)</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1,623,652</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389,530</w:t>
            </w:r>
          </w:p>
        </w:tc>
        <w:tc>
          <w:tcPr>
            <w:tcW w:w="18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(269,911)</w:t>
            </w:r>
          </w:p>
        </w:tc>
        <w:tc>
          <w:tcPr>
            <w:tcW w:w="18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(80,537)</w:t>
            </w: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and credit facility fees payable</w:t>
            </w: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615,339</w:t>
            </w: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204,534</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Due to manager</w:t>
            </w:r>
          </w:p>
        </w:tc>
        <w:tc>
          <w:tcPr>
            <w:tcW w:w="4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175,641</w:t>
            </w:r>
          </w:p>
        </w:tc>
        <w:tc>
          <w:tcPr>
            <w:tcW w:w="4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(171,581)</w:t>
            </w:r>
          </w:p>
        </w:tc>
        <w:tc>
          <w:tcPr>
            <w:tcW w:w="4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154,094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BY OPERATING ACTIVITIES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(29,526,209)</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(36,808,367)</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(22,708,164)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Borrowings on debt</w:t>
            </w:r>
          </w:p>
        </w:tc>
        <w:tc>
          <w:tcPr>
            <w:tcW w:w="4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18,000,000</w:t>
            </w:r>
          </w:p>
        </w:tc>
        <w:tc>
          <w:tcPr>
            <w:tcW w:w="4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55,550,000</w:t>
            </w:r>
          </w:p>
        </w:tc>
        <w:tc>
          <w:tcPr>
            <w:tcW w:w="4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Paydowns on debt</w:t>
            </w: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(28,300,000)</w:t>
            </w: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(15,250,000)</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Issuance of notes</w:t>
            </w:r>
          </w:p>
        </w:tc>
        <w:tc>
          <w:tcPr>
            <w:tcW w:w="4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48,300,000</w:t>
            </w:r>
          </w:p>
        </w:tc>
        <w:tc>
          <w:tcPr>
            <w:tcW w:w="4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Debt financing cost</w:t>
            </w: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(2,821,806)</w:t>
            </w: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(1,373,000)</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Payments of cash dividends</w:t>
            </w:r>
          </w:p>
        </w:tc>
        <w:tc>
          <w:tcPr>
            <w:tcW w:w="4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(2,507,112)</w:t>
            </w:r>
          </w:p>
        </w:tc>
        <w:tc>
          <w:tcPr>
            <w:tcW w:w="4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(3,295,306)</w:t>
            </w:r>
          </w:p>
        </w:tc>
        <w:tc>
          <w:tcPr>
            <w:tcW w:w="4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(1,966,447)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32,671,082</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35,631,694</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13,298,107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CASH AND CASH</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3,144,873</w:t>
            </w: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(1,176,673)</w:t>
            </w:r>
          </w:p>
        </w:tc>
        <w:tc>
          <w:tcPr>
            <w:tcW w:w="4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149,025</w:t>
            </w:r>
          </w:p>
        </w:tc>
        <w:tc>
          <w:tcPr>
            <w:tcW w:w="4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1,325,698</w:t>
            </w:r>
          </w:p>
        </w:tc>
        <w:tc>
          <w:tcPr>
            <w:tcW w:w="4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10,735,755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3,293,898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1,325,698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4,565,262</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1,853,573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637,791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Supplemental non-cash information:</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Paid-in-kind interest income</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1,007,494</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1,062,687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accretion of discount on investments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666,849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975,475</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1,191,822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credit facility financing costs</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903,289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482,306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Stock dividend distribution</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10,027,697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13,180,503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7,864,784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We commenced operations on March 23, 2007 as GSC Investment Corp. and completed our initial public offering (“IPO”) on March 28, 2007. We have elected to be treated as a regulated investment company (“RIC”) under subchapter M of the Internal Revenue Code (the “Code”). We expect to continue to qualify and to elect to be treated for tax purposes as a RIC. Our investment objective is to generate current income and, to a lesser extent, capital appreciation from our investments.</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On July 30, 2010, the Company changed its name from “GSC Investment Corp.” to “Saratoga Investment Corp.” in conjunction with the transaction described in “Note 14. Recapitalization Transaction” below.</w:t>
      </w:r>
    </w:p>
    <w:p>
      <w:pPr>
        <w:spacing w:after="0" w:line="170"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We are externally managed and advised by our investment adviser, Saratoga Investment Advisors, LLC (the “Manager”), pursuant to the Management Agreement. Prior to July 30, 2010, we were managed and advised by GSCP (NJ), L.P.</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accompanying consolidated financial statements have been prepared on the accrual basis of accounting in conformity with U.S. generally accepted accounting principles (“U.S. GAAP”) and include the accounts of the Company and its special purpose financing subsidiary, Saratoga Investment Funding, LLC (previously known as GSC Investment Funding LLC). All intercompany accounts and transactions have been eliminated in consolidation. All references made to the “Company,” “we,” and “us” herein include Saratoga Investment Corp. and its consolidated subsidiary, except as stated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ectPr>
          <w:pgSz w:w="11900" w:h="16838" w:orient="portrait"/>
          <w:cols w:equalWidth="0" w:num="1">
            <w:col w:w="11420"/>
          </w:cols>
          <w:pgMar w:left="240" w:top="140" w:right="239" w:bottom="212" w:gutter="0" w:footer="0" w:header="0"/>
        </w:sectPr>
      </w:pPr>
    </w:p>
    <w:bookmarkStart w:id="65" w:name="page66"/>
    <w:bookmarkEnd w:id="65"/>
    <w:p>
      <w:pPr>
        <w:spacing w:after="0" w:line="90"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181" w:lineRule="exact"/>
        <w:rPr>
          <w:sz w:val="20"/>
          <w:szCs w:val="20"/>
          <w:color w:val="auto"/>
        </w:rPr>
      </w:pPr>
    </w:p>
    <w:p>
      <w:pPr>
        <w:ind w:left="940" w:hanging="284"/>
        <w:spacing w:after="0"/>
        <w:tabs>
          <w:tab w:leader="none" w:pos="94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we were to own more than 3.0% of the total outstanding voting stock of the money market fund;</w:t>
      </w:r>
    </w:p>
    <w:p>
      <w:pPr>
        <w:spacing w:after="0" w:line="225" w:lineRule="exact"/>
        <w:rPr>
          <w:rFonts w:ascii="Arial" w:cs="Arial" w:eastAsia="Arial" w:hAnsi="Arial"/>
          <w:sz w:val="18"/>
          <w:szCs w:val="18"/>
          <w:b w:val="1"/>
          <w:bCs w:val="1"/>
          <w:color w:val="auto"/>
        </w:rPr>
      </w:pPr>
    </w:p>
    <w:p>
      <w:pPr>
        <w:ind w:left="940" w:hanging="284"/>
        <w:spacing w:after="0"/>
        <w:tabs>
          <w:tab w:leader="none" w:pos="940"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we were to hold securities in the money market fund having an aggregate value in excess of 5.0% of the value of our total assets; or</w:t>
      </w:r>
    </w:p>
    <w:p>
      <w:pPr>
        <w:spacing w:after="0" w:line="236" w:lineRule="exact"/>
        <w:rPr>
          <w:rFonts w:ascii="Arial" w:cs="Arial" w:eastAsia="Arial" w:hAnsi="Arial"/>
          <w:sz w:val="17"/>
          <w:szCs w:val="17"/>
          <w:b w:val="1"/>
          <w:bCs w:val="1"/>
          <w:color w:val="auto"/>
        </w:rPr>
      </w:pPr>
    </w:p>
    <w:p>
      <w:pPr>
        <w:ind w:left="980" w:right="140" w:hanging="324"/>
        <w:spacing w:after="0" w:line="277" w:lineRule="auto"/>
        <w:tabs>
          <w:tab w:leader="none" w:pos="93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in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170" w:lineRule="exact"/>
        <w:rPr>
          <w:sz w:val="20"/>
          <w:szCs w:val="20"/>
          <w:color w:val="auto"/>
        </w:rPr>
      </w:pPr>
    </w:p>
    <w:p>
      <w:pPr>
        <w:ind w:left="980" w:right="560" w:hanging="324"/>
        <w:spacing w:after="0" w:line="277" w:lineRule="auto"/>
        <w:tabs>
          <w:tab w:leader="none" w:pos="93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170" w:lineRule="exact"/>
        <w:rPr>
          <w:rFonts w:ascii="Arial" w:cs="Arial" w:eastAsia="Arial" w:hAnsi="Arial"/>
          <w:sz w:val="18"/>
          <w:szCs w:val="18"/>
          <w:b w:val="1"/>
          <w:bCs w:val="1"/>
          <w:color w:val="auto"/>
        </w:rPr>
      </w:pPr>
    </w:p>
    <w:p>
      <w:pPr>
        <w:jc w:val="both"/>
        <w:ind w:left="980" w:right="20" w:hanging="324"/>
        <w:spacing w:after="0" w:line="264" w:lineRule="auto"/>
        <w:tabs>
          <w:tab w:leader="none" w:pos="93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225" w:lineRule="exact"/>
        <w:rPr>
          <w:sz w:val="20"/>
          <w:szCs w:val="20"/>
          <w:color w:val="auto"/>
        </w:rPr>
      </w:pPr>
    </w:p>
    <w:p>
      <w:pPr>
        <w:ind w:left="980" w:right="800" w:hanging="324"/>
        <w:spacing w:after="0" w:line="308" w:lineRule="auto"/>
        <w:tabs>
          <w:tab w:leader="none" w:pos="930"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The audit committee of our board of directors reviews each preliminary valuation and our Manager and independent valuation firm (if applicable) will supplement the preliminary valuation to reflect any comments provided by the audit committee; and</w:t>
      </w:r>
    </w:p>
    <w:p>
      <w:pPr>
        <w:spacing w:after="0" w:line="146" w:lineRule="exact"/>
        <w:rPr>
          <w:rFonts w:ascii="Arial" w:cs="Arial" w:eastAsia="Arial" w:hAnsi="Arial"/>
          <w:sz w:val="17"/>
          <w:szCs w:val="17"/>
          <w:b w:val="1"/>
          <w:bCs w:val="1"/>
          <w:color w:val="auto"/>
        </w:rPr>
      </w:pPr>
    </w:p>
    <w:p>
      <w:pPr>
        <w:ind w:left="980" w:right="80" w:hanging="324"/>
        <w:spacing w:after="0" w:line="277" w:lineRule="auto"/>
        <w:tabs>
          <w:tab w:leader="none" w:pos="93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ectPr>
          <w:pgSz w:w="11900" w:h="16929" w:orient="portrait"/>
          <w:cols w:equalWidth="0" w:num="1">
            <w:col w:w="11400"/>
          </w:cols>
          <w:pgMar w:left="240" w:top="125" w:right="259" w:bottom="0" w:gutter="0" w:footer="0" w:header="0"/>
        </w:sectPr>
      </w:pPr>
    </w:p>
    <w:bookmarkStart w:id="66" w:name="page67"/>
    <w:bookmarkEnd w:id="66"/>
    <w:p>
      <w:pPr>
        <w:ind w:right="120" w:firstLine="648"/>
        <w:spacing w:after="0" w:line="290" w:lineRule="auto"/>
        <w:rPr>
          <w:sz w:val="20"/>
          <w:szCs w:val="20"/>
          <w:color w:val="auto"/>
        </w:rPr>
      </w:pPr>
      <w:r>
        <w:rPr>
          <w:rFonts w:ascii="Arial" w:cs="Arial" w:eastAsia="Arial" w:hAnsi="Arial"/>
          <w:sz w:val="16"/>
          <w:szCs w:val="16"/>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6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We account for derivative financial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amortized cost of investments represents the original cost adjusted for the accretion of discounts and amortizations of premium on investments.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(“ASC 325-40”),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Paid-in-Kind Interest</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Financing costs incurred in connection with our credit facility are deferred and amortized using the straight line method over the life of their respective facilities. Financing costs incurred in connection with our SBA debentures are deferred and amortized using the effective yield method over the life of the debentures.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ectPr>
          <w:pgSz w:w="11900" w:h="16838" w:orient="portrait"/>
          <w:cols w:equalWidth="0" w:num="1">
            <w:col w:w="11420"/>
          </w:cols>
          <w:pgMar w:left="240" w:top="341" w:right="239" w:bottom="0" w:gutter="0" w:footer="0" w:header="0"/>
        </w:sectPr>
      </w:pPr>
    </w:p>
    <w:bookmarkStart w:id="67" w:name="page68"/>
    <w:bookmarkEnd w:id="67"/>
    <w:p>
      <w:pPr>
        <w:ind w:right="60"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income will be in excess of estimated current year dividend distributions for excise tax purposes, the Company accrues excise tax, if any, on estimated excess taxable income as taxable income is earned.</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During the fiscal year ended February 28, 2014, the Company did not incur any interest or penalties. Although we file federal and state tax returns, our major tax jurisdiction is federal. The 2011, 2012 and 2013 federal tax years for the Company remain subject to examination by the IRS.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adopted a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If our common stock is trading below net asset value at the time of valuation, the plan administrator may receive the dividend or distribution in cash and purchase common stock in the open market, on the New York Stock Exchange or elsewhere, for the account of each participant in our dividend reinvestment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Company records an expense accrual on the consolidated statements of operations, relating to the capital gains incentive fee payable on the consolidated statements of assets and liabilities,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June 2013, the FASB issued ASU 2013-08, “Financial Services — Investment Companies (Topic 946): Amendments to the Scope, Measurement, and Disclosure Requirements,” which amends the criteria that define an investment company and clarifies the measurement guidance and requires new disclosures for investment companies. Under ASU 2013-08, an entity already regulated under the 1940 Act will be automatically deemed an investment company under the new GAAP definition. As such, the Company anticipates no impact from adopting this standard on the Company’s consolidated financial results. The Company is currently assessing the additional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disclosure requirements. ASU 2013-08 will be effective for interim and annual reporting periods in fiscal years that begin after December 15, 2013.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ectPr>
          <w:pgSz w:w="11900" w:h="16838" w:orient="portrait"/>
          <w:cols w:equalWidth="0" w:num="1">
            <w:col w:w="11420"/>
          </w:cols>
          <w:pgMar w:left="240" w:top="125" w:right="239" w:bottom="0" w:gutter="0" w:footer="0" w:header="0"/>
        </w:sectPr>
      </w:pPr>
    </w:p>
    <w:bookmarkStart w:id="68" w:name="page69"/>
    <w:bookmarkEnd w:id="68"/>
    <w:p>
      <w:pPr>
        <w:ind w:right="60" w:firstLine="648"/>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940" w:hanging="284"/>
        <w:spacing w:after="0"/>
        <w:tabs>
          <w:tab w:leader="none" w:pos="940"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236" w:lineRule="exact"/>
        <w:rPr>
          <w:rFonts w:ascii="Arial" w:cs="Arial" w:eastAsia="Arial" w:hAnsi="Arial"/>
          <w:sz w:val="17"/>
          <w:szCs w:val="17"/>
          <w:b w:val="1"/>
          <w:bCs w:val="1"/>
          <w:color w:val="auto"/>
        </w:rPr>
      </w:pPr>
    </w:p>
    <w:p>
      <w:pPr>
        <w:ind w:left="940" w:hanging="284"/>
        <w:spacing w:after="0"/>
        <w:tabs>
          <w:tab w:leader="none" w:pos="94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225" w:lineRule="exact"/>
        <w:rPr>
          <w:rFonts w:ascii="Arial" w:cs="Arial" w:eastAsia="Arial" w:hAnsi="Arial"/>
          <w:sz w:val="18"/>
          <w:szCs w:val="18"/>
          <w:b w:val="1"/>
          <w:bCs w:val="1"/>
          <w:color w:val="auto"/>
        </w:rPr>
      </w:pPr>
    </w:p>
    <w:p>
      <w:pPr>
        <w:ind w:left="980" w:right="220" w:hanging="324"/>
        <w:spacing w:after="0" w:line="257" w:lineRule="auto"/>
        <w:tabs>
          <w:tab w:leader="none" w:pos="93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asset, assuming no additional corroborating evidence.</w:t>
      </w:r>
    </w:p>
    <w:p>
      <w:pPr>
        <w:spacing w:after="0" w:line="18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Company’s valuation policy, we evaluate the source of inputs, including any markets in which our investments are trading, in determining fair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28, 2014 (dollars in thousands), according to the fair value hierarchy:</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ind w:right="1020"/>
              <w:spacing w:after="0"/>
              <w:rPr>
                <w:sz w:val="20"/>
                <w:szCs w:val="20"/>
                <w:color w:val="auto"/>
              </w:rPr>
            </w:pPr>
            <w:r>
              <w:rPr>
                <w:rFonts w:ascii="Arial" w:cs="Arial" w:eastAsia="Arial" w:hAnsi="Arial"/>
                <w:sz w:val="14"/>
                <w:szCs w:val="14"/>
                <w:b w:val="1"/>
                <w:bCs w:val="1"/>
                <w:color w:val="auto"/>
              </w:rPr>
              <w:t>Fair Value Measurements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700" w:type="dxa"/>
            <w:vAlign w:val="bottom"/>
          </w:tcPr>
          <w:p>
            <w:pPr>
              <w:spacing w:after="0"/>
              <w:rPr>
                <w:sz w:val="12"/>
                <w:szCs w:val="12"/>
                <w:color w:val="auto"/>
              </w:rPr>
            </w:pPr>
          </w:p>
        </w:tc>
        <w:tc>
          <w:tcPr>
            <w:tcW w:w="10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87"/>
              <w:spacing w:after="0" w:line="142" w:lineRule="exact"/>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First lien term loans</w:t>
            </w:r>
          </w:p>
        </w:tc>
        <w:tc>
          <w:tcPr>
            <w:tcW w:w="106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80,246</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80,246</w:t>
            </w: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27,804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27,804</w:t>
            </w: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Senior secured notes</w:t>
            </w:r>
          </w:p>
        </w:tc>
        <w:tc>
          <w:tcPr>
            <w:tcW w:w="106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30,032</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30,032</w:t>
            </w: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5,471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5,471</w:t>
            </w: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06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19,570</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19,570</w:t>
            </w: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10,332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10,332</w:t>
            </w:r>
          </w:p>
        </w:tc>
        <w:tc>
          <w:tcPr>
            <w:tcW w:w="80" w:type="dxa"/>
            <w:vAlign w:val="bottom"/>
            <w:shd w:val="clear" w:color="auto" w:fill="CCEEFF"/>
          </w:tcPr>
          <w:p>
            <w:pPr>
              <w:spacing w:after="0"/>
              <w:rPr>
                <w:sz w:val="18"/>
                <w:szCs w:val="18"/>
                <w:color w:val="auto"/>
              </w:rPr>
            </w:pPr>
          </w:p>
        </w:tc>
      </w:tr>
      <w:tr>
        <w:trPr>
          <w:trHeight w:val="210"/>
        </w:trPr>
        <w:tc>
          <w:tcPr>
            <w:tcW w:w="270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205,845</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28, 2013 (dollars in thousands), according to the fair value hierarchy:</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ind w:right="1020"/>
              <w:spacing w:after="0"/>
              <w:rPr>
                <w:sz w:val="20"/>
                <w:szCs w:val="20"/>
                <w:color w:val="auto"/>
              </w:rPr>
            </w:pPr>
            <w:r>
              <w:rPr>
                <w:rFonts w:ascii="Arial" w:cs="Arial" w:eastAsia="Arial" w:hAnsi="Arial"/>
                <w:sz w:val="14"/>
                <w:szCs w:val="14"/>
                <w:b w:val="1"/>
                <w:bCs w:val="1"/>
                <w:color w:val="auto"/>
              </w:rPr>
              <w:t>Fair Value Measurements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700" w:type="dxa"/>
            <w:vAlign w:val="bottom"/>
          </w:tcPr>
          <w:p>
            <w:pPr>
              <w:spacing w:after="0"/>
              <w:rPr>
                <w:sz w:val="12"/>
                <w:szCs w:val="12"/>
                <w:color w:val="auto"/>
              </w:rPr>
            </w:pPr>
          </w:p>
        </w:tc>
        <w:tc>
          <w:tcPr>
            <w:tcW w:w="10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87"/>
              <w:spacing w:after="0" w:line="142" w:lineRule="exact"/>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Second lien term loans</w:t>
            </w:r>
          </w:p>
        </w:tc>
        <w:tc>
          <w:tcPr>
            <w:tcW w:w="106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9,571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9,571</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23,305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23,305</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Unsecured notes</w:t>
            </w:r>
          </w:p>
        </w:tc>
        <w:tc>
          <w:tcPr>
            <w:tcW w:w="106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4,874</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25,517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25,517</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Equity interest</w:t>
            </w:r>
          </w:p>
        </w:tc>
        <w:tc>
          <w:tcPr>
            <w:tcW w:w="106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8,021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8,021</w:t>
            </w:r>
          </w:p>
        </w:tc>
      </w:tr>
      <w:tr>
        <w:trPr>
          <w:trHeight w:val="210"/>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balances for investments that use Level 3 inputs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Middle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Senior</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Unsecured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Structured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Common</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lien</w:t>
            </w: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secured</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finance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term loans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term loans</w:t>
            </w:r>
          </w:p>
        </w:tc>
        <w:tc>
          <w:tcPr>
            <w:tcW w:w="1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notes</w:t>
            </w:r>
          </w:p>
        </w:tc>
        <w:tc>
          <w:tcPr>
            <w:tcW w:w="1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securities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stock/equities</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as of</w:t>
            </w: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February 28, 2013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83,792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25,517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   155,080</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Net unrealized gains</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1,485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(losses)</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Purchases and other</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cost</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37,048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20,727</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14,414</w:t>
            </w: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122,749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Sales and redemptions</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(5,138)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(53,162)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(3,030)</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(7,728)</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(71,607)</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realized gain (loss)</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investments</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line="201" w:lineRule="exact"/>
              <w:rPr>
                <w:sz w:val="20"/>
                <w:szCs w:val="20"/>
                <w:color w:val="auto"/>
              </w:rPr>
            </w:pPr>
            <w:r>
              <w:rPr>
                <w:rFonts w:ascii="Arial" w:cs="Arial" w:eastAsia="Arial" w:hAnsi="Arial"/>
                <w:sz w:val="18"/>
                <w:szCs w:val="18"/>
                <w:color w:val="auto"/>
              </w:rPr>
              <w:t>Balance as of</w:t>
            </w: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80" w:type="dxa"/>
            <w:vAlign w:val="bottom"/>
            <w:vMerge w:val="continue"/>
          </w:tcPr>
          <w:p>
            <w:pPr>
              <w:spacing w:after="0"/>
              <w:rPr>
                <w:sz w:val="15"/>
                <w:szCs w:val="15"/>
                <w:color w:val="auto"/>
              </w:rPr>
            </w:pPr>
          </w:p>
        </w:tc>
        <w:tc>
          <w:tcPr>
            <w:tcW w:w="260" w:type="dxa"/>
            <w:vAlign w:val="bottom"/>
            <w:vMerge w:val="restart"/>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32,390</w:t>
            </w:r>
          </w:p>
        </w:tc>
        <w:tc>
          <w:tcPr>
            <w:tcW w:w="14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80,246</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27,804</w:t>
            </w:r>
          </w:p>
        </w:tc>
        <w:tc>
          <w:tcPr>
            <w:tcW w:w="260" w:type="dxa"/>
            <w:vAlign w:val="bottom"/>
            <w:vMerge w:val="restart"/>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30,032</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5,471</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19,570</w:t>
            </w:r>
          </w:p>
        </w:tc>
        <w:tc>
          <w:tcPr>
            <w:tcW w:w="5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10,332</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205,845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80" w:type="dxa"/>
            <w:vAlign w:val="bottom"/>
          </w:tcPr>
          <w:p>
            <w:pPr>
              <w:ind w:left="180"/>
              <w:spacing w:after="0"/>
              <w:rPr>
                <w:sz w:val="20"/>
                <w:szCs w:val="20"/>
                <w:color w:val="auto"/>
              </w:rPr>
            </w:pPr>
            <w:r>
              <w:rPr>
                <w:rFonts w:ascii="Arial" w:cs="Arial" w:eastAsia="Arial" w:hAnsi="Arial"/>
                <w:sz w:val="18"/>
                <w:szCs w:val="18"/>
                <w:color w:val="auto"/>
              </w:rPr>
              <w:t>February 28, 2014</w:t>
            </w:r>
          </w:p>
        </w:tc>
        <w:tc>
          <w:tcPr>
            <w:tcW w:w="2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net change in unrealized gain/(loss) on investments held as of February 28, 2014 is $(1,767,285) and is included in net unrealized appreciation (depreciation) on investments in the consolidated statements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balances for investments that use Level 3 inputs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6"/>
              </w:rPr>
              <w:t>Second lien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Senior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Senior</w:t>
            </w:r>
          </w:p>
        </w:tc>
        <w:tc>
          <w:tcPr>
            <w:tcW w:w="120" w:type="dxa"/>
            <w:vAlign w:val="bottom"/>
          </w:tcPr>
          <w:p>
            <w:pPr>
              <w:spacing w:after="0"/>
              <w:rPr>
                <w:sz w:val="14"/>
                <w:szCs w:val="14"/>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8"/>
              </w:rPr>
              <w:t>Unsecured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Structured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Common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secured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unsecured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finance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term loans</w:t>
            </w: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term loans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notes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loans</w:t>
            </w:r>
          </w:p>
        </w:tc>
        <w:tc>
          <w:tcPr>
            <w:tcW w:w="1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securities</w:t>
            </w:r>
          </w:p>
        </w:tc>
        <w:tc>
          <w:tcPr>
            <w:tcW w:w="8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stock/equities</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as of February 29,</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4,267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Purchases and other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cost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52,872</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Sales and redemptions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(6,090)</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(21,488)</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realized gain (loss) from</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line="201" w:lineRule="exact"/>
              <w:rPr>
                <w:sz w:val="20"/>
                <w:szCs w:val="20"/>
                <w:color w:val="auto"/>
              </w:rPr>
            </w:pPr>
            <w:r>
              <w:rPr>
                <w:rFonts w:ascii="Arial" w:cs="Arial" w:eastAsia="Arial" w:hAnsi="Arial"/>
                <w:sz w:val="18"/>
                <w:szCs w:val="18"/>
                <w:color w:val="auto"/>
              </w:rPr>
              <w:t>Balance as of February 28,</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2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83,792</w:t>
            </w:r>
          </w:p>
        </w:tc>
        <w:tc>
          <w:tcPr>
            <w:tcW w:w="22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9,571</w:t>
            </w:r>
          </w:p>
        </w:tc>
        <w:tc>
          <w:tcPr>
            <w:tcW w:w="14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23,305</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4,874</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25,517</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8,021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155,080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20" w:type="dxa"/>
            <w:vAlign w:val="bottom"/>
          </w:tcPr>
          <w:p>
            <w:pPr>
              <w:ind w:left="180"/>
              <w:spacing w:after="0"/>
              <w:rPr>
                <w:sz w:val="20"/>
                <w:szCs w:val="20"/>
                <w:color w:val="auto"/>
              </w:rPr>
            </w:pPr>
            <w:r>
              <w:rPr>
                <w:rFonts w:ascii="Arial" w:cs="Arial" w:eastAsia="Arial" w:hAnsi="Arial"/>
                <w:sz w:val="18"/>
                <w:szCs w:val="18"/>
                <w:color w:val="auto"/>
              </w:rPr>
              <w:t>2013</w:t>
            </w:r>
          </w:p>
        </w:tc>
        <w:tc>
          <w:tcPr>
            <w:tcW w:w="1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net change in unrealized gain/loss on investments held as of February 28, 2013 is $7,143,012 and is included in net unrealized appreciation (depreciation) on investments in the consolidated statements of operations.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2014 were as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Valuation Technique</w:t>
            </w:r>
          </w:p>
        </w:tc>
        <w:tc>
          <w:tcPr>
            <w:tcW w:w="280" w:type="dxa"/>
            <w:vAlign w:val="bottom"/>
          </w:tcPr>
          <w:p>
            <w:pPr>
              <w:spacing w:after="0"/>
              <w:rPr>
                <w:sz w:val="14"/>
                <w:szCs w:val="14"/>
                <w:color w:val="auto"/>
              </w:rPr>
            </w:pPr>
          </w:p>
        </w:tc>
        <w:tc>
          <w:tcPr>
            <w:tcW w:w="2340" w:type="dxa"/>
            <w:vAlign w:val="bottom"/>
            <w:gridSpan w:val="2"/>
          </w:tcPr>
          <w:p>
            <w:pPr>
              <w:ind w:left="400"/>
              <w:spacing w:after="0"/>
              <w:rPr>
                <w:sz w:val="20"/>
                <w:szCs w:val="20"/>
                <w:color w:val="auto"/>
              </w:rPr>
            </w:pPr>
            <w:r>
              <w:rPr>
                <w:rFonts w:ascii="Arial" w:cs="Arial" w:eastAsia="Arial" w:hAnsi="Arial"/>
                <w:sz w:val="14"/>
                <w:szCs w:val="14"/>
                <w:b w:val="1"/>
                <w:bCs w:val="1"/>
                <w:color w:val="auto"/>
              </w:rPr>
              <w:t>Unobservable Input</w:t>
            </w:r>
          </w:p>
        </w:tc>
        <w:tc>
          <w:tcPr>
            <w:tcW w:w="1800" w:type="dxa"/>
            <w:vAlign w:val="bottom"/>
            <w:gridSpan w:val="2"/>
          </w:tcPr>
          <w:p>
            <w:pPr>
              <w:ind w:left="640"/>
              <w:spacing w:after="0"/>
              <w:rPr>
                <w:sz w:val="20"/>
                <w:szCs w:val="20"/>
                <w:color w:val="auto"/>
              </w:rPr>
            </w:pPr>
            <w:r>
              <w:rPr>
                <w:rFonts w:ascii="Arial" w:cs="Arial" w:eastAsia="Arial" w:hAnsi="Arial"/>
                <w:sz w:val="14"/>
                <w:szCs w:val="14"/>
                <w:b w:val="1"/>
                <w:bCs w:val="1"/>
                <w:color w:val="auto"/>
              </w:rPr>
              <w:t>Range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32,390</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Third-Party Bid</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99.5 – 100.6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80,246</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Market Yield (%)</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 - 15.5%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EBITDA Multiples (x)</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Third-Party Bid</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83.3 – 101.5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27,804</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Market Yield (%)</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9.6% - 12.5%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Third-Party Bid</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100.0 – 101.8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30,032</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Market Yield (%)</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11.0% - 42.5%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EBITDA Multiples (x)</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5.0x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Third-Party Bid</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106.0 – 107.5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5,471</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Market Yield (%)</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12.8% - 20.3%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19,570</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Discounted Cash Flow</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Discount Rate (%)</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10,332</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EBITDA Multiples (x)</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6.3x – 12.0x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ind w:left="600"/>
              <w:spacing w:after="0"/>
              <w:rPr>
                <w:sz w:val="20"/>
                <w:szCs w:val="20"/>
                <w:color w:val="auto"/>
              </w:rPr>
            </w:pPr>
            <w:r>
              <w:rPr>
                <w:rFonts w:ascii="Arial" w:cs="Arial" w:eastAsia="Arial" w:hAnsi="Arial"/>
                <w:sz w:val="18"/>
                <w:szCs w:val="18"/>
                <w:color w:val="auto"/>
              </w:rPr>
              <w:t>F-19</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19" w:gutter="0" w:footer="0" w:header="0"/>
        </w:sectPr>
      </w:pPr>
    </w:p>
    <w:bookmarkStart w:id="70" w:name="page71"/>
    <w:bookmarkEnd w:id="70"/>
    <w:p>
      <w:pPr>
        <w:ind w:right="32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2013 were as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Valuation Technique</w:t>
            </w:r>
          </w:p>
        </w:tc>
        <w:tc>
          <w:tcPr>
            <w:tcW w:w="280" w:type="dxa"/>
            <w:vAlign w:val="bottom"/>
          </w:tcPr>
          <w:p>
            <w:pPr>
              <w:spacing w:after="0"/>
              <w:rPr>
                <w:sz w:val="14"/>
                <w:szCs w:val="14"/>
                <w:color w:val="auto"/>
              </w:rPr>
            </w:pPr>
          </w:p>
        </w:tc>
        <w:tc>
          <w:tcPr>
            <w:tcW w:w="2340" w:type="dxa"/>
            <w:vAlign w:val="bottom"/>
            <w:gridSpan w:val="2"/>
          </w:tcPr>
          <w:p>
            <w:pPr>
              <w:ind w:left="400"/>
              <w:spacing w:after="0"/>
              <w:rPr>
                <w:sz w:val="20"/>
                <w:szCs w:val="20"/>
                <w:color w:val="auto"/>
              </w:rPr>
            </w:pPr>
            <w:r>
              <w:rPr>
                <w:rFonts w:ascii="Arial" w:cs="Arial" w:eastAsia="Arial" w:hAnsi="Arial"/>
                <w:sz w:val="14"/>
                <w:szCs w:val="14"/>
                <w:b w:val="1"/>
                <w:bCs w:val="1"/>
                <w:color w:val="auto"/>
              </w:rPr>
              <w:t>Unobservable Input</w:t>
            </w:r>
          </w:p>
        </w:tc>
        <w:tc>
          <w:tcPr>
            <w:tcW w:w="1800" w:type="dxa"/>
            <w:vAlign w:val="bottom"/>
            <w:gridSpan w:val="2"/>
          </w:tcPr>
          <w:p>
            <w:pPr>
              <w:ind w:left="64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83,792</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Market Yield (%)</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 - 26.9%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EBITDA Multiples (x)</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Third-Party Bid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96.5 - 102.0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9,571</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Market Yield (%)</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Third-Party Bid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23,305</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Market Yield (%)</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 - 42.5%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EBITDA Multiples (x)</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5.5x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Third-Party Bid</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89.0 – 101.0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4,874</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Market Yield (%)</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13.6% - 23.8%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25,517</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Discounted Cash Flow</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Discount Rate (%)</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8,021</w:t>
            </w: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EBITDA Multiples (x)</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3.0x – 8.9x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February 28, 2014, at amortized cost and fair value were as follows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Investments at</w:t>
            </w:r>
          </w:p>
        </w:tc>
        <w:tc>
          <w:tcPr>
            <w:tcW w:w="180" w:type="dxa"/>
            <w:vAlign w:val="bottom"/>
          </w:tcPr>
          <w:p>
            <w:pPr>
              <w:spacing w:after="0"/>
              <w:rPr>
                <w:sz w:val="14"/>
                <w:szCs w:val="14"/>
                <w:color w:val="auto"/>
              </w:rPr>
            </w:pPr>
          </w:p>
        </w:tc>
        <w:tc>
          <w:tcPr>
            <w:tcW w:w="14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4"/>
              </w:rPr>
              <w:t>Amortized Cost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Investments at</w:t>
            </w:r>
          </w:p>
        </w:tc>
        <w:tc>
          <w:tcPr>
            <w:tcW w:w="14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5"/>
              </w:rPr>
              <w:t>Fair Value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3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160" w:type="dxa"/>
            <w:vAlign w:val="bottom"/>
            <w:tcBorders>
              <w:bottom w:val="single" w:sz="8" w:color="CCEEFF"/>
            </w:tcBorders>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First lien term loans</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80,734</w:t>
            </w:r>
          </w:p>
        </w:tc>
        <w:tc>
          <w:tcPr>
            <w:tcW w:w="1660" w:type="dxa"/>
            <w:vAlign w:val="bottom"/>
            <w:gridSpan w:val="3"/>
          </w:tcPr>
          <w:p>
            <w:pPr>
              <w:jc w:val="right"/>
              <w:ind w:right="13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80,246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27,540</w:t>
            </w:r>
          </w:p>
        </w:tc>
        <w:tc>
          <w:tcPr>
            <w:tcW w:w="16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27,804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Senior secured notes</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31,304</w:t>
            </w:r>
          </w:p>
        </w:tc>
        <w:tc>
          <w:tcPr>
            <w:tcW w:w="1660" w:type="dxa"/>
            <w:vAlign w:val="bottom"/>
            <w:gridSpan w:val="3"/>
          </w:tcPr>
          <w:p>
            <w:pPr>
              <w:jc w:val="right"/>
              <w:ind w:right="130"/>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30,032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5,471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16,556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19,570</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9.5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10,332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205,845</w:t>
            </w:r>
          </w:p>
        </w:tc>
        <w:tc>
          <w:tcPr>
            <w:tcW w:w="3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jc w:val="right"/>
              <w:ind w:right="1130"/>
              <w:spacing w:after="0"/>
              <w:rPr>
                <w:sz w:val="20"/>
                <w:szCs w:val="20"/>
                <w:color w:val="auto"/>
              </w:rPr>
            </w:pPr>
            <w:r>
              <w:rPr>
                <w:rFonts w:ascii="Arial" w:cs="Arial" w:eastAsia="Arial" w:hAnsi="Arial"/>
                <w:sz w:val="18"/>
                <w:szCs w:val="18"/>
                <w:color w:val="auto"/>
              </w:rPr>
              <w:t>F-20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February 28, 2013, at amortized cost and fair value were as follows (dollars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Investments at</w:t>
            </w:r>
          </w:p>
        </w:tc>
        <w:tc>
          <w:tcPr>
            <w:tcW w:w="14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4"/>
              </w:rPr>
              <w:t>Amortized Cost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Investments at</w:t>
            </w:r>
          </w:p>
        </w:tc>
        <w:tc>
          <w:tcPr>
            <w:tcW w:w="14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3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3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Second lien term loans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9,473</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9,571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24,619</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23,305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Unsecured notes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6,758</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4,874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18,945</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25,517</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Equity interest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5,729</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8,021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149,410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For equity securities of portfolio companies and partnership interests,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ectPr>
          <w:pgSz w:w="11900" w:h="16838" w:orient="portrait"/>
          <w:cols w:equalWidth="0" w:num="1">
            <w:col w:w="11460"/>
          </w:cols>
          <w:pgMar w:left="240" w:top="125" w:right="199" w:bottom="0" w:gutter="0" w:footer="0" w:header="0"/>
        </w:sectPr>
      </w:pPr>
    </w:p>
    <w:bookmarkStart w:id="71" w:name="page72"/>
    <w:bookmarkEnd w:id="71"/>
    <w:p>
      <w:pPr>
        <w:ind w:right="100" w:firstLine="648"/>
        <w:spacing w:after="0" w:line="269" w:lineRule="auto"/>
        <w:rPr>
          <w:sz w:val="20"/>
          <w:szCs w:val="20"/>
          <w:color w:val="auto"/>
        </w:rPr>
      </w:pPr>
      <w:r>
        <w:rPr>
          <w:rFonts w:ascii="Arial" w:cs="Arial" w:eastAsia="Arial" w:hAnsi="Arial"/>
          <w:sz w:val="17"/>
          <w:szCs w:val="17"/>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For the quarter ended November 30, 2013, in connection with the refinancing of the Saratoga CLO liabilities, we ran Intex models based on assumptions about the refinanced Saratoga CLO’s structure, including capital structure, cost of liabilities and reinvestment period. We use the output from the Intex models (i.e., the estimated cash flows) to perform a discounted cash flows analysis on expected future cash flows to determine a valuation for our investment in Saratoga CLO at February 28, 2014. The significant inputs for the valuation model include:</w:t>
      </w:r>
    </w:p>
    <w:p>
      <w:pPr>
        <w:spacing w:after="0" w:line="183" w:lineRule="exact"/>
        <w:rPr>
          <w:sz w:val="20"/>
          <w:szCs w:val="20"/>
          <w:color w:val="auto"/>
        </w:rPr>
      </w:pPr>
    </w:p>
    <w:p>
      <w:pPr>
        <w:ind w:left="940" w:hanging="284"/>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Recovery rates: 35-75%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Prepayment rate: 25.0%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Reinvestment rate / price: L+375bps / $99.75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Saratoga Investment Corp. CLO 2013-1, Ltd. (“Saratoga CLO”)</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January 22, 2008, we invested $30 million in all of the outstanding subordinated notes of GSC Investment Corp. CLO 2007, Ltd., a collateralized loan obligation fund managed by us that invests primarily in senior secured loans. Additionally, we entered into a collateral management agreement with GSC Investment Corp. CLO 2007, Ltd. pursuant to which we act as collateral manager to it.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 proceeds. We are also entitled to an incentive management fee equal to 20.0% of the remaining interest proceeds and principal proceeds, if any, after the subordinated notes have realized the incentive management fee target return of 12.0%, in accordance with the Priority of Payments after making the prior distributions on the relevant payment date. For the years ended February 28, 2014 and 2013, and February 29, 2012, we accrued $1.8 million, $2.0 million and $2.0 million in management fee income, respectively, and $3.4 million, $4.2 million and $4.2 million in interest income, respectively, from Saratoga CLO. We did not accrue any amounts related to the incentive management fee as the 12.0% hurdle rate has not yet been achieved.</w:t>
      </w:r>
    </w:p>
    <w:p>
      <w:pPr>
        <w:spacing w:after="0" w:line="169" w:lineRule="exact"/>
        <w:rPr>
          <w:sz w:val="20"/>
          <w:szCs w:val="20"/>
          <w:color w:val="auto"/>
        </w:rPr>
      </w:pPr>
    </w:p>
    <w:p>
      <w:pPr>
        <w:jc w:val="both"/>
        <w:ind w:right="220" w:firstLine="648"/>
        <w:spacing w:after="0" w:line="288" w:lineRule="auto"/>
        <w:rPr>
          <w:sz w:val="20"/>
          <w:szCs w:val="20"/>
          <w:color w:val="auto"/>
        </w:rPr>
      </w:pPr>
      <w:r>
        <w:rPr>
          <w:rFonts w:ascii="Arial" w:cs="Arial" w:eastAsia="Arial" w:hAnsi="Arial"/>
          <w:sz w:val="16"/>
          <w:szCs w:val="16"/>
          <w:color w:val="auto"/>
        </w:rPr>
        <w:t>At February 28, 2014, the Company determined that the fair value of its investment in the subordinated notes of Saratoga CLO was $19.6 million. The Company determines the fair value of its investment in the subordinated notes of Saratoga CLO based on the present value of the projected future cash flows of the subordinated notes over the life of Saratoga CLO. At February 28, 2014, Saratoga CLO had investments with a principal balance of</w:t>
      </w:r>
    </w:p>
    <w:p>
      <w:pPr>
        <w:ind w:right="20"/>
        <w:spacing w:after="0" w:line="253" w:lineRule="auto"/>
        <w:rPr>
          <w:sz w:val="20"/>
          <w:szCs w:val="20"/>
          <w:color w:val="auto"/>
        </w:rPr>
      </w:pPr>
      <w:r>
        <w:rPr>
          <w:rFonts w:ascii="Arial" w:cs="Arial" w:eastAsia="Arial" w:hAnsi="Arial"/>
          <w:sz w:val="18"/>
          <w:szCs w:val="18"/>
          <w:color w:val="auto"/>
        </w:rPr>
        <w:t>$301.3 million and a weighted average spread over LIBOR of 4.1%, and had debt with a principal balance of $284.1 million with a weighted average spread over LIBOR of 1.8%. As a result, Saratoga CLO earns a “spread” between the interest income it receives on its investments and the interest expense it pays on its debt and other operating expenses, which is distributed quarterly to the Company as the holder of its subordinated notes. At February 28, 2014, the total “spread”, or projected future cash flows of the subordinated notes, over the life of Saratoga CLO was $24.9 million, which had a present value of approximately $20.2 million, using a 9.0% discount rate.</w:t>
      </w:r>
    </w:p>
    <w:p>
      <w:pPr>
        <w:spacing w:after="0" w:line="191"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At February 28, 2013, the Company determined that the fair value of its investment in the subordinated notes of Saratoga CLO was $25.5 million, whereas the net asset value of Saratoga CLO on such date was $30.8 million. The Company does not believe that the net asset value of Saratoga CLO, which is the difference between Saratoga CLO’s assets and liabilities at a given point in time, necessarily equates to the fair value of its investment in the subordinated notes of Saratoga CLO. Specifically, the Company determines the fair value of its investment in the subordinated notes of Saratoga CLO based on the present value of the projected future cash flows of the subordinated notes over the life of Saratoga CLO. At February 28, 2013, Saratoga CLO had investments with a principal balance of $383.3 million and a weighted average spread over LIBOR of 4.3%, and had debt with a principal balance of $366.0 million with a weighted average spread over LIBOR of 1.4%. As a result, Saratoga CLO earns a “spread” between the interest income it receives on its investments and the interest expense it pays on its debt and other operating expenses, which is distributed quarterly to the Company as the holder of its subordinated notes. At February 28, 2013, the total “spread”, or projected future cash flows of the subordinated notes, over the life of Saratoga CLO was $38.7 million, which had a present value of approximately $26.0 million, using a 13.0% discount rate. At February 28, 2013, the fair value of the subordinated notes, which we base upon the present value of the projected cash flows, was $25.5 million, which was less than the net asset value of Saratoga CLO on such date by approximately $5.3 million.</w:t>
      </w:r>
    </w:p>
    <w:p>
      <w:pPr>
        <w:spacing w:after="0" w:line="18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separate audited financial statements of Saratoga CLO as of February 28, 2014 and 2013, pursuant to Rule 3-09 of SEC rules Regulation S-X, and for the twelve months ended February 28, 2014 and 2013 and February 29, 2012, are presented on page S-1.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intends to operate so as to qualify to be taxed as a RIC under Subchapter M of the Code and, as such, will not be subject to federal income tax on the portion of taxable income and gains distributed to stockholders.</w:t>
      </w:r>
    </w:p>
    <w:p>
      <w:pPr>
        <w:spacing w:after="0" w:line="17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Company owns 100.0% of Saratoga CLO, an exempted company incorporated in the Cayman Islands. For financial reporting purposes, the Saratoga CLO is not included as part of the consolidated financial statements. For federal income tax purposes, the Company has requested and received</w:t>
      </w:r>
    </w:p>
    <w:p>
      <w:pPr>
        <w:sectPr>
          <w:pgSz w:w="11900" w:h="16838" w:orient="portrait"/>
          <w:cols w:equalWidth="0" w:num="1">
            <w:col w:w="11400"/>
          </w:cols>
          <w:pgMar w:left="240" w:top="125" w:right="259" w:bottom="0" w:gutter="0" w:footer="0" w:header="0"/>
        </w:sectPr>
      </w:pPr>
    </w:p>
    <w:bookmarkStart w:id="72" w:name="page73"/>
    <w:bookmarkEnd w:id="72"/>
    <w:p>
      <w:pPr>
        <w:ind w:right="280"/>
        <w:spacing w:after="0" w:line="342" w:lineRule="auto"/>
        <w:rPr>
          <w:sz w:val="20"/>
          <w:szCs w:val="20"/>
          <w:color w:val="auto"/>
        </w:rPr>
      </w:pPr>
      <w:r>
        <w:rPr>
          <w:rFonts w:ascii="Arial" w:cs="Arial" w:eastAsia="Arial" w:hAnsi="Arial"/>
          <w:sz w:val="16"/>
          <w:szCs w:val="16"/>
          <w:color w:val="auto"/>
        </w:rPr>
        <w:t>approval from the Internal Revenue Service to treat the Saratoga CLO as a disregarded entity. As such, for federal income tax purposes and for purposes of meeting the RIC qualification and diversification tests, the results of operations of the Saratoga CLO are included with those of the Company.</w:t>
      </w:r>
    </w:p>
    <w:p>
      <w:pPr>
        <w:spacing w:after="0" w:line="1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To qualify as a RIC, the Company is required to meet certain income and asset diversification tests in addition to distributing at least 90.0% of its investment company taxable income, as defined by the Code. Because federal income tax regulations differ from U.S. GAAP, distributions in accordance with tax regulations may differ from net investment income and realized gains recognized for financial reporting purposes. Differences may be permanent or temporary in nature. Permanent differences are reclassified among capital accounts in the financial statements to reflect their tax character. Differences in classification may also result from the treatment of short-term gains as ordinary income for tax purposes. As of February 28, 2014 and February 28, 2013, the Company reclassified for book purposes amounts arising from permanent book/tax differences primarily related to nondeductible excise tax, meals &amp; entertainment, market discount, interest income with respect to the Saratoga CLO which is consolidated for tax purposes and the tax character of distributions as follows (dollars in thousands):</w:t>
      </w:r>
    </w:p>
    <w:p>
      <w:pPr>
        <w:spacing w:after="0" w:line="17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February 28,</w:t>
            </w:r>
          </w:p>
        </w:tc>
        <w:tc>
          <w:tcPr>
            <w:tcW w:w="1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w:t>
            </w:r>
          </w:p>
        </w:tc>
      </w:tr>
      <w:tr>
        <w:trPr>
          <w:trHeight w:val="171"/>
        </w:trPr>
        <w:tc>
          <w:tcPr>
            <w:tcW w:w="5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investment income/(loss)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Accumulated net realized gains (losses) on investments</w:t>
            </w: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1,691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820" w:firstLine="648"/>
        <w:spacing w:after="0" w:line="264" w:lineRule="auto"/>
        <w:rPr>
          <w:sz w:val="20"/>
          <w:szCs w:val="20"/>
          <w:color w:val="auto"/>
        </w:rPr>
      </w:pPr>
      <w:r>
        <w:rPr>
          <w:rFonts w:ascii="Arial" w:cs="Arial" w:eastAsia="Arial" w:hAnsi="Arial"/>
          <w:sz w:val="18"/>
          <w:szCs w:val="18"/>
          <w:color w:val="auto"/>
        </w:rPr>
        <w:t>For income tax purposes, distributions paid to shareholders are reported as ordinary income, return of capital, long term capital gains or a combination thereof. The tax character of distributions paid for the years ended February 28, 2014 and February 28, 2013 was as follows (dollars in thousands):</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February 28,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February 28,</w:t>
            </w:r>
          </w:p>
        </w:tc>
      </w:tr>
      <w:tr>
        <w:trPr>
          <w:trHeight w:val="171"/>
        </w:trPr>
        <w:tc>
          <w:tcPr>
            <w:tcW w:w="5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Capital gains</w:t>
            </w: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12,535</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federal income tax purposes, as of February 28, 2014, the aggregate net unrealized depreciation for all securities is $0.04 million. The aggregate cost of securities for federal income tax purposes is $486.8 million.</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federal income tax purposes, as of February 28, 2013, the aggregate net unrealized depreciation for all securities is $2.7 million. The aggregate cost of securities for federal income tax purposes is $506.7 million.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At February 28, 2014 and February 28, 2013, the components of accumulated losses on a tax basis as detailed below differ from the amounts reflected per the Company’s consolidated statements of assets and liabilities by temporary book/tax differences primarily arising from the consolidation of the Saratoga CLO for tax purposes, market discount and original issue discount income, interest income accrual on defaulted bonds, write-off of investments, and amortization of organizational expenditures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February 28,</w:t>
            </w:r>
          </w:p>
        </w:tc>
        <w:tc>
          <w:tcPr>
            <w:tcW w:w="18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February 28,</w:t>
            </w:r>
          </w:p>
        </w:tc>
        <w:tc>
          <w:tcPr>
            <w:tcW w:w="180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1800" w:type="dxa"/>
            <w:vAlign w:val="bottom"/>
          </w:tcPr>
          <w:p>
            <w:pPr>
              <w:spacing w:after="0"/>
              <w:rPr>
                <w:sz w:val="14"/>
                <w:szCs w:val="14"/>
                <w:color w:val="auto"/>
              </w:rPr>
            </w:pPr>
          </w:p>
        </w:tc>
      </w:tr>
      <w:tr>
        <w:trPr>
          <w:trHeight w:val="210"/>
        </w:trPr>
        <w:tc>
          <w:tcPr>
            <w:tcW w:w="13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Post October loss deferred</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Accumulated capital losses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(64,101)</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(58,248)</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Undistributed ordinary income</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963</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3,927</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800" w:type="dxa"/>
            <w:vAlign w:val="bottom"/>
          </w:tcPr>
          <w:p>
            <w:pPr>
              <w:spacing w:after="0"/>
              <w:rPr>
                <w:sz w:val="18"/>
                <w:szCs w:val="18"/>
                <w:color w:val="auto"/>
              </w:rPr>
            </w:pPr>
          </w:p>
        </w:tc>
      </w:tr>
      <w:tr>
        <w:trPr>
          <w:trHeight w:val="223"/>
        </w:trPr>
        <w:tc>
          <w:tcPr>
            <w:tcW w:w="13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components of accumulated losses</w:t>
            </w:r>
          </w:p>
        </w:tc>
        <w:tc>
          <w:tcPr>
            <w:tcW w:w="16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(63,483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60" w:type="dxa"/>
            <w:vAlign w:val="bottom"/>
            <w:gridSpan w:val="2"/>
          </w:tcPr>
          <w:p>
            <w:pPr>
              <w:jc w:val="right"/>
              <w:ind w:right="770"/>
              <w:spacing w:after="0"/>
              <w:rPr>
                <w:sz w:val="20"/>
                <w:szCs w:val="20"/>
                <w:color w:val="auto"/>
              </w:rPr>
            </w:pPr>
            <w:r>
              <w:rPr>
                <w:rFonts w:ascii="Arial" w:cs="Arial" w:eastAsia="Arial" w:hAnsi="Arial"/>
                <w:sz w:val="18"/>
                <w:szCs w:val="18"/>
                <w:color w:val="auto"/>
              </w:rPr>
              <w:t>F-23</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has incurred capital losses of $19.3, $14.1 and $3.2 million for the years ended February 28, 2011, 2010 and 2009. Such capital losses will be available to offset future capital gains if any and if unused, will expire on February 28, 2019, 2018 and 2017.</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At February 28, 2014, the Company had a short term capital loss of $11.2 million and a long-term capital loss of $16.3 million available to offset future capital gains. Post RIC-modernization act losses are deemed to arise on the first day of the fund’s following fiscal year and there is no expiration for these losses.</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Management has analyzed the Company’s tax positions taken on federal income tax returns for all open years (fiscal years 2010-2014), and has concluded that no provision for uncertain income tax positions is required in the Company’s financial statements.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December 22, 2010, the Regulated Investment Company Modernization Act of 2010 (the “Modernization Act”) was enacted, and the provisions with the Modernization Act are effective for the Company for the year ended February 29, 2012. The Modernization Act is the first major piece of legislation affecting RICs since 1986 and it modernizes several of the federal income and excise tax provisions related to RICs. Some highlights of the enacted provisions are as follows:</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New capital losses may now be carried forward indefinitely, and retain the character of the original loss. Under pre-enactment law, capital losses could be carried forward for eight years, and carried forward as short-term capital, irrespective of the character of the original loss.</w:t>
      </w:r>
    </w:p>
    <w:p>
      <w:pPr>
        <w:spacing w:after="0" w:line="14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Modernization Act contains simplification provisions, which are aimed at preventing disqualification of a RIC for “inadvertent” failures of the asset diversification and/or qualifying income tests. Additionally, the Modernization Act exempts RICs from the preferential dividend rule, and repealed the 60-day designation requirement for certain types of pay-through income and gains.</w:t>
      </w:r>
    </w:p>
    <w:p>
      <w:pPr>
        <w:sectPr>
          <w:pgSz w:w="11900" w:h="16838" w:orient="portrait"/>
          <w:cols w:equalWidth="0" w:num="1">
            <w:col w:w="11460"/>
          </w:cols>
          <w:pgMar w:left="240" w:top="125" w:right="199" w:bottom="83" w:gutter="0" w:footer="0" w:header="0"/>
        </w:sectPr>
      </w:pPr>
    </w:p>
    <w:bookmarkStart w:id="73" w:name="page74"/>
    <w:bookmarkEnd w:id="73"/>
    <w:p>
      <w:pPr>
        <w:ind w:right="260" w:firstLine="648"/>
        <w:spacing w:after="0" w:line="264" w:lineRule="auto"/>
        <w:rPr>
          <w:sz w:val="20"/>
          <w:szCs w:val="20"/>
          <w:color w:val="auto"/>
        </w:rPr>
      </w:pPr>
      <w:r>
        <w:rPr>
          <w:rFonts w:ascii="Arial" w:cs="Arial" w:eastAsia="Arial" w:hAnsi="Arial"/>
          <w:sz w:val="18"/>
          <w:szCs w:val="18"/>
          <w:color w:val="auto"/>
        </w:rPr>
        <w:t>Finally, the Modernization Act contains several provisions aimed at preserving the character of distributions made by a fiscal year RIC during the portion of its taxable year ending after October 31 or December 31, reducing the circumstances under which a RIC might be required to file amended Forms 1099 to restate previously reported distributions.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Agreements and-Related Party Transactions</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On July 30, 2010, the Company entered into the Management Agreement with our Manager. The initial term of the Management Agreement is two years, with automatic, one-year renewals at the end of each year subject to certain approvals by our board of directors and/or our stockholders. On July 15, 2013,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 and appropriately adjusted for any share issuances or repurchases during the applicable fiscal quarter.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For the years ended February 28, 2014, February 28, 2013, and February 29, 2012, we incurred $3.3 million, $2.1 million, and $1.6 million in base management fees, respectively. For the years ended February 28, 2014, February 28, 2013, and February 29, 2012, we incurred $0.7 million, $1.0 million, and $0.5 million in incentive fees related to pre-incentive fee net investment income. For the year ended February 28, 2014, there was a reduction of $0.3 million in incentive fees related to capital gains. For the years ended February 28, 2013 and February 29, 2012, we accrued $1.0 million and $0.7 million in incentive management fees related to capital gains, respectively. The accrual is calculated using both realized and unrealized capital gains for the period. The actual incentive fee related to capital gains will be determined and payable in arrears at the end of the fiscal year and will include only realized capital gains for the period. As of February 28, 2014, the base management fees accrual was $0.9 million and the incentive fees accrual was $3.0 million and is included in management and incentive fees payable in the accompanying consolidated statements of assets and liabilities. As of February 28, 2013, the base management fees accrual was $0.6 million and incentive fees accrual was $3.9 million and is included in management and incentive fees payable in the accompanying consolidated statements of assets and liabilities.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is two years, with automatic, one-year renewals at the end of each year subject to certain approvals by our board of directors and/or our stockholders. The amount of expenses payable or reimbursable thereunder by the Company is capped at $1.0 million for the initial two year term of the administration agreement. On July 15, 2013, our board of directors approved the renewal of the Administration Agreement for an additional one-year term and determined to maintain the cap on the payment or reimbursement of expenses by the Company thereunder to $1.0 million for the additional one-year term.</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the years ended February 28, 2014, February 28, 2013, and February 29, 2012, we recognized $1.0 million, $1.0 million, and $1.0 million in administrator expenses for the periods, respectively, pertaining to bookkeeping, record keeping and other administrative services provided to us in addition to our allocable portion of rent and other overhead related expenses. As of February 28, 2014, $0.4 million of administrator expenses were accrued and included in due to manager in the accompanying consolidated statements of assets and liabilities. As of February 28, 2013, $0.2 million of administrator expenses were accrued and included in due to manager in the accompanying consolidated statements of assets and liabilities. For the years ended February 28, 2014 and 2013, and February 29, 2012, the Company bought investments fair valued at $0.3 million, $0.0 million and $15.6 million, respectively, from the Saratoga CLO and sold no investments to related parties.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 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 $45.0 million senior secured revolving credit facility (the “Credit Facility”) with Madison Capital Funding LLC, in each case, described in “Note 14. Recapitalization Transaction” below,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Credit Facility to secure our obligations thereunder.</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225" w:lineRule="exact"/>
        <w:rPr>
          <w:sz w:val="20"/>
          <w:szCs w:val="20"/>
          <w:color w:val="auto"/>
        </w:rPr>
      </w:pPr>
    </w:p>
    <w:p>
      <w:pPr>
        <w:ind w:left="940" w:hanging="284"/>
        <w:spacing w:after="0"/>
        <w:tabs>
          <w:tab w:leader="none" w:pos="9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225" w:lineRule="exact"/>
        <w:rPr>
          <w:rFonts w:ascii="Arial" w:cs="Arial" w:eastAsia="Arial" w:hAnsi="Arial"/>
          <w:sz w:val="18"/>
          <w:szCs w:val="18"/>
          <w:color w:val="auto"/>
        </w:rPr>
      </w:pPr>
    </w:p>
    <w:p>
      <w:pPr>
        <w:jc w:val="both"/>
        <w:ind w:left="980" w:right="520" w:hanging="324"/>
        <w:spacing w:after="0" w:line="312" w:lineRule="auto"/>
        <w:tabs>
          <w:tab w:leader="none" w:pos="944"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All borrowings and other amounts payable under the credit facility are due and payable five years after the end of the Revolving Period; and</w:t>
      </w:r>
    </w:p>
    <w:p>
      <w:pPr>
        <w:spacing w:after="0" w:line="146" w:lineRule="exact"/>
        <w:rPr>
          <w:rFonts w:ascii="Arial" w:cs="Arial" w:eastAsia="Arial" w:hAnsi="Arial"/>
          <w:sz w:val="16"/>
          <w:szCs w:val="16"/>
          <w:color w:val="auto"/>
        </w:rPr>
      </w:pPr>
    </w:p>
    <w:p>
      <w:pPr>
        <w:ind w:left="940" w:hanging="284"/>
        <w:spacing w:after="0"/>
        <w:tabs>
          <w:tab w:leader="none" w:pos="9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23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of February 28, 2014, there was no outstanding balance under the Credit Facility and the Company was in compliance with all of the limitations and requirements of the Credit Facility. $2.3 million of financing costs related to the Credit Facility have been capitalized and are being amortized over the term of the facility. For the years ended February 28, 2014, February 28, 2013 and February 29, 2012, we recorded $1.0 million, $2.0 million, and $0.6 million of interest expense, respectively. For the years ended February 28, 2014, February 28, 2013 and February 29, 2012, we recorded $0.4 million, $0.4 million and $0.7 million of amortization of deferred financing costs related to the Credit Facility and Revolving Facility, respectively. The interest rates during the years ended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February 28, 2014, February 28, 2013 and February 29, 2012 on the outstanding borrowings under the Credit Facility ranged from 7.50% to 7.50%, 7.50% to 7.50%, and 7.50% to 7.50%, respectively.</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Credit Facility contains limitations as to how borrowed funds may be used, such as restrictions on industry concentrations, asset size, weighted average life, currency denomination and collateral interests. The Credit Facility also includes certain requirements relating to portfolio performance, the violation of which could result in the limit of further advances and, in some cases, result in an event of default, allowing the lenders to accelerate repayment of amounts owed thereunder. The Credit Facility has an eight year term, consisting of a three year period (the “Revolving Period”), under which the Company may make and repay borrowings, and a final maturity five years from the end of the Revolving Period. Availability on the Credit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Credit Facility for the duration of the Revolving Period.</w:t>
      </w:r>
    </w:p>
    <w:p>
      <w:pPr>
        <w:spacing w:after="0" w:line="16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borrowing base under the Credit Facility was $44.6 million subject to the Credit Facility cap of $45.0 million at February 28, 2014. For purposes of determining the borrowing base, most assets are assigned the values set forth in our most recent Annual Report on Form 10-K or Quarterly Report on Form 10-Q filed with the SEC. Accordingly, the February 28, 2014 borrowing base relies upon the valuations set forth in the Annual Report on Form 10-K for the year ended February 28, 2013. The valuations presented in this Annual Report on Form 10-K will not be incorporated into the borrowing base until after this Annual Report on Form 10-K is filed with the SEC.</w:t>
      </w:r>
    </w:p>
    <w:p>
      <w:pPr>
        <w:sectPr>
          <w:pgSz w:w="11900" w:h="16838" w:orient="portrait"/>
          <w:cols w:equalWidth="0" w:num="1">
            <w:col w:w="11420"/>
          </w:cols>
          <w:pgMar w:left="240" w:top="121" w:right="239" w:bottom="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SBA Debentures</w:t>
      </w:r>
    </w:p>
    <w:p>
      <w:pPr>
        <w:sectPr>
          <w:pgSz w:w="11900" w:h="16838" w:orient="portrait"/>
          <w:cols w:equalWidth="0" w:num="1">
            <w:col w:w="11420"/>
          </w:cols>
          <w:pgMar w:left="240" w:top="121" w:right="239" w:bottom="0" w:gutter="0" w:footer="0" w:header="0"/>
          <w:type w:val="continuous"/>
        </w:sectPr>
      </w:pPr>
    </w:p>
    <w:bookmarkStart w:id="75" w:name="page76"/>
    <w:bookmarkEnd w:id="75"/>
    <w:p>
      <w:pPr>
        <w:ind w:right="40" w:firstLine="648"/>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February 28, 2014, we have funded SBIC LP with $32.0 million of equity capital, and have $50.0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$18.0 million and have average annual fully taxed net income not exceeding $6.0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 guaranteed debenture funding, which is dependent upon SBIC LP continuing to be in compliance with SBA regulations and policies. The SBA, as a creditor, will have a superior claim to SBIC LP’s assets over our stockholders and debtholders in the event we liquidate SBIC LP or the SBA exercises its remedies under the SBA-guaranteed debentures issued by SBIC LP upon an event of default.</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received exemptive relief from the Securities and Exchange Commission to permit it to exclude the debt of SBIC LP guaranteed by the SBA from the definition of senior securities in the 200.0% asset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70" w:lineRule="exact"/>
        <w:rPr>
          <w:sz w:val="20"/>
          <w:szCs w:val="20"/>
          <w:color w:val="auto"/>
        </w:rPr>
      </w:pPr>
    </w:p>
    <w:p>
      <w:pPr>
        <w:ind w:right="40" w:firstLine="622"/>
        <w:spacing w:after="0" w:line="272" w:lineRule="auto"/>
        <w:rPr>
          <w:sz w:val="20"/>
          <w:szCs w:val="20"/>
          <w:color w:val="auto"/>
        </w:rPr>
      </w:pPr>
      <w:r>
        <w:rPr>
          <w:rFonts w:ascii="Arial" w:cs="Arial" w:eastAsia="Arial" w:hAnsi="Arial"/>
          <w:sz w:val="17"/>
          <w:szCs w:val="17"/>
          <w:color w:val="auto"/>
        </w:rPr>
        <w:t>As of February 28, 2014 and February 28, 2013, there was $50.0 million and $36.0 million outstanding of SBA debentures, respectively. The carrying amount of the amount outstanding of SBA debentures approximates its fair value. $1.7 million of financing costs related to the SBA debentures have been capitalized and are being amortized over the term of the commitment and drawdown. For the years ended February 28, 2014 and February 28, 2013, we recorded $1.3 million and $0.1 million of interest expense related to the SBA debentures. For the years ended February 28, 2014 and February 28, 2013, we recorded $0.2 million and $0.1 million of amortization of deferred financing costs related to the SBA debentures, respectively. The weighted average interest rate during the years ended February 28, 2014 and February 28, 2013 on the outstanding borrowings of the SBA debentures was 3.03% and 1.42%, respectively. There were no outstanding SBA debentures at February 29,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“Notes”). The Notes will mature on May 31, 2020, and may be redeemed in whole or in part at any time or from time to time at the Company’s option on or after May 31, 2016. Interest will be payable quarterly beginning August 15, 2013.</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May 17, 2013, the Company closed an additional $6.3 million in aggregate principal amount of the Notes, pursuant to the full exercise of the underwriters’ option to purchase additional Notes.</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February 28, 2014, the carrying amount and fair value of the Notes was $48.3 million and $48.6 million, respectively. The fair value of the Notes, which are publicly traded, is based upon closing market quotes as of the measurement date and would be classified as a level 1 liability within the fair value hierarchy. As of February 28, 2014, $2.5 million of financing costs related to the Notes have been capitalized and are being amortized over the term of the Notes. For the year ended February 28, 2014, we recorded $2.9 million of interest expense and $0.3 million of amortization of deferred financing costs related to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February 28,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4"/>
                <w:szCs w:val="14"/>
                <w:b w:val="1"/>
                <w:bCs w:val="1"/>
                <w:color w:val="auto"/>
              </w:rPr>
              <w:t>Payment Due by Period</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0"/>
                <w:szCs w:val="10"/>
                <w:color w:val="auto"/>
              </w:rPr>
            </w:pPr>
          </w:p>
        </w:tc>
        <w:tc>
          <w:tcPr>
            <w:tcW w:w="12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Less Than</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right"/>
              <w:ind w:right="425"/>
              <w:spacing w:after="0" w:line="119" w:lineRule="exact"/>
              <w:rPr>
                <w:sz w:val="20"/>
                <w:szCs w:val="20"/>
                <w:color w:val="auto"/>
              </w:rPr>
            </w:pPr>
            <w:r>
              <w:rPr>
                <w:rFonts w:ascii="Arial" w:cs="Arial" w:eastAsia="Arial" w:hAnsi="Arial"/>
                <w:sz w:val="13"/>
                <w:szCs w:val="13"/>
                <w:b w:val="1"/>
                <w:bCs w:val="1"/>
                <w:color w:val="auto"/>
              </w:rPr>
              <w:t>1 - 3</w:t>
            </w:r>
          </w:p>
        </w:tc>
        <w:tc>
          <w:tcPr>
            <w:tcW w:w="300" w:type="dxa"/>
            <w:vAlign w:val="bottom"/>
          </w:tcPr>
          <w:p>
            <w:pPr>
              <w:spacing w:after="0"/>
              <w:rPr>
                <w:sz w:val="10"/>
                <w:szCs w:val="10"/>
                <w:color w:val="auto"/>
              </w:rPr>
            </w:pPr>
          </w:p>
        </w:tc>
        <w:tc>
          <w:tcPr>
            <w:tcW w:w="90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rPr>
              <w:t>3 - 5</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04"/>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1 Year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Years</w:t>
            </w:r>
          </w:p>
        </w:tc>
        <w:tc>
          <w:tcPr>
            <w:tcW w:w="900" w:type="dxa"/>
            <w:vAlign w:val="bottom"/>
          </w:tcPr>
          <w:p>
            <w:pPr>
              <w:jc w:val="center"/>
              <w:ind w:left="249"/>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98,300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49"/>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98,300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Company’s off-balance sheet arrangements consisted of $12.2 million and $0.0 million of unfunded commitments to provide debt financing to its portfolio companies or to fund limited partnership interests as of February 28, 2014 and 2013,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ectPr>
          <w:pgSz w:w="11900" w:h="16838" w:orient="portrait"/>
          <w:cols w:equalWidth="0" w:num="1">
            <w:col w:w="11420"/>
          </w:cols>
          <w:pgMar w:left="240" w:top="341" w:right="239" w:bottom="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independent directors receive an annual fee of $40,000. They also receive $2,500 plus reimbursement of reasonable out-of-pocket expenses incurred in connection with attending each board meeting and receive $1,000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years ended February 28, 2014, February 28, 2013 and February 29, 2012, we accrued $0.2 million, $0.2 million, and $0.2 million for directors’ fees expense, respectively. As of February 28, 2014 and February 28, 2013, $0.05 million and $0.05 million in directors’ fees expense were unpaid and included in accounts payable and accrued expenses in the consolidated statements of assets and liabilities. As of February 28, 2014, we had not issued any common stock to our directors as compensation for their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440" w:firstLine="622"/>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ind w:right="80" w:firstLine="622"/>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 See “Note 14. Recapitalization Transaction.”</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 $1.2 million in cash and 596,235 shares of common stock.</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 $2.0 million in cash and 599,584 shares of common stock.</w:t>
      </w:r>
    </w:p>
    <w:p>
      <w:pPr>
        <w:spacing w:after="0" w:line="187" w:lineRule="exact"/>
        <w:rPr>
          <w:sz w:val="20"/>
          <w:szCs w:val="20"/>
          <w:color w:val="auto"/>
        </w:rPr>
      </w:pPr>
    </w:p>
    <w:p>
      <w:pPr>
        <w:ind w:right="180" w:firstLine="622"/>
        <w:spacing w:after="0" w:line="277"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24" w:lineRule="exact"/>
        <w:rPr>
          <w:sz w:val="20"/>
          <w:szCs w:val="20"/>
          <w:color w:val="auto"/>
        </w:rPr>
      </w:pPr>
    </w:p>
    <w:p>
      <w:pPr>
        <w:ind w:right="100" w:firstLine="622"/>
        <w:spacing w:after="0" w:line="259"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ectPr>
          <w:pgSz w:w="11900" w:h="16838" w:orient="portrait"/>
          <w:cols w:equalWidth="0" w:num="1">
            <w:col w:w="11420"/>
          </w:cols>
          <w:pgMar w:left="240" w:top="121" w:right="239" w:bottom="36" w:gutter="0" w:footer="0" w:header="0"/>
        </w:sectPr>
      </w:pPr>
    </w:p>
    <w:bookmarkStart w:id="77" w:name="page78"/>
    <w:bookmarkEnd w:id="77"/>
    <w:p>
      <w:pPr>
        <w:spacing w:after="0" w:line="5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the provisions of FASB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decrease in net assets per share from operations for the years ended February 28, 2014, February 28, 2013 and February 29, 2012 (dollars in thousands except share and per share amounts):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February 28,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29,</w:t>
            </w:r>
          </w:p>
        </w:tc>
        <w:tc>
          <w:tcPr>
            <w:tcW w:w="0" w:type="dxa"/>
            <w:vAlign w:val="bottom"/>
          </w:tcPr>
          <w:p>
            <w:pPr>
              <w:spacing w:after="0"/>
              <w:rPr>
                <w:sz w:val="1"/>
                <w:szCs w:val="1"/>
                <w:color w:val="auto"/>
              </w:rPr>
            </w:pPr>
          </w:p>
        </w:tc>
      </w:tr>
      <w:tr>
        <w:trPr>
          <w:trHeight w:val="171"/>
        </w:trPr>
        <w:tc>
          <w:tcPr>
            <w:tcW w:w="4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4,920,517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4,110,484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3,434,345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Dividend</w:t>
      </w:r>
    </w:p>
    <w:p>
      <w:pPr>
        <w:spacing w:after="0" w:line="229" w:lineRule="exact"/>
        <w:rPr>
          <w:sz w:val="20"/>
          <w:szCs w:val="20"/>
          <w:color w:val="auto"/>
        </w:rPr>
      </w:pPr>
    </w:p>
    <w:p>
      <w:pPr>
        <w:ind w:right="100" w:firstLine="612"/>
        <w:spacing w:after="0" w:line="264"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w:t>
      </w:r>
    </w:p>
    <w:p>
      <w:pPr>
        <w:spacing w:after="0" w:line="18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Based on shareholder elections, the dividend consisted of approximately $2.5 million in cash and 649,500 shares of common stock, or 13.7% of our outstanding common stock prior to the dividend payment. The number of shares of common stock comprising the stock portion was calculated based on a price of $15.439 per share, which equaled the volume weighted average trading price per share of the common stock on December 11, 13, and 16, 2013.</w:t>
      </w:r>
    </w:p>
    <w:p>
      <w:pPr>
        <w:spacing w:after="0" w:line="147" w:lineRule="exact"/>
        <w:rPr>
          <w:sz w:val="20"/>
          <w:szCs w:val="20"/>
          <w:color w:val="auto"/>
        </w:rPr>
      </w:pPr>
    </w:p>
    <w:p>
      <w:pPr>
        <w:jc w:val="both"/>
        <w:ind w:right="100" w:firstLine="622"/>
        <w:spacing w:after="0" w:line="264"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Based on shareholder elections, the dividend consisted of approximately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19, 2012.</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November 15, 2011, we declared a dividend of $3.00 per share payable on December 30, 2011. Shareholders had the option to receive payment of the dividend in cash, shares of common stock, or a combination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of cash and shares of common stock, provided that the aggregate cash payable to all shareholders was limited to approximately $2.0 million or $0.60 per share.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Based on shareholder elections, the dividend consisted of approximately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$13.1171 per share, which equaled the volume weighted average trading price per share of the common stock on December 20, 21 and 22, 2011.</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November 12, 2010, we declared a dividend of $4.40 per share payable on December 23, 2010. Shareholders had the option to receive payment of the dividend in cash, shares of common stock, or a combination of cash and shares of common stock, provided that the aggregate cash payable to all shareholders was limited to approximately $1.2 million or $0.44 per share.</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Based on shareholder elections, the dividend consisted of approximately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 The financial statements for the period ended November 30, 2010 have been retroactively adjusted to reflect the increase in common stock as a result of the dividend in accordance with the provisions of ASC 505-20-S50 regarding disclosure of a capital structure change after the interim balance sheet but before the release of the financial statements.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summarize dividends declared during the years ended February 28, 2014, February 28, 2013, February 29, 2012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 (dollars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Record Date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280" w:type="dxa"/>
            <w:vAlign w:val="bottom"/>
          </w:tcPr>
          <w:p>
            <w:pPr>
              <w:spacing w:after="0"/>
              <w:rPr>
                <w:sz w:val="14"/>
                <w:szCs w:val="14"/>
                <w:color w:val="auto"/>
              </w:rPr>
            </w:pPr>
          </w:p>
        </w:tc>
        <w:tc>
          <w:tcPr>
            <w:tcW w:w="1040" w:type="dxa"/>
            <w:vAlign w:val="bottom"/>
          </w:tcPr>
          <w:p>
            <w:pPr>
              <w:jc w:val="center"/>
              <w:ind w:left="26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left="240"/>
              <w:spacing w:after="0"/>
              <w:rPr>
                <w:sz w:val="20"/>
                <w:szCs w:val="20"/>
                <w:color w:val="auto"/>
              </w:rPr>
            </w:pPr>
            <w:r>
              <w:rPr>
                <w:rFonts w:ascii="Arial" w:cs="Arial" w:eastAsia="Arial" w:hAnsi="Arial"/>
                <w:sz w:val="14"/>
                <w:szCs w:val="14"/>
                <w:b w:val="1"/>
                <w:bCs w:val="1"/>
                <w:color w:val="auto"/>
                <w:w w:val="95"/>
              </w:rPr>
              <w:t>Per Share*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30, 2013</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November 13, 2013</w:t>
            </w:r>
          </w:p>
        </w:tc>
        <w:tc>
          <w:tcPr>
            <w:tcW w:w="3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27, 2013</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6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Total dividends declared</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2.65</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Record Date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280" w:type="dxa"/>
            <w:vAlign w:val="bottom"/>
          </w:tcPr>
          <w:p>
            <w:pPr>
              <w:spacing w:after="0"/>
              <w:rPr>
                <w:sz w:val="24"/>
                <w:szCs w:val="24"/>
                <w:color w:val="auto"/>
              </w:rPr>
            </w:pPr>
          </w:p>
        </w:tc>
        <w:tc>
          <w:tcPr>
            <w:tcW w:w="1040" w:type="dxa"/>
            <w:vAlign w:val="bottom"/>
          </w:tcPr>
          <w:p>
            <w:pPr>
              <w:jc w:val="center"/>
              <w:ind w:left="26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left="240"/>
              <w:spacing w:after="0"/>
              <w:rPr>
                <w:sz w:val="20"/>
                <w:szCs w:val="20"/>
                <w:color w:val="auto"/>
              </w:rPr>
            </w:pPr>
            <w:r>
              <w:rPr>
                <w:rFonts w:ascii="Arial" w:cs="Arial" w:eastAsia="Arial" w:hAnsi="Arial"/>
                <w:sz w:val="14"/>
                <w:szCs w:val="14"/>
                <w:b w:val="1"/>
                <w:bCs w:val="1"/>
                <w:color w:val="auto"/>
                <w:w w:val="95"/>
              </w:rPr>
              <w:t>Per Share*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9, 2012</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November 20, 2012</w:t>
            </w:r>
          </w:p>
        </w:tc>
        <w:tc>
          <w:tcPr>
            <w:tcW w:w="3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2012</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6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4.25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Total dividends declared</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4.25</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Record Date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280" w:type="dxa"/>
            <w:vAlign w:val="bottom"/>
          </w:tcPr>
          <w:p>
            <w:pPr>
              <w:spacing w:after="0"/>
              <w:rPr>
                <w:sz w:val="24"/>
                <w:szCs w:val="24"/>
                <w:color w:val="auto"/>
              </w:rPr>
            </w:pPr>
          </w:p>
        </w:tc>
        <w:tc>
          <w:tcPr>
            <w:tcW w:w="1040" w:type="dxa"/>
            <w:vAlign w:val="bottom"/>
          </w:tcPr>
          <w:p>
            <w:pPr>
              <w:jc w:val="center"/>
              <w:ind w:left="26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left="240"/>
              <w:spacing w:after="0"/>
              <w:rPr>
                <w:sz w:val="20"/>
                <w:szCs w:val="20"/>
                <w:color w:val="auto"/>
              </w:rPr>
            </w:pPr>
            <w:r>
              <w:rPr>
                <w:rFonts w:ascii="Arial" w:cs="Arial" w:eastAsia="Arial" w:hAnsi="Arial"/>
                <w:sz w:val="14"/>
                <w:szCs w:val="14"/>
                <w:b w:val="1"/>
                <w:bCs w:val="1"/>
                <w:color w:val="auto"/>
                <w:w w:val="95"/>
              </w:rPr>
              <w:t>Per Share*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15, 2011</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November 25, 2011</w:t>
            </w:r>
          </w:p>
        </w:tc>
        <w:tc>
          <w:tcPr>
            <w:tcW w:w="3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30, 2011</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6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Total dividends declared</w:t>
            </w: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3.00</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Record Date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12, 2010</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November 19, 2010</w:t>
            </w:r>
          </w:p>
        </w:tc>
        <w:tc>
          <w:tcPr>
            <w:tcW w:w="3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29, 2010</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4.40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Total dividends declared</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4.40</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40" w:right="3600" w:hanging="5532"/>
        <w:spacing w:after="0" w:line="528"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per share is calculated based on the number of shares outstanding at the date of declaration. 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schedule of financial highlights for the years ended February 28, 2014, February 28, 2013, February 29, 2012, February 28, 2011, and February 28, 2010: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2010, the amount per share has been adjusted to reflect a one-for-ten reverse stock split effectuated in August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February 28,</w:t>
            </w:r>
          </w:p>
        </w:tc>
        <w:tc>
          <w:tcPr>
            <w:tcW w:w="16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February 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February 29,</w:t>
            </w:r>
          </w:p>
        </w:tc>
        <w:tc>
          <w:tcPr>
            <w:tcW w:w="1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February 28,</w:t>
            </w:r>
          </w:p>
        </w:tc>
        <w:tc>
          <w:tcPr>
            <w:tcW w:w="16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February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data:(7)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25.12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26.26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w w:val="92"/>
              </w:rPr>
              <w:t>Net realized and unrealized gains and losses 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investments and derivatives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increase (decrease) in net assets from</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Distributions declared from net investment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Distributions declared from net realized capital</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Total distributions to stockholders</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c>
          <w:tcPr>
            <w:tcW w:w="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(18.25)</w:t>
            </w:r>
          </w:p>
        </w:tc>
        <w:tc>
          <w:tcPr>
            <w:tcW w:w="2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Net asset value at end of period</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22.98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114,924,018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108,686,761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97,380,150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86,071,454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55,478,152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5,379,616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4,730,116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3,876,661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3,277,077</w:t>
            </w: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1,694,010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Total return based on market value(2)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9.11%</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36.67%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38.25%</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17.51%</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Ratio/Supplemental data:(6)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Ratio of net investment income to average, net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assets(4)(6)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Ratio of operating expenses to average net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assets(4)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12.05%</w:t>
            </w:r>
          </w:p>
        </w:tc>
        <w:tc>
          <w:tcPr>
            <w:tcW w:w="1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Ratio of incentive management fees to average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0.61%</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Ratio of credit facility related expenses to</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average net assets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3"/>
              </w:rPr>
              <w:t>Ratio of total expenses to average net assets(4)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12.21%</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Portfolio turnover rate(8)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37.82%</w:t>
            </w:r>
          </w:p>
        </w:tc>
        <w:tc>
          <w:tcPr>
            <w:tcW w:w="1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36.34%</w:t>
            </w:r>
          </w:p>
        </w:tc>
        <w:tc>
          <w:tcPr>
            <w:tcW w:w="1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8"/>
                <w:szCs w:val="18"/>
                <w:color w:val="auto"/>
              </w:rPr>
              <w:t>F-32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300" w:hanging="652"/>
        <w:spacing w:after="0" w:line="342" w:lineRule="auto"/>
        <w:tabs>
          <w:tab w:leader="none" w:pos="667" w:val="left"/>
        </w:tabs>
        <w:numPr>
          <w:ilvl w:val="0"/>
          <w:numId w:val="80"/>
        </w:numPr>
        <w:rPr>
          <w:rFonts w:ascii="Arial" w:cs="Arial" w:eastAsia="Arial" w:hAnsi="Arial"/>
          <w:sz w:val="16"/>
          <w:szCs w:val="16"/>
          <w:color w:val="auto"/>
        </w:rPr>
      </w:pPr>
      <w:r>
        <w:rPr>
          <w:rFonts w:ascii="Arial" w:cs="Arial" w:eastAsia="Arial" w:hAnsi="Arial"/>
          <w:sz w:val="16"/>
          <w:szCs w:val="16"/>
          <w:color w:val="auto"/>
        </w:rPr>
        <w:t>Net investment income per share is calculated using the weighted average shares outstanding during the period. Net investment income excluding expense waiver and reimbursement equals $2.05 and $4.75 per share for the years ended February 28, 2011 and 2010, respectively.</w:t>
      </w:r>
    </w:p>
    <w:p>
      <w:pPr>
        <w:spacing w:after="0" w:line="123" w:lineRule="exact"/>
        <w:rPr>
          <w:rFonts w:ascii="Arial" w:cs="Arial" w:eastAsia="Arial" w:hAnsi="Arial"/>
          <w:sz w:val="16"/>
          <w:szCs w:val="16"/>
          <w:color w:val="auto"/>
        </w:rPr>
      </w:pPr>
    </w:p>
    <w:p>
      <w:pPr>
        <w:ind w:left="660" w:right="100" w:hanging="652"/>
        <w:spacing w:after="0" w:line="259" w:lineRule="auto"/>
        <w:tabs>
          <w:tab w:leader="none" w:pos="66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86" w:lineRule="exact"/>
        <w:rPr>
          <w:rFonts w:ascii="Arial" w:cs="Arial" w:eastAsia="Arial" w:hAnsi="Arial"/>
          <w:sz w:val="18"/>
          <w:szCs w:val="18"/>
          <w:color w:val="auto"/>
        </w:rPr>
      </w:pPr>
    </w:p>
    <w:p>
      <w:pPr>
        <w:jc w:val="both"/>
        <w:ind w:left="660" w:right="40" w:hanging="652"/>
        <w:spacing w:after="0" w:line="312" w:lineRule="auto"/>
        <w:tabs>
          <w:tab w:leader="none" w:pos="66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dividend reinvestment plan. Total investment return does not reflect brokerage commissions.</w:t>
      </w:r>
    </w:p>
    <w:p>
      <w:pPr>
        <w:spacing w:after="0" w:line="146" w:lineRule="exact"/>
        <w:rPr>
          <w:rFonts w:ascii="Arial" w:cs="Arial" w:eastAsia="Arial" w:hAnsi="Arial"/>
          <w:sz w:val="16"/>
          <w:szCs w:val="16"/>
          <w:color w:val="auto"/>
        </w:rPr>
      </w:pPr>
    </w:p>
    <w:p>
      <w:pPr>
        <w:ind w:left="660" w:right="120" w:hanging="652"/>
        <w:spacing w:after="0" w:line="381" w:lineRule="auto"/>
        <w:tabs>
          <w:tab w:leader="none" w:pos="6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For the year ended February 28, 2011, net of the expense waiver and reimbursement arrangement, the ratio of net investment income, operating expenses, total expenses to average net assets is 6.87%, 11.71%, and 11.68%, respectively. For the year ended February 28, 2010, net of the expense</w:t>
      </w:r>
    </w:p>
    <w:p>
      <w:pPr>
        <w:sectPr>
          <w:pgSz w:w="11900" w:h="16838" w:orient="portrait"/>
          <w:cols w:equalWidth="0" w:num="1">
            <w:col w:w="11460"/>
          </w:cols>
          <w:pgMar w:left="240" w:top="125" w:right="199" w:bottom="0" w:gutter="0" w:footer="0" w:header="0"/>
        </w:sectPr>
      </w:pPr>
    </w:p>
    <w:bookmarkStart w:id="79" w:name="page80"/>
    <w:bookmarkEnd w:id="79"/>
    <w:p>
      <w:pPr>
        <w:ind w:left="660" w:right="20"/>
        <w:spacing w:after="0" w:line="277" w:lineRule="auto"/>
        <w:rPr>
          <w:sz w:val="20"/>
          <w:szCs w:val="20"/>
          <w:color w:val="auto"/>
        </w:rPr>
      </w:pPr>
      <w:r>
        <w:rPr>
          <w:rFonts w:ascii="Arial" w:cs="Arial" w:eastAsia="Arial" w:hAnsi="Arial"/>
          <w:sz w:val="18"/>
          <w:szCs w:val="18"/>
          <w:color w:val="auto"/>
        </w:rPr>
        <w:t>waiver and reimbursement arrangement, the ratio of net investment income, operating expenses, total expenses to average net assets is 9.12%, 8.71% and 15.77%, respectively.</w:t>
      </w:r>
    </w:p>
    <w:p>
      <w:pPr>
        <w:spacing w:after="0" w:line="170" w:lineRule="exact"/>
        <w:rPr>
          <w:sz w:val="20"/>
          <w:szCs w:val="20"/>
          <w:color w:val="auto"/>
        </w:rPr>
      </w:pPr>
    </w:p>
    <w:p>
      <w:pPr>
        <w:ind w:left="660" w:right="260" w:hanging="652"/>
        <w:spacing w:after="0" w:line="277" w:lineRule="auto"/>
        <w:tabs>
          <w:tab w:leader="none" w:pos="6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the dilutive effect of issuing common stock below net asset value per share during the period in connection with the satisfaction of the Company’s annual RIC distribution requirement. See Note 12, Dividend.</w:t>
      </w:r>
    </w:p>
    <w:p>
      <w:pPr>
        <w:spacing w:after="0" w:line="170" w:lineRule="exact"/>
        <w:rPr>
          <w:rFonts w:ascii="Arial" w:cs="Arial" w:eastAsia="Arial" w:hAnsi="Arial"/>
          <w:sz w:val="18"/>
          <w:szCs w:val="18"/>
          <w:color w:val="auto"/>
        </w:rPr>
      </w:pPr>
    </w:p>
    <w:p>
      <w:pPr>
        <w:ind w:left="660" w:right="720" w:hanging="652"/>
        <w:spacing w:after="0" w:line="277" w:lineRule="auto"/>
        <w:tabs>
          <w:tab w:leader="none" w:pos="6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ratio for the year ended February 28, 2010 do not include the effect of the waiver of deferred incentive fees which is (3.83)% on a non-annualized basis as this is a one time waiver.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February 28, 2010 data has been adjusted to reflect a one-for-ten reverse stock split effectuated in August 2010.</w:t>
      </w:r>
    </w:p>
    <w:p>
      <w:pPr>
        <w:spacing w:after="0" w:line="225" w:lineRule="exact"/>
        <w:rPr>
          <w:rFonts w:ascii="Arial" w:cs="Arial" w:eastAsia="Arial" w:hAnsi="Arial"/>
          <w:sz w:val="18"/>
          <w:szCs w:val="18"/>
          <w:color w:val="auto"/>
        </w:rPr>
      </w:pPr>
    </w:p>
    <w:p>
      <w:pPr>
        <w:ind w:left="660" w:right="420" w:hanging="652"/>
        <w:spacing w:after="0" w:line="277" w:lineRule="auto"/>
        <w:tabs>
          <w:tab w:leader="none" w:pos="6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Recapitalization Transaction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July 2010, we consummated a recapitalization transaction that was necessitated by the fact that we had exceeded permissible borrowing limits under the Revolving Facility in July 2009, which resulted in an event of default under the Revolving Facility. As a result of the event of default under the Revolving Facility, the lender had the right to accelerate repayment of the outstanding indebtedness under the Revolving Facility and to foreclose and liquidate the collateral pledged thereunder. We engaged the investment banking firm of Stifel, Nicolaus &amp; Company to evaluate strategic transaction opportunities and consider alternatives for us in December 2008. On April 14, 2010, we entered into a stock purchase agreement with our Manager and certain of its affiliates and an assignment, assumption and novation agreement with our Manager, pursuant to which we assumed certain rights and obligations of our Manager under a debt commitment letter our Manager received from Madison Capital Funding LLC, indicating Madison Capital Funding’s willingness to provide us with the Credit Facility, subject to the satisfaction of certain terms and conditions. In addition, we and GSCP (NJ), L.P., our then external investment adviser,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6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July 30, 2010, the transactions contemplated by the stock purchase agreement with our Manager and certain of its affiliates was completed, and included the following 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private sale of shares of our common stock for $15.0 million in aggregate purchase price to our Manager and certain of its affiliates;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closing of the $40.0 million Credit Facility with Madison Capital Funding;</w:t>
      </w:r>
    </w:p>
    <w:p>
      <w:pPr>
        <w:spacing w:after="0" w:line="225" w:lineRule="exact"/>
        <w:rPr>
          <w:rFonts w:ascii="Arial" w:cs="Arial" w:eastAsia="Arial" w:hAnsi="Arial"/>
          <w:sz w:val="18"/>
          <w:szCs w:val="18"/>
          <w:color w:val="auto"/>
        </w:rPr>
      </w:pPr>
    </w:p>
    <w:p>
      <w:pPr>
        <w:ind w:left="980" w:right="840" w:hanging="324"/>
        <w:spacing w:after="0" w:line="342" w:lineRule="auto"/>
        <w:tabs>
          <w:tab w:leader="none" w:pos="944"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execution of a registration rights agreement with the investors in the private sale transaction, pursuant to which we agreed to file a registration statement with the SEC to register for resale the shares of our common stock sold in the private sale transaction;</w:t>
      </w:r>
    </w:p>
    <w:p>
      <w:pPr>
        <w:spacing w:after="0" w:line="123" w:lineRule="exact"/>
        <w:rPr>
          <w:rFonts w:ascii="Arial" w:cs="Arial" w:eastAsia="Arial" w:hAnsi="Arial"/>
          <w:sz w:val="16"/>
          <w:szCs w:val="16"/>
          <w:color w:val="auto"/>
        </w:rPr>
      </w:pPr>
    </w:p>
    <w:p>
      <w:pPr>
        <w:ind w:left="980" w:right="520" w:hanging="324"/>
        <w:spacing w:after="0" w:line="308" w:lineRule="auto"/>
        <w:tabs>
          <w:tab w:leader="none" w:pos="94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execution of a trademark license agreement with our Manager pursuant to which our Manager granted us a non-exclusive, royalty-free license to use the “Saratoga” name, for so long as our Manager or one of its affiliates remains our investment adviser;</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replacing GSCP (NJ), L.P. as our investment adviser and administrator with our Manager by executing the Management Agreement, which was approved by our stockholders, and an administration agreement with our Manager;</w:t>
      </w:r>
    </w:p>
    <w:p>
      <w:pPr>
        <w:spacing w:after="0" w:line="170" w:lineRule="exact"/>
        <w:rPr>
          <w:rFonts w:ascii="Arial" w:cs="Arial" w:eastAsia="Arial" w:hAnsi="Arial"/>
          <w:sz w:val="18"/>
          <w:szCs w:val="18"/>
          <w:color w:val="auto"/>
        </w:rPr>
      </w:pPr>
    </w:p>
    <w:p>
      <w:pPr>
        <w:ind w:left="980" w:right="100" w:hanging="324"/>
        <w:spacing w:after="0" w:line="264" w:lineRule="auto"/>
        <w:tabs>
          <w:tab w:leader="none" w:pos="9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resignations of Robert F. Cummings, Jr. and Richard M. Hayden, both of whom are affiliates of GSCP (NJ) L.P., as members of the board of directors and the election of Christian L. Oberbeck and Richard A. Petrocelli, both of whom are affiliates of our Manager, as members of the board of directors;</w:t>
      </w:r>
    </w:p>
    <w:p>
      <w:pPr>
        <w:spacing w:after="0" w:line="181"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resignation of all of our then existing executive officers and the appointment by our board of directors of Mr. Oberbeck as our chief executive officer and Mr. Petrocelli as our chief financial officer, secretary and chief compliance officer;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name change from “GSC Investment Corp.” to “Saratoga Investment Corp.”</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used the net proceeds from the private sale transaction and a portion of the funds available to us under the Credit Facility to pay the full amount of principal and accrued interest, including default interest, outstanding under Revolving Facility. The Revolving Facility with Deutsche Bank was terminated in connection with our payment of all amounts outstanding thereunder on July 30,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Selected Quarterly Data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per share numbers)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Qtr 4</w:t>
            </w:r>
          </w:p>
        </w:tc>
        <w:tc>
          <w:tcPr>
            <w:tcW w:w="320" w:type="dxa"/>
            <w:vAlign w:val="bottom"/>
          </w:tcPr>
          <w:p>
            <w:pPr>
              <w:spacing w:after="0"/>
              <w:rPr>
                <w:sz w:val="12"/>
                <w:szCs w:val="12"/>
                <w:color w:val="auto"/>
              </w:rPr>
            </w:pPr>
          </w:p>
        </w:tc>
        <w:tc>
          <w:tcPr>
            <w:tcW w:w="134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Qtr 3</w:t>
            </w:r>
          </w:p>
        </w:tc>
        <w:tc>
          <w:tcPr>
            <w:tcW w:w="300" w:type="dxa"/>
            <w:vAlign w:val="bottom"/>
          </w:tcPr>
          <w:p>
            <w:pPr>
              <w:spacing w:after="0"/>
              <w:rPr>
                <w:sz w:val="12"/>
                <w:szCs w:val="12"/>
                <w:color w:val="auto"/>
              </w:rPr>
            </w:pPr>
          </w:p>
        </w:tc>
        <w:tc>
          <w:tcPr>
            <w:tcW w:w="134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Qtr 2</w:t>
            </w:r>
          </w:p>
        </w:tc>
        <w:tc>
          <w:tcPr>
            <w:tcW w:w="300" w:type="dxa"/>
            <w:vAlign w:val="bottom"/>
          </w:tcPr>
          <w:p>
            <w:pPr>
              <w:spacing w:after="0"/>
              <w:rPr>
                <w:sz w:val="12"/>
                <w:szCs w:val="12"/>
                <w:color w:val="auto"/>
              </w:rPr>
            </w:pPr>
          </w:p>
        </w:tc>
        <w:tc>
          <w:tcPr>
            <w:tcW w:w="106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Qtr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and related portfolio income</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2,898</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2,272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w w:val="93"/>
              </w:rPr>
              <w:t>Net increase (decrease) in net assets resulting from operations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1,268</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investment income per common share at end of each quarter</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w w:val="90"/>
              </w:rPr>
              <w:t>Net realized and unrealized gain (loss) per common share at end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of each quarter</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21.36</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20.67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23.77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per share numbers)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Qtr 4</w:t>
            </w:r>
          </w:p>
        </w:tc>
        <w:tc>
          <w:tcPr>
            <w:tcW w:w="320" w:type="dxa"/>
            <w:vAlign w:val="bottom"/>
          </w:tcPr>
          <w:p>
            <w:pPr>
              <w:spacing w:after="0"/>
              <w:rPr>
                <w:sz w:val="12"/>
                <w:szCs w:val="12"/>
                <w:color w:val="auto"/>
              </w:rPr>
            </w:pPr>
          </w:p>
        </w:tc>
        <w:tc>
          <w:tcPr>
            <w:tcW w:w="134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Qtr 3</w:t>
            </w:r>
          </w:p>
        </w:tc>
        <w:tc>
          <w:tcPr>
            <w:tcW w:w="300" w:type="dxa"/>
            <w:vAlign w:val="bottom"/>
          </w:tcPr>
          <w:p>
            <w:pPr>
              <w:spacing w:after="0"/>
              <w:rPr>
                <w:sz w:val="12"/>
                <w:szCs w:val="12"/>
                <w:color w:val="auto"/>
              </w:rPr>
            </w:pPr>
          </w:p>
        </w:tc>
        <w:tc>
          <w:tcPr>
            <w:tcW w:w="134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Qtr 2</w:t>
            </w:r>
          </w:p>
        </w:tc>
        <w:tc>
          <w:tcPr>
            <w:tcW w:w="300" w:type="dxa"/>
            <w:vAlign w:val="bottom"/>
          </w:tcPr>
          <w:p>
            <w:pPr>
              <w:spacing w:after="0"/>
              <w:rPr>
                <w:sz w:val="12"/>
                <w:szCs w:val="12"/>
                <w:color w:val="auto"/>
              </w:rPr>
            </w:pPr>
          </w:p>
        </w:tc>
        <w:tc>
          <w:tcPr>
            <w:tcW w:w="106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Qtr 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and related portfolio income</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2,489</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1,314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4,871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Net investment income per common share at end of each quarter</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w w:val="90"/>
              </w:rPr>
              <w:t>Net realized and unrealized gain (loss) per common share at end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of each quarter</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0.81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0.92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Net asset value per common share</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22.98</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21.75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27.20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F-34</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per share numbers)</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Qtr 4</w:t>
            </w:r>
          </w:p>
        </w:tc>
        <w:tc>
          <w:tcPr>
            <w:tcW w:w="320" w:type="dxa"/>
            <w:vAlign w:val="bottom"/>
          </w:tcPr>
          <w:p>
            <w:pPr>
              <w:spacing w:after="0"/>
              <w:rPr>
                <w:sz w:val="12"/>
                <w:szCs w:val="12"/>
                <w:color w:val="auto"/>
              </w:rPr>
            </w:pPr>
          </w:p>
        </w:tc>
        <w:tc>
          <w:tcPr>
            <w:tcW w:w="134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Qtr 3</w:t>
            </w:r>
          </w:p>
        </w:tc>
        <w:tc>
          <w:tcPr>
            <w:tcW w:w="300" w:type="dxa"/>
            <w:vAlign w:val="bottom"/>
          </w:tcPr>
          <w:p>
            <w:pPr>
              <w:spacing w:after="0"/>
              <w:rPr>
                <w:sz w:val="12"/>
                <w:szCs w:val="12"/>
                <w:color w:val="auto"/>
              </w:rPr>
            </w:pPr>
          </w:p>
        </w:tc>
        <w:tc>
          <w:tcPr>
            <w:tcW w:w="134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Qtr 2</w:t>
            </w:r>
          </w:p>
        </w:tc>
        <w:tc>
          <w:tcPr>
            <w:tcW w:w="300" w:type="dxa"/>
            <w:vAlign w:val="bottom"/>
          </w:tcPr>
          <w:p>
            <w:pPr>
              <w:spacing w:after="0"/>
              <w:rPr>
                <w:sz w:val="12"/>
                <w:szCs w:val="12"/>
                <w:color w:val="auto"/>
              </w:rPr>
            </w:pPr>
          </w:p>
        </w:tc>
        <w:tc>
          <w:tcPr>
            <w:tcW w:w="106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Qtr 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and related portfolio income</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2,720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w w:val="93"/>
              </w:rPr>
              <w:t>Net increase (decrease) in net assets resulting from operations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6,213</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(1,728)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Net investment income per common share at end of each quarter</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w w:val="90"/>
              </w:rPr>
              <w:t>Net realized and unrealized gain (loss) per common share at end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of each quarter</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Net asset value per common share</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25.12</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27.48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-1974215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-1974215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require disclosure in this Form 10-K or would be required to be recognized in the consolidated financial statements as of and for the year ended February 28, 2014.</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4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8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40" w:type="dxa"/>
            <w:vAlign w:val="bottom"/>
            <w:gridSpan w:val="4"/>
          </w:tcPr>
          <w:p>
            <w:pPr>
              <w:ind w:left="1460"/>
              <w:spacing w:after="0"/>
              <w:rPr>
                <w:sz w:val="20"/>
                <w:szCs w:val="20"/>
                <w:color w:val="auto"/>
              </w:rPr>
            </w:pPr>
            <w:r>
              <w:rPr>
                <w:rFonts w:ascii="Arial" w:cs="Arial" w:eastAsia="Arial" w:hAnsi="Arial"/>
                <w:sz w:val="18"/>
                <w:szCs w:val="18"/>
                <w:b w:val="1"/>
                <w:bCs w:val="1"/>
                <w:color w:val="auto"/>
              </w:rPr>
              <w:t>INDEX TO OTHER FINANCIAL STATEMENTS</w:t>
            </w:r>
          </w:p>
        </w:tc>
        <w:tc>
          <w:tcPr>
            <w:tcW w:w="2880" w:type="dxa"/>
            <w:vAlign w:val="bottom"/>
          </w:tcPr>
          <w:p>
            <w:pPr>
              <w:spacing w:after="0"/>
              <w:rPr>
                <w:sz w:val="24"/>
                <w:szCs w:val="24"/>
                <w:color w:val="auto"/>
              </w:rPr>
            </w:pPr>
          </w:p>
        </w:tc>
      </w:tr>
      <w:tr>
        <w:trPr>
          <w:trHeight w:val="432"/>
        </w:trPr>
        <w:tc>
          <w:tcPr>
            <w:tcW w:w="8540" w:type="dxa"/>
            <w:vAlign w:val="bottom"/>
            <w:gridSpan w:val="7"/>
          </w:tcPr>
          <w:p>
            <w:pPr>
              <w:ind w:left="660"/>
              <w:spacing w:after="0"/>
              <w:rPr>
                <w:sz w:val="20"/>
                <w:szCs w:val="20"/>
                <w:color w:val="auto"/>
              </w:rPr>
            </w:pPr>
            <w:r>
              <w:rPr>
                <w:rFonts w:ascii="Arial" w:cs="Arial" w:eastAsia="Arial" w:hAnsi="Arial"/>
                <w:sz w:val="18"/>
                <w:szCs w:val="18"/>
                <w:b w:val="1"/>
                <w:bCs w:val="1"/>
                <w:color w:val="auto"/>
              </w:rPr>
              <w:t>Saratoga Investment Corp. CLO 2013-1, Ltd.</w:t>
            </w:r>
          </w:p>
        </w:tc>
        <w:tc>
          <w:tcPr>
            <w:tcW w:w="2880" w:type="dxa"/>
            <w:vAlign w:val="bottom"/>
          </w:tcPr>
          <w:p>
            <w:pPr>
              <w:spacing w:after="0"/>
              <w:rPr>
                <w:sz w:val="24"/>
                <w:szCs w:val="24"/>
                <w:color w:val="auto"/>
              </w:rPr>
            </w:pPr>
          </w:p>
        </w:tc>
      </w:tr>
      <w:tr>
        <w:trPr>
          <w:trHeight w:val="392"/>
        </w:trPr>
        <w:tc>
          <w:tcPr>
            <w:tcW w:w="8540" w:type="dxa"/>
            <w:vAlign w:val="bottom"/>
            <w:gridSpan w:val="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Report of Independent Auditors</w:t>
              </w:r>
            </w:hyperlink>
          </w:p>
        </w:tc>
        <w:tc>
          <w:tcPr>
            <w:tcW w:w="2880" w:type="dxa"/>
            <w:vAlign w:val="bottom"/>
          </w:tcPr>
          <w:p>
            <w:pPr>
              <w:ind w:left="2640"/>
              <w:spacing w:after="0"/>
              <w:rPr>
                <w:sz w:val="20"/>
                <w:szCs w:val="20"/>
                <w:color w:val="auto"/>
              </w:rPr>
            </w:pPr>
            <w:r>
              <w:rPr>
                <w:rFonts w:ascii="Arial" w:cs="Arial" w:eastAsia="Arial" w:hAnsi="Arial"/>
                <w:sz w:val="18"/>
                <w:szCs w:val="18"/>
                <w:color w:val="auto"/>
                <w:w w:val="78"/>
              </w:rPr>
              <w:t>S-2</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Statements of Assets and Liabilities as of February 28, 2014 and 2013</w:t>
              </w:r>
            </w:hyperlink>
          </w:p>
        </w:tc>
        <w:tc>
          <w:tcPr>
            <w:tcW w:w="3480" w:type="dxa"/>
            <w:vAlign w:val="bottom"/>
            <w:gridSpan w:val="2"/>
          </w:tcPr>
          <w:p>
            <w:pPr>
              <w:spacing w:after="0"/>
              <w:rPr>
                <w:sz w:val="17"/>
                <w:szCs w:val="17"/>
                <w:color w:val="auto"/>
              </w:rPr>
            </w:pPr>
          </w:p>
        </w:tc>
        <w:tc>
          <w:tcPr>
            <w:tcW w:w="2880" w:type="dxa"/>
            <w:vAlign w:val="bottom"/>
          </w:tcPr>
          <w:p>
            <w:pPr>
              <w:ind w:left="2640"/>
              <w:spacing w:after="0" w:line="196" w:lineRule="exact"/>
              <w:rPr>
                <w:sz w:val="20"/>
                <w:szCs w:val="20"/>
                <w:color w:val="auto"/>
              </w:rPr>
            </w:pPr>
            <w:r>
              <w:rPr>
                <w:rFonts w:ascii="Arial" w:cs="Arial" w:eastAsia="Arial" w:hAnsi="Arial"/>
                <w:sz w:val="18"/>
                <w:szCs w:val="18"/>
                <w:color w:val="auto"/>
                <w:w w:val="78"/>
              </w:rPr>
              <w:t>S-3</w:t>
            </w:r>
          </w:p>
        </w:tc>
      </w:tr>
      <w:tr>
        <w:trPr>
          <w:trHeight w:val="196"/>
        </w:trPr>
        <w:tc>
          <w:tcPr>
            <w:tcW w:w="77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Statements of Operations for the years ended February 28, 2014, February 28, 2013, and February 29, 2012</w:t>
              </w:r>
            </w:hyperlink>
          </w:p>
        </w:tc>
        <w:tc>
          <w:tcPr>
            <w:tcW w:w="780" w:type="dxa"/>
            <w:vAlign w:val="bottom"/>
          </w:tcPr>
          <w:p>
            <w:pPr>
              <w:spacing w:after="0"/>
              <w:rPr>
                <w:sz w:val="17"/>
                <w:szCs w:val="17"/>
                <w:color w:val="auto"/>
              </w:rPr>
            </w:pPr>
          </w:p>
        </w:tc>
        <w:tc>
          <w:tcPr>
            <w:tcW w:w="2880" w:type="dxa"/>
            <w:vAlign w:val="bottom"/>
          </w:tcPr>
          <w:p>
            <w:pPr>
              <w:ind w:left="2640"/>
              <w:spacing w:after="0" w:line="196" w:lineRule="exact"/>
              <w:rPr>
                <w:sz w:val="20"/>
                <w:szCs w:val="20"/>
                <w:color w:val="auto"/>
              </w:rPr>
            </w:pPr>
            <w:r>
              <w:rPr>
                <w:rFonts w:ascii="Arial" w:cs="Arial" w:eastAsia="Arial" w:hAnsi="Arial"/>
                <w:sz w:val="18"/>
                <w:szCs w:val="18"/>
                <w:color w:val="auto"/>
                <w:w w:val="78"/>
              </w:rPr>
              <w:t>S-4</w:t>
            </w:r>
          </w:p>
        </w:tc>
      </w:tr>
      <w:tr>
        <w:trPr>
          <w:trHeight w:val="196"/>
        </w:trPr>
        <w:tc>
          <w:tcPr>
            <w:tcW w:w="43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Schedules of Investments as of February 28, 2014 and 2013</w:t>
              </w:r>
            </w:hyperlink>
          </w:p>
        </w:tc>
        <w:tc>
          <w:tcPr>
            <w:tcW w:w="4220" w:type="dxa"/>
            <w:vAlign w:val="bottom"/>
            <w:gridSpan w:val="3"/>
          </w:tcPr>
          <w:p>
            <w:pPr>
              <w:spacing w:after="0"/>
              <w:rPr>
                <w:sz w:val="17"/>
                <w:szCs w:val="17"/>
                <w:color w:val="auto"/>
              </w:rPr>
            </w:pPr>
          </w:p>
        </w:tc>
        <w:tc>
          <w:tcPr>
            <w:tcW w:w="2880" w:type="dxa"/>
            <w:vAlign w:val="bottom"/>
          </w:tcPr>
          <w:p>
            <w:pPr>
              <w:ind w:left="2640"/>
              <w:spacing w:after="0" w:line="196" w:lineRule="exact"/>
              <w:rPr>
                <w:sz w:val="20"/>
                <w:szCs w:val="20"/>
                <w:color w:val="auto"/>
              </w:rPr>
            </w:pPr>
            <w:r>
              <w:rPr>
                <w:rFonts w:ascii="Arial" w:cs="Arial" w:eastAsia="Arial" w:hAnsi="Arial"/>
                <w:sz w:val="18"/>
                <w:szCs w:val="18"/>
                <w:color w:val="auto"/>
                <w:w w:val="78"/>
              </w:rPr>
              <w:t>S-5</w:t>
            </w:r>
          </w:p>
        </w:tc>
      </w:tr>
      <w:tr>
        <w:trPr>
          <w:trHeight w:val="196"/>
        </w:trPr>
        <w:tc>
          <w:tcPr>
            <w:tcW w:w="85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Statements of Changes in Net Assets for the years ended February 28, 2014, February 28, 2013 and February 29, 2012</w:t>
              </w:r>
            </w:hyperlink>
          </w:p>
        </w:tc>
        <w:tc>
          <w:tcPr>
            <w:tcW w:w="2880" w:type="dxa"/>
            <w:vAlign w:val="bottom"/>
          </w:tcPr>
          <w:p>
            <w:pPr>
              <w:ind w:left="2640"/>
              <w:spacing w:after="0" w:line="196" w:lineRule="exact"/>
              <w:rPr>
                <w:sz w:val="20"/>
                <w:szCs w:val="20"/>
                <w:color w:val="auto"/>
              </w:rPr>
            </w:pPr>
            <w:r>
              <w:rPr>
                <w:rFonts w:ascii="Arial" w:cs="Arial" w:eastAsia="Arial" w:hAnsi="Arial"/>
                <w:sz w:val="18"/>
                <w:szCs w:val="18"/>
                <w:color w:val="auto"/>
                <w:w w:val="78"/>
              </w:rPr>
              <w:t>S-7</w:t>
            </w:r>
          </w:p>
        </w:tc>
      </w:tr>
      <w:tr>
        <w:trPr>
          <w:trHeight w:val="196"/>
        </w:trPr>
        <w:tc>
          <w:tcPr>
            <w:tcW w:w="8540" w:type="dxa"/>
            <w:vAlign w:val="bottom"/>
            <w:gridSpan w:val="7"/>
          </w:tcPr>
          <w:p>
            <w:pPr>
              <w:spacing w:after="0" w:line="196" w:lineRule="exact"/>
              <w:rPr>
                <w:rFonts w:ascii="Arial" w:cs="Arial" w:eastAsia="Arial" w:hAnsi="Arial"/>
                <w:sz w:val="18"/>
                <w:szCs w:val="18"/>
                <w:color w:val="0000EE"/>
                <w:w w:val="98"/>
              </w:rPr>
            </w:pPr>
            <w:hyperlink w:anchor="page89">
              <w:r>
                <w:rPr>
                  <w:rFonts w:ascii="Arial" w:cs="Arial" w:eastAsia="Arial" w:hAnsi="Arial"/>
                  <w:sz w:val="18"/>
                  <w:szCs w:val="18"/>
                  <w:color w:val="0000EE"/>
                  <w:w w:val="98"/>
                </w:rPr>
                <w:t>Statements of Cash Flows for the years ended February 28, 2014, February 28, 2013 and February 29, 2012</w:t>
              </w:r>
            </w:hyperlink>
          </w:p>
        </w:tc>
        <w:tc>
          <w:tcPr>
            <w:tcW w:w="2880" w:type="dxa"/>
            <w:vAlign w:val="bottom"/>
          </w:tcPr>
          <w:p>
            <w:pPr>
              <w:ind w:left="2640"/>
              <w:spacing w:after="0" w:line="196" w:lineRule="exact"/>
              <w:rPr>
                <w:sz w:val="20"/>
                <w:szCs w:val="20"/>
                <w:color w:val="auto"/>
              </w:rPr>
            </w:pPr>
            <w:r>
              <w:rPr>
                <w:rFonts w:ascii="Arial" w:cs="Arial" w:eastAsia="Arial" w:hAnsi="Arial"/>
                <w:sz w:val="18"/>
                <w:szCs w:val="18"/>
                <w:color w:val="auto"/>
                <w:w w:val="78"/>
              </w:rPr>
              <w:t>S-8</w:t>
            </w:r>
          </w:p>
        </w:tc>
      </w:tr>
      <w:tr>
        <w:trPr>
          <w:trHeight w:val="196"/>
        </w:trPr>
        <w:tc>
          <w:tcPr>
            <w:tcW w:w="7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Notes to Financial Statements</w:t>
              </w:r>
            </w:hyperlink>
          </w:p>
        </w:tc>
        <w:tc>
          <w:tcPr>
            <w:tcW w:w="780" w:type="dxa"/>
            <w:vAlign w:val="bottom"/>
          </w:tcPr>
          <w:p>
            <w:pPr>
              <w:spacing w:after="0"/>
              <w:rPr>
                <w:sz w:val="17"/>
                <w:szCs w:val="17"/>
                <w:color w:val="auto"/>
              </w:rPr>
            </w:pPr>
          </w:p>
        </w:tc>
        <w:tc>
          <w:tcPr>
            <w:tcW w:w="2880" w:type="dxa"/>
            <w:vAlign w:val="bottom"/>
          </w:tcPr>
          <w:p>
            <w:pPr>
              <w:ind w:left="2640"/>
              <w:spacing w:after="0" w:line="196" w:lineRule="exact"/>
              <w:rPr>
                <w:sz w:val="20"/>
                <w:szCs w:val="20"/>
                <w:color w:val="auto"/>
              </w:rPr>
            </w:pPr>
            <w:r>
              <w:rPr>
                <w:rFonts w:ascii="Arial" w:cs="Arial" w:eastAsia="Arial" w:hAnsi="Arial"/>
                <w:sz w:val="18"/>
                <w:szCs w:val="18"/>
                <w:color w:val="auto"/>
                <w:w w:val="78"/>
              </w:rPr>
              <w:t>S-9</w:t>
            </w:r>
          </w:p>
        </w:tc>
      </w:tr>
      <w:tr>
        <w:trPr>
          <w:trHeight w:val="20"/>
        </w:trPr>
        <w:tc>
          <w:tcPr>
            <w:tcW w:w="12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IMPORTANT NOTE</w:t>
      </w:r>
    </w:p>
    <w:p>
      <w:pPr>
        <w:spacing w:after="0" w:line="229" w:lineRule="exact"/>
        <w:rPr>
          <w:sz w:val="20"/>
          <w:szCs w:val="20"/>
          <w:color w:val="auto"/>
        </w:rPr>
      </w:pPr>
    </w:p>
    <w:p>
      <w:pPr>
        <w:ind w:left="660" w:right="160" w:firstLine="648"/>
        <w:spacing w:after="0" w:line="259" w:lineRule="auto"/>
        <w:rPr>
          <w:sz w:val="20"/>
          <w:szCs w:val="20"/>
          <w:color w:val="auto"/>
        </w:rPr>
      </w:pPr>
      <w:r>
        <w:rPr>
          <w:rFonts w:ascii="Arial" w:cs="Arial" w:eastAsia="Arial" w:hAnsi="Arial"/>
          <w:sz w:val="18"/>
          <w:szCs w:val="18"/>
          <w:color w:val="auto"/>
        </w:rPr>
        <w:t>In accordance with certain SEC rules, Saratoga Investment Corp. (the “Company”) is providing additional information regarding one of its portfolio companies, Saratoga Investment Corp. CLO 2013-1, Ltd. (“Saratoga CLO”). The Company owns 100% of the subordinated notes of the Saratoga CLO. The additional financial information regarding the Saratoga CLO does not directly impact the Company’s financial position, results of operations or cash flows.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Manager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Saratoga Investment Corp. CLO 2013-1, Ltd.</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have audited the accompanying financial statements of Saratoga Investment Corp. CLO 2013-1, Ltd. (the “Issuer”), which comprise the statements of assets and liabilities, as of February 28, 2014 and February 28, 2013, including the schedules of investments, and the statements of operations, changes in net assets, and cash flows for the years ended February 28, 2014, February 28, 2013 and February 29, 2012, and the related notes to the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ectPr>
          <w:pgSz w:w="11900" w:h="16838" w:orient="portrait"/>
          <w:cols w:equalWidth="0" w:num="1">
            <w:col w:w="11460"/>
          </w:cols>
          <w:pgMar w:left="240" w:top="333" w:right="199" w:bottom="0" w:gutter="0" w:footer="0" w:header="0"/>
        </w:sectPr>
      </w:pPr>
    </w:p>
    <w:bookmarkStart w:id="81" w:name="page82"/>
    <w:bookmarkEnd w:id="81"/>
    <w:p>
      <w:pPr>
        <w:spacing w:after="0" w:line="6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Issuer’s preparation and fair presentation of the financial statements in order to design audit procedures that are appropriate in the circumstances, but not for the purpose of expressing an opinion on the effectiveness of the Issuer’s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Saratoga Investment Corp. CLO 2013-1, Ltd. at February 28, 2014 and February 28, 2013, and the results of its operations, changes in its net assets and its cash flows for the years ended February 28, 2014, February 28, 2013 and February 29, 2012, in conformity with U.S. generally accepted accounting principles.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February 28, 2014</w:t>
            </w:r>
          </w:p>
        </w:tc>
        <w:tc>
          <w:tcPr>
            <w:tcW w:w="100" w:type="dxa"/>
            <w:vAlign w:val="bottom"/>
          </w:tcPr>
          <w:p>
            <w:pPr>
              <w:spacing w:after="0"/>
              <w:rPr>
                <w:sz w:val="12"/>
                <w:szCs w:val="12"/>
                <w:color w:val="auto"/>
              </w:rPr>
            </w:pPr>
          </w:p>
        </w:tc>
        <w:tc>
          <w:tcPr>
            <w:tcW w:w="126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Fair Value Loans (amortized cost of $299,137,566 and $366,099,395, respectively)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300,491,077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362,494,006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Fair Value Other/Structured finance securities (amortized cost of $0 and $13,743,946, respectively)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11,925,973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9"/>
              </w:rPr>
              <w:t>Total investments at fair value (amortized cost of $299,137,566 and $379,843,341, respectively)</w:t>
            </w: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300,491,077</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374,419,979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8,018,933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Receivable from open trades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1,801,266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5,131,538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1,450,952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Deferred debt financing costs,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2,166,633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2,092,787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91,336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314,020,197</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412,034,160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Interest payable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622,476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Payable from open trades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9,445,000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Accrued base management fee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75,053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Accrued subordinated management fee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75,053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Class A notes - GSCIC CLO 2007, Ltd.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Class B notes - GSCIC CLO 2007, Ltd.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Discount on class B notes - GSCIC CLO 2007, Ltd.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(417,011)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Class C notes - GSCIC CLO 2007, Ltd.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Class D notes - GSCIC CLO 2007, Ltd.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D notes - GSCIC CLO 2007, Ltd.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Class E notes - GSCIC CLO 2007, Ltd.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17,960,044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E notes - GSCIC CLO 2007, Ltd.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Class X Notes - SIC CLO 2013-1, Ltd.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1,666,666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Class A-1 Notes - SIC CLO 2013-1, Ltd.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170,000,000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Discount on Class A-1 Notes - SIC CLO 2013-1, Ltd.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(1,671,864)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Class A-2 Notes - SIC CLO 2013-1, Ltd.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Discount on Class A-2 Notes - SIC CLO 2013-1, Ltd.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(173,300)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8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Notes - SIC CLO 2013-1, Ltd.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44,800,000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Discount on Class B Notes - SIC CLO 2013-1, Ltd.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8"/>
                <w:szCs w:val="18"/>
                <w:color w:val="auto"/>
              </w:rPr>
              <w:t>(1,125,757)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Notes - SIC CLO 2013-1, Ltd.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Discount on Class C Notes - SIC CLO 2013-1, Ltd.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8"/>
                <w:szCs w:val="18"/>
                <w:color w:val="auto"/>
              </w:rPr>
              <w:t>(700,902)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Notes - SIC CLO 2013-1, Ltd.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Discount on Class D Notes - SIC CLO 2013-1, Ltd.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8"/>
                <w:szCs w:val="18"/>
                <w:color w:val="auto"/>
              </w:rPr>
              <w:t>(909,825)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E Notes - SIC CLO 2013-1, Ltd.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Discount on Class E Notes - SIC CLO 2013-1, Ltd.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8"/>
                <w:szCs w:val="18"/>
                <w:color w:val="auto"/>
              </w:rPr>
              <w:t>(1,715,285)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Notes - SIC CLO 2013-1, Ltd.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Discount on Class F Notes - SIC CLO 2013-1, Ltd.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8"/>
                <w:szCs w:val="18"/>
                <w:color w:val="auto"/>
              </w:rPr>
              <w:t>(623,880)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liabilities</w:t>
            </w:r>
          </w:p>
        </w:tc>
        <w:tc>
          <w:tcPr>
            <w:tcW w:w="5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317,363,435</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411,195,343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6"/>
          </w:tcPr>
          <w:p>
            <w:pPr>
              <w:spacing w:after="0" w:line="201" w:lineRule="exact"/>
              <w:rPr>
                <w:sz w:val="20"/>
                <w:szCs w:val="20"/>
                <w:color w:val="auto"/>
              </w:rPr>
            </w:pPr>
            <w:r>
              <w:rPr>
                <w:rFonts w:ascii="Arial" w:cs="Arial" w:eastAsia="Arial" w:hAnsi="Arial"/>
                <w:sz w:val="18"/>
                <w:szCs w:val="18"/>
                <w:color w:val="auto"/>
                <w:w w:val="93"/>
              </w:rPr>
              <w:t>Ordinary equity, par value $1.00, 250 ordinary shares authorized, 250 and 250 issued and outstanding,</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gain (loss)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838,567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(5,963,092)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8"/>
                <w:szCs w:val="18"/>
                <w:color w:val="auto"/>
              </w:rPr>
              <w:t>(4,182,055)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6,801,659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(3,343,238)</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314,020,197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412,034,160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bottom w:val="single" w:sz="8" w:color="CCEEFF"/>
            </w:tcBorders>
            <w:gridSpan w:val="5"/>
            <w:vMerge w:val="restart"/>
          </w:tcPr>
          <w:p>
            <w:pPr>
              <w:jc w:val="center"/>
              <w:ind w:left="2310"/>
              <w:spacing w:after="0"/>
              <w:rPr>
                <w:sz w:val="20"/>
                <w:szCs w:val="20"/>
                <w:color w:val="auto"/>
              </w:rPr>
            </w:pPr>
            <w:r>
              <w:rPr>
                <w:rFonts w:ascii="Arial" w:cs="Arial" w:eastAsia="Arial" w:hAnsi="Arial"/>
                <w:sz w:val="18"/>
                <w:szCs w:val="18"/>
                <w:color w:val="auto"/>
                <w:w w:val="89"/>
              </w:rPr>
              <w:t>See accompanying notes to financial statements.</w:t>
            </w: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6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S-3</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4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460" w:type="dxa"/>
            <w:vAlign w:val="bottom"/>
            <w:gridSpan w:val="5"/>
          </w:tcPr>
          <w:p>
            <w:pPr>
              <w:jc w:val="center"/>
              <w:ind w:left="2310"/>
              <w:spacing w:after="0"/>
              <w:rPr>
                <w:sz w:val="20"/>
                <w:szCs w:val="20"/>
                <w:color w:val="auto"/>
              </w:rPr>
            </w:pPr>
            <w:r>
              <w:rPr>
                <w:rFonts w:ascii="Arial" w:cs="Arial" w:eastAsia="Arial" w:hAnsi="Arial"/>
                <w:sz w:val="18"/>
                <w:szCs w:val="18"/>
                <w:b w:val="1"/>
                <w:bCs w:val="1"/>
                <w:color w:val="auto"/>
                <w:w w:val="93"/>
              </w:rPr>
              <w:t>Saratoga Investment Corp. CLO 2013-1, Ltd.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60" w:type="dxa"/>
            <w:vAlign w:val="bottom"/>
            <w:gridSpan w:val="5"/>
          </w:tcPr>
          <w:p>
            <w:pPr>
              <w:jc w:val="center"/>
              <w:ind w:left="2310"/>
              <w:spacing w:after="0"/>
              <w:rPr>
                <w:sz w:val="20"/>
                <w:szCs w:val="20"/>
                <w:color w:val="auto"/>
              </w:rPr>
            </w:pPr>
            <w:r>
              <w:rPr>
                <w:rFonts w:ascii="Arial" w:cs="Arial" w:eastAsia="Arial" w:hAnsi="Arial"/>
                <w:sz w:val="18"/>
                <w:szCs w:val="18"/>
                <w:b w:val="1"/>
                <w:bCs w:val="1"/>
                <w:color w:val="auto"/>
                <w:w w:val="88"/>
              </w:rPr>
              <w:t>Statements of Operations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For the year ended</w:t>
            </w:r>
          </w:p>
        </w:tc>
        <w:tc>
          <w:tcPr>
            <w:tcW w:w="120" w:type="dxa"/>
            <w:vAlign w:val="bottom"/>
          </w:tcPr>
          <w:p>
            <w:pPr>
              <w:spacing w:after="0"/>
              <w:rPr>
                <w:sz w:val="24"/>
                <w:szCs w:val="24"/>
                <w:color w:val="auto"/>
              </w:rPr>
            </w:pPr>
          </w:p>
        </w:tc>
        <w:tc>
          <w:tcPr>
            <w:tcW w:w="184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year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ind w:left="60"/>
              <w:spacing w:after="0"/>
              <w:rPr>
                <w:sz w:val="20"/>
                <w:szCs w:val="20"/>
                <w:color w:val="auto"/>
              </w:rPr>
            </w:pPr>
            <w:r>
              <w:rPr>
                <w:rFonts w:ascii="Arial" w:cs="Arial" w:eastAsia="Arial" w:hAnsi="Arial"/>
                <w:sz w:val="14"/>
                <w:szCs w:val="14"/>
                <w:b w:val="1"/>
                <w:bCs w:val="1"/>
                <w:color w:val="auto"/>
              </w:rPr>
              <w:t>For the 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February 28, 2014</w:t>
            </w:r>
          </w:p>
        </w:tc>
        <w:tc>
          <w:tcPr>
            <w:tcW w:w="120" w:type="dxa"/>
            <w:vAlign w:val="bottom"/>
          </w:tcPr>
          <w:p>
            <w:pPr>
              <w:spacing w:after="0"/>
              <w:rPr>
                <w:sz w:val="14"/>
                <w:szCs w:val="14"/>
                <w:color w:val="auto"/>
              </w:rPr>
            </w:pPr>
          </w:p>
        </w:tc>
        <w:tc>
          <w:tcPr>
            <w:tcW w:w="1840" w:type="dxa"/>
            <w:vAlign w:val="bottom"/>
            <w:gridSpan w:val="5"/>
          </w:tcPr>
          <w:p>
            <w:pPr>
              <w:ind w:left="240"/>
              <w:spacing w:after="0"/>
              <w:rPr>
                <w:sz w:val="20"/>
                <w:szCs w:val="20"/>
                <w:color w:val="auto"/>
              </w:rPr>
            </w:pPr>
            <w:r>
              <w:rPr>
                <w:rFonts w:ascii="Arial" w:cs="Arial" w:eastAsia="Arial" w:hAnsi="Arial"/>
                <w:sz w:val="14"/>
                <w:szCs w:val="14"/>
                <w:b w:val="1"/>
                <w:bCs w:val="1"/>
                <w:color w:val="auto"/>
              </w:rPr>
              <w:t>February 28, 2013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February 29, 2012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Interest from investments</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15,486,413</w:t>
            </w:r>
          </w:p>
        </w:tc>
        <w:tc>
          <w:tcPr>
            <w:tcW w:w="5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19,328,855</w:t>
            </w:r>
          </w:p>
        </w:tc>
        <w:tc>
          <w:tcPr>
            <w:tcW w:w="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20,032,687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16,587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945,441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967,991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509,365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investment income</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16,438,646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20,313,433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20,554,217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11,678,514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15,613,003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14,480,621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433,073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417,086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Misc. Fee Expense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175,283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133,794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176,768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517,563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400,014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Subordinated management fee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1,257,578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1,600,057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1,609,213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 expenses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83,221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100,820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994,602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1,015,332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1,016,124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3,442,442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expenses</w:t>
            </w:r>
          </w:p>
        </w:tc>
        <w:tc>
          <w:tcPr>
            <w:tcW w:w="5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18,582,276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19,280,106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18,186,208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INVESTMENT INCOME (LOSS)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(2,143,630)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1,033,327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2,368,009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REALIZED AND UNREALIZED GAIN (LOSS) ON INVESTMENTS: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(8,815,296)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2,532,558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(4,547,952)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6,776,871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3,235,774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(650,241)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gain (loss) on investments</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(2,038,425)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5,768,332</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(5,198,193)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NET INCREASE (DECREASE) IN NET ASSETS RESULTING FROM</w:t>
            </w: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(4,182,055)</w:t>
            </w:r>
          </w:p>
        </w:tc>
        <w:tc>
          <w:tcPr>
            <w:tcW w:w="560" w:type="dxa"/>
            <w:vAlign w:val="bottom"/>
            <w:gridSpan w:val="2"/>
            <w:vMerge w:val="restart"/>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6,801,659</w:t>
            </w:r>
          </w:p>
        </w:tc>
        <w:tc>
          <w:tcPr>
            <w:tcW w:w="20" w:type="dxa"/>
            <w:vAlign w:val="bottom"/>
            <w:shd w:val="clear" w:color="auto" w:fill="CCEEFF"/>
          </w:tcPr>
          <w:p>
            <w:pPr>
              <w:spacing w:after="0"/>
              <w:rPr>
                <w:sz w:val="17"/>
                <w:szCs w:val="17"/>
                <w:color w:val="auto"/>
              </w:rPr>
            </w:pPr>
          </w:p>
        </w:tc>
        <w:tc>
          <w:tcPr>
            <w:tcW w:w="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(2,830,184)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680" w:type="dxa"/>
            <w:vAlign w:val="bottom"/>
            <w:gridSpan w:val="2"/>
            <w:vMerge w:val="continue"/>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-5052695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-5052695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 CLO 2013-1 Ltd.</w:t>
      </w:r>
    </w:p>
    <w:p>
      <w:pPr>
        <w:sectPr>
          <w:pgSz w:w="11900" w:h="16838" w:orient="portrait"/>
          <w:cols w:equalWidth="0" w:num="1">
            <w:col w:w="11460"/>
          </w:cols>
          <w:pgMar w:left="240" w:top="140" w:right="199" w:bottom="0" w:gutter="0" w:footer="0" w:header="0"/>
        </w:sectPr>
      </w:pPr>
    </w:p>
    <w:bookmarkStart w:id="83" w:name="page84"/>
    <w:bookmarkEnd w:id="8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80" w:type="dxa"/>
            <w:vAlign w:val="bottom"/>
          </w:tcPr>
          <w:p>
            <w:pPr>
              <w:spacing w:after="0"/>
              <w:rPr>
                <w:sz w:val="13"/>
                <w:szCs w:val="13"/>
                <w:color w:val="auto"/>
              </w:rPr>
            </w:pPr>
          </w:p>
        </w:tc>
        <w:tc>
          <w:tcPr>
            <w:tcW w:w="1500" w:type="dxa"/>
            <w:vAlign w:val="bottom"/>
          </w:tcPr>
          <w:p>
            <w:pPr>
              <w:ind w:left="520"/>
              <w:spacing w:after="0"/>
              <w:rPr>
                <w:sz w:val="20"/>
                <w:szCs w:val="20"/>
                <w:color w:val="auto"/>
              </w:rPr>
            </w:pPr>
            <w:r>
              <w:rPr>
                <w:rFonts w:ascii="Arial" w:cs="Arial" w:eastAsia="Arial" w:hAnsi="Arial"/>
                <w:sz w:val="13"/>
                <w:szCs w:val="13"/>
                <w:b w:val="1"/>
                <w:bCs w:val="1"/>
                <w:color w:val="auto"/>
              </w:rPr>
              <w:t>Industry</w:t>
            </w:r>
          </w:p>
        </w:tc>
        <w:tc>
          <w:tcPr>
            <w:tcW w:w="180" w:type="dxa"/>
            <w:vAlign w:val="bottom"/>
          </w:tcPr>
          <w:p>
            <w:pPr>
              <w:spacing w:after="0"/>
              <w:rPr>
                <w:sz w:val="13"/>
                <w:szCs w:val="13"/>
                <w:color w:val="auto"/>
              </w:rPr>
            </w:pPr>
          </w:p>
        </w:tc>
        <w:tc>
          <w:tcPr>
            <w:tcW w:w="1860" w:type="dxa"/>
            <w:vAlign w:val="bottom"/>
            <w:gridSpan w:val="2"/>
          </w:tcPr>
          <w:p>
            <w:pPr>
              <w:ind w:left="540"/>
              <w:spacing w:after="0"/>
              <w:rPr>
                <w:sz w:val="20"/>
                <w:szCs w:val="20"/>
                <w:color w:val="auto"/>
              </w:rPr>
            </w:pPr>
            <w:r>
              <w:rPr>
                <w:rFonts w:ascii="Arial" w:cs="Arial" w:eastAsia="Arial" w:hAnsi="Arial"/>
                <w:sz w:val="13"/>
                <w:szCs w:val="13"/>
                <w:b w:val="1"/>
                <w:bCs w:val="1"/>
                <w:color w:val="auto"/>
              </w:rPr>
              <w:t>Asset Name</w:t>
            </w: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Asset Type</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6"/>
              </w:rPr>
              <w:t>Current Rate</w:t>
            </w: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Maturity Date</w:t>
            </w:r>
          </w:p>
        </w:tc>
        <w:tc>
          <w:tcPr>
            <w:tcW w:w="10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Principal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6"/>
              </w:rPr>
              <w:t>Fair Value</w:t>
            </w:r>
          </w:p>
        </w:tc>
      </w:tr>
      <w:tr>
        <w:trPr>
          <w:trHeight w:val="114"/>
        </w:trPr>
        <w:tc>
          <w:tcPr>
            <w:tcW w:w="17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Academy, LTD.</w:t>
            </w:r>
          </w:p>
        </w:tc>
        <w:tc>
          <w:tcPr>
            <w:tcW w:w="18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3"/>
              </w:rPr>
              <w:t>Retailers (Except Food and</w:t>
            </w:r>
          </w:p>
        </w:tc>
        <w:tc>
          <w:tcPr>
            <w:tcW w:w="180" w:type="dxa"/>
            <w:vAlign w:val="bottom"/>
            <w:tcBorders>
              <w:top w:val="single" w:sz="8" w:color="CCEEFF"/>
            </w:tcBorders>
            <w:shd w:val="clear" w:color="auto" w:fill="CCEEFF"/>
          </w:tcPr>
          <w:p>
            <w:pPr>
              <w:spacing w:after="0"/>
              <w:rPr>
                <w:sz w:val="9"/>
                <w:szCs w:val="9"/>
                <w:color w:val="auto"/>
              </w:rPr>
            </w:pPr>
          </w:p>
        </w:tc>
        <w:tc>
          <w:tcPr>
            <w:tcW w:w="17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Initial Term Loan (2012)</w:t>
            </w:r>
          </w:p>
        </w:tc>
        <w:tc>
          <w:tcPr>
            <w:tcW w:w="1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Loan</w:t>
            </w: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49"/>
        </w:trPr>
        <w:tc>
          <w:tcPr>
            <w:tcW w:w="17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Drugs)</w:t>
            </w: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8/3/2018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1,960,187</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1,948,853</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1,969,969</w:t>
            </w:r>
          </w:p>
        </w:tc>
        <w:tc>
          <w:tcPr>
            <w:tcW w:w="100" w:type="dxa"/>
            <w:vAlign w:val="bottom"/>
            <w:shd w:val="clear" w:color="auto" w:fill="CCEEFF"/>
          </w:tcPr>
          <w:p>
            <w:pPr>
              <w:spacing w:after="0"/>
              <w:rPr>
                <w:sz w:val="12"/>
                <w:szCs w:val="12"/>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Acosta, Inc.</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Food Products</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Term B Loan (2013)</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4.25%</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3/2/2018</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4,162,740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4,101,035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4,177,310</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Aderant North America, Inc.</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Business Equipment and</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Term Loan (First Lien)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Services</w:t>
            </w: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12/20/2018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3,473,750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3,470,186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3,482,434</w:t>
            </w:r>
          </w:p>
        </w:tc>
        <w:tc>
          <w:tcPr>
            <w:tcW w:w="100" w:type="dxa"/>
            <w:vAlign w:val="bottom"/>
            <w:shd w:val="clear" w:color="auto" w:fill="CCEEFF"/>
          </w:tcPr>
          <w:p>
            <w:pPr>
              <w:spacing w:after="0"/>
              <w:rPr>
                <w:sz w:val="12"/>
                <w:szCs w:val="12"/>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Aegis Toxicology Sciences</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Healthcare</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Initial Term Loan (First Lien)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Corporation</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5.50%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2/24/2021</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990,000</w:t>
            </w:r>
          </w:p>
        </w:tc>
        <w:tc>
          <w:tcPr>
            <w:tcW w:w="100" w:type="dxa"/>
            <w:vAlign w:val="bottom"/>
          </w:tcPr>
          <w:p>
            <w:pPr>
              <w:spacing w:after="0"/>
              <w:rPr>
                <w:sz w:val="12"/>
                <w:szCs w:val="12"/>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Aegis Toxicology Sciences</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Healthcare</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Initial Term Loan (Second Lien)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Corporation</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8/24/2021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492,500</w:t>
            </w:r>
          </w:p>
        </w:tc>
        <w:tc>
          <w:tcPr>
            <w:tcW w:w="100" w:type="dxa"/>
            <w:vAlign w:val="bottom"/>
            <w:shd w:val="clear" w:color="auto" w:fill="CCEEFF"/>
          </w:tcPr>
          <w:p>
            <w:pPr>
              <w:spacing w:after="0"/>
              <w:rPr>
                <w:sz w:val="12"/>
                <w:szCs w:val="12"/>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Aeroflex Incorporated</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Aerospace and Defense</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Tranche B-1 Term Loan</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4.50%</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11/9/2019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3,208,854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3,194,690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3,223,550</w:t>
            </w:r>
          </w:p>
        </w:tc>
        <w:tc>
          <w:tcPr>
            <w:tcW w:w="100" w:type="dxa"/>
            <w:vAlign w:val="bottom"/>
          </w:tcPr>
          <w:p>
            <w:pPr>
              <w:spacing w:after="0"/>
              <w:rPr>
                <w:sz w:val="11"/>
                <w:szCs w:val="11"/>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Akorn, Inc.</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Healthcare</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Term Loan B</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4.50%</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11/13/2020</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497,500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503,125</w:t>
            </w:r>
          </w:p>
        </w:tc>
        <w:tc>
          <w:tcPr>
            <w:tcW w:w="100" w:type="dxa"/>
            <w:vAlign w:val="bottom"/>
            <w:shd w:val="clear" w:color="auto" w:fill="CCEEFF"/>
          </w:tcPr>
          <w:p>
            <w:pPr>
              <w:spacing w:after="0"/>
              <w:rPr>
                <w:sz w:val="11"/>
                <w:szCs w:val="11"/>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w w:val="96"/>
              </w:rPr>
              <w:t>Alere Inc. (fka IM US Holdings,</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Healthcare</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Incremental B-1 Term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LLC)</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4.25%</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6/30/2017</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1,930,566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1,968,173</w:t>
            </w:r>
          </w:p>
        </w:tc>
        <w:tc>
          <w:tcPr>
            <w:tcW w:w="100" w:type="dxa"/>
            <w:vAlign w:val="bottom"/>
          </w:tcPr>
          <w:p>
            <w:pPr>
              <w:spacing w:after="0"/>
              <w:rPr>
                <w:sz w:val="12"/>
                <w:szCs w:val="12"/>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Applied Systems, Inc.</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Business Equipment and</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Term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Services</w:t>
            </w: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12/8/2016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498,750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498,750</w:t>
            </w:r>
          </w:p>
        </w:tc>
        <w:tc>
          <w:tcPr>
            <w:tcW w:w="100" w:type="dxa"/>
            <w:vAlign w:val="bottom"/>
            <w:shd w:val="clear" w:color="auto" w:fill="CCEEFF"/>
          </w:tcPr>
          <w:p>
            <w:pPr>
              <w:spacing w:after="0"/>
              <w:rPr>
                <w:sz w:val="12"/>
                <w:szCs w:val="12"/>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Aramark Corporation</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Food Products</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LC-2 Facility</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3.69%</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7/26/2016</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79,187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79,187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79,206</w:t>
            </w: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Aramark Corporation</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Food Products</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LC-3 Facility</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3.69%</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7/26/2016</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43,961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43,961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43,971</w:t>
            </w: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Aramark Corporation</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Food Products</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U.S. Term F Loan</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3.25%</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2/24/2021</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3,206,537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3,206,537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3,207,307</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Ardagh Holdings USA Inc.</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w w:val="95"/>
              </w:rPr>
              <w:t>Containers/Glass Products</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Dollar Term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5"/>
              </w:rPr>
              <w:t>(Ardagh Packaging Finance</w:t>
            </w:r>
          </w:p>
        </w:tc>
        <w:tc>
          <w:tcPr>
            <w:tcW w:w="1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12/17/2019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995,109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1,002,500</w:t>
            </w:r>
          </w:p>
        </w:tc>
        <w:tc>
          <w:tcPr>
            <w:tcW w:w="100" w:type="dxa"/>
            <w:vAlign w:val="bottom"/>
            <w:shd w:val="clear" w:color="auto" w:fill="CCEEFF"/>
          </w:tcPr>
          <w:p>
            <w:pPr>
              <w:spacing w:after="0"/>
              <w:rPr>
                <w:sz w:val="12"/>
                <w:szCs w:val="12"/>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ARG IH Corporation</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Food Services</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Term Loan</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5.00%</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11/15/2020</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498,797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502,500</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Asurion, LLC (fka Asurion</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Insurance</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Incremental Tranche B-1 Term</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Corporation)</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4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Loan</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5/24/2019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5,508,783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5,462,695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5,516,660</w:t>
            </w:r>
          </w:p>
        </w:tc>
        <w:tc>
          <w:tcPr>
            <w:tcW w:w="100" w:type="dxa"/>
            <w:vAlign w:val="bottom"/>
            <w:shd w:val="clear" w:color="auto" w:fill="CCEEFF"/>
          </w:tcPr>
          <w:p>
            <w:pPr>
              <w:spacing w:after="0"/>
              <w:rPr>
                <w:sz w:val="12"/>
                <w:szCs w:val="12"/>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Auction.Com, LLC</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Business Equipment and</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Term Loan A-4</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spacing w:after="0"/>
              <w:rPr>
                <w:sz w:val="12"/>
                <w:szCs w:val="12"/>
                <w:color w:val="auto"/>
              </w:rPr>
            </w:pPr>
          </w:p>
        </w:tc>
        <w:tc>
          <w:tcPr>
            <w:tcW w:w="1680" w:type="dxa"/>
            <w:vAlign w:val="bottom"/>
            <w:gridSpan w:val="2"/>
          </w:tcPr>
          <w:p>
            <w:pPr>
              <w:ind w:left="180"/>
              <w:spacing w:after="0"/>
              <w:rPr>
                <w:sz w:val="20"/>
                <w:szCs w:val="20"/>
                <w:color w:val="auto"/>
              </w:rPr>
            </w:pPr>
            <w:r>
              <w:rPr>
                <w:rFonts w:ascii="Arial" w:cs="Arial" w:eastAsia="Arial" w:hAnsi="Arial"/>
                <w:sz w:val="13"/>
                <w:szCs w:val="13"/>
                <w:color w:val="auto"/>
              </w:rPr>
              <w:t>Services</w:t>
            </w: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4.66%</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2/28/2017</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980,651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979,812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970,845</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Autotrader.com, Inc.</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Automotive</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Tranche B-1 Term Loan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4.00%</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12/15/2016</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3,791,778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3,791,778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3,805,997</w:t>
            </w:r>
          </w:p>
        </w:tc>
        <w:tc>
          <w:tcPr>
            <w:tcW w:w="100" w:type="dxa"/>
            <w:vAlign w:val="bottom"/>
            <w:shd w:val="clear" w:color="auto" w:fill="CCEEFF"/>
          </w:tcPr>
          <w:p>
            <w:pPr>
              <w:spacing w:after="0"/>
              <w:rPr>
                <w:sz w:val="11"/>
                <w:szCs w:val="11"/>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w w:val="95"/>
              </w:rPr>
              <w:t>Avantor Performance Materials</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Chemicals/Plastics</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Term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Holdings, Inc.</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5.25%</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6/24/2017</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4,875,000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4,861,403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4,875,000</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AZ Chem US Inc.</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Chemicals/Plastics</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Term Loan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5.25%</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12/22/2017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1,355,941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1,329,859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1,362,720</w:t>
            </w:r>
          </w:p>
        </w:tc>
        <w:tc>
          <w:tcPr>
            <w:tcW w:w="100" w:type="dxa"/>
            <w:vAlign w:val="bottom"/>
            <w:shd w:val="clear" w:color="auto" w:fill="CCEEFF"/>
          </w:tcPr>
          <w:p>
            <w:pPr>
              <w:spacing w:after="0"/>
              <w:rPr>
                <w:sz w:val="11"/>
                <w:szCs w:val="11"/>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Bass Pro Group, LLC</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w w:val="93"/>
              </w:rPr>
              <w:t>Retailers (Except Food and</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New Term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spacing w:after="0"/>
              <w:rPr>
                <w:sz w:val="12"/>
                <w:szCs w:val="12"/>
                <w:color w:val="auto"/>
              </w:rPr>
            </w:pPr>
          </w:p>
        </w:tc>
        <w:tc>
          <w:tcPr>
            <w:tcW w:w="1680" w:type="dxa"/>
            <w:vAlign w:val="bottom"/>
            <w:gridSpan w:val="2"/>
          </w:tcPr>
          <w:p>
            <w:pPr>
              <w:ind w:left="180"/>
              <w:spacing w:after="0"/>
              <w:rPr>
                <w:sz w:val="20"/>
                <w:szCs w:val="20"/>
                <w:color w:val="auto"/>
              </w:rPr>
            </w:pPr>
            <w:r>
              <w:rPr>
                <w:rFonts w:ascii="Arial" w:cs="Arial" w:eastAsia="Arial" w:hAnsi="Arial"/>
                <w:sz w:val="13"/>
                <w:szCs w:val="13"/>
                <w:color w:val="auto"/>
              </w:rPr>
              <w:t>Drugs)</w:t>
            </w: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3.75%</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11/20/2019</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498,725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498,126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500,715</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Berry Plastics Corporation</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Chemicals/Plastics</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Term E Loan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3.75%</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1/6/2021</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1,496,250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1,495,500</w:t>
            </w:r>
          </w:p>
        </w:tc>
        <w:tc>
          <w:tcPr>
            <w:tcW w:w="100" w:type="dxa"/>
            <w:vAlign w:val="bottom"/>
            <w:shd w:val="clear" w:color="auto" w:fill="CCEEFF"/>
          </w:tcPr>
          <w:p>
            <w:pPr>
              <w:spacing w:after="0"/>
              <w:rPr>
                <w:sz w:val="11"/>
                <w:szCs w:val="11"/>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Big Heart Pet Brands (fka Del</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Food/Drug Retailers</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Initial Term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Monte Corporation)</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3.50%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3/9/2020</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3,022,866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2,999,250</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Biomet, Inc.</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Healthcare</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Dollar Term B-2 Loan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3.65%</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7/25/2017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1,970,137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1,970,137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1,972,797</w:t>
            </w:r>
          </w:p>
        </w:tc>
        <w:tc>
          <w:tcPr>
            <w:tcW w:w="100" w:type="dxa"/>
            <w:vAlign w:val="bottom"/>
            <w:shd w:val="clear" w:color="auto" w:fill="CCEEFF"/>
          </w:tcPr>
          <w:p>
            <w:pPr>
              <w:spacing w:after="0"/>
              <w:rPr>
                <w:sz w:val="11"/>
                <w:szCs w:val="11"/>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BJ’s Wholesale Club, Inc.</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Food/Drug Retailers</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New 2013 (November)</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40" w:type="dxa"/>
            <w:vAlign w:val="bottom"/>
            <w:gridSpan w:val="3"/>
          </w:tcPr>
          <w:p>
            <w:pPr>
              <w:ind w:left="180"/>
              <w:spacing w:after="0"/>
              <w:rPr>
                <w:sz w:val="20"/>
                <w:szCs w:val="20"/>
                <w:color w:val="auto"/>
              </w:rPr>
            </w:pPr>
            <w:r>
              <w:rPr>
                <w:rFonts w:ascii="Arial" w:cs="Arial" w:eastAsia="Arial" w:hAnsi="Arial"/>
                <w:sz w:val="13"/>
                <w:szCs w:val="13"/>
                <w:color w:val="auto"/>
              </w:rPr>
              <w:t>Replacement Loan (First Lien)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4.50%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9/26/2019</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497,592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502,750</w:t>
            </w:r>
          </w:p>
        </w:tc>
        <w:tc>
          <w:tcPr>
            <w:tcW w:w="100" w:type="dxa"/>
            <w:vAlign w:val="bottom"/>
          </w:tcPr>
          <w:p>
            <w:pPr>
              <w:spacing w:after="0"/>
              <w:rPr>
                <w:sz w:val="12"/>
                <w:szCs w:val="12"/>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Bombardier Recreational</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Leisure</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Term B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Products Inc.</w:t>
            </w: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Goods/Activities/Movies</w:t>
            </w: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1/30/2019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754,286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748,080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756,647</w:t>
            </w:r>
          </w:p>
        </w:tc>
        <w:tc>
          <w:tcPr>
            <w:tcW w:w="100" w:type="dxa"/>
            <w:vAlign w:val="bottom"/>
            <w:shd w:val="clear" w:color="auto" w:fill="CCEEFF"/>
          </w:tcPr>
          <w:p>
            <w:pPr>
              <w:spacing w:after="0"/>
              <w:rPr>
                <w:sz w:val="12"/>
                <w:szCs w:val="12"/>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w w:val="97"/>
              </w:rPr>
              <w:t>Brickman Group Ltd. LLC, The</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w w:val="92"/>
              </w:rPr>
              <w:t>Brokers/Dealers/Investment</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Initial Term Loan (First Lien)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spacing w:after="0"/>
              <w:rPr>
                <w:sz w:val="12"/>
                <w:szCs w:val="12"/>
                <w:color w:val="auto"/>
              </w:rPr>
            </w:pPr>
          </w:p>
        </w:tc>
        <w:tc>
          <w:tcPr>
            <w:tcW w:w="1680" w:type="dxa"/>
            <w:vAlign w:val="bottom"/>
            <w:gridSpan w:val="2"/>
          </w:tcPr>
          <w:p>
            <w:pPr>
              <w:ind w:left="180"/>
              <w:spacing w:after="0"/>
              <w:rPr>
                <w:sz w:val="20"/>
                <w:szCs w:val="20"/>
                <w:color w:val="auto"/>
              </w:rPr>
            </w:pPr>
            <w:r>
              <w:rPr>
                <w:rFonts w:ascii="Arial" w:cs="Arial" w:eastAsia="Arial" w:hAnsi="Arial"/>
                <w:sz w:val="13"/>
                <w:szCs w:val="13"/>
                <w:color w:val="auto"/>
              </w:rPr>
              <w:t>Houses</w:t>
            </w: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4.00%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12/18/2020</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248,750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250,937</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Brock Holdings III, Inc.</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Industrial Equipment</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Term Loan (First Lien)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6.75%</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3/16/2017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1,959,839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1,976,826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1,967,188</w:t>
            </w:r>
          </w:p>
        </w:tc>
        <w:tc>
          <w:tcPr>
            <w:tcW w:w="100" w:type="dxa"/>
            <w:vAlign w:val="bottom"/>
            <w:shd w:val="clear" w:color="auto" w:fill="CCEEFF"/>
          </w:tcPr>
          <w:p>
            <w:pPr>
              <w:spacing w:after="0"/>
              <w:rPr>
                <w:sz w:val="11"/>
                <w:szCs w:val="11"/>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Burlington Coat Factory</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w w:val="93"/>
              </w:rPr>
              <w:t>Retailers (Except Food and</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Term B-2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Warehouse Corporation</w:t>
            </w:r>
          </w:p>
        </w:tc>
        <w:tc>
          <w:tcPr>
            <w:tcW w:w="1680" w:type="dxa"/>
            <w:vAlign w:val="bottom"/>
            <w:gridSpan w:val="2"/>
          </w:tcPr>
          <w:p>
            <w:pPr>
              <w:ind w:left="180"/>
              <w:spacing w:after="0"/>
              <w:rPr>
                <w:sz w:val="20"/>
                <w:szCs w:val="20"/>
                <w:color w:val="auto"/>
              </w:rPr>
            </w:pPr>
            <w:r>
              <w:rPr>
                <w:rFonts w:ascii="Arial" w:cs="Arial" w:eastAsia="Arial" w:hAnsi="Arial"/>
                <w:sz w:val="13"/>
                <w:szCs w:val="13"/>
                <w:color w:val="auto"/>
              </w:rPr>
              <w:t>Drugs)</w:t>
            </w: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4.25%</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2/23/2017</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2,660,377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2,653,889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2,675,675</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C.H.I. Overhead Doors, Inc.</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w w:val="97"/>
              </w:rPr>
              <w:t>Building and Development</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Term Loan (First Lien)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5.50%</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3/18/2019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2,739,013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2,692,934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2,745,861</w:t>
            </w:r>
          </w:p>
        </w:tc>
        <w:tc>
          <w:tcPr>
            <w:tcW w:w="100" w:type="dxa"/>
            <w:vAlign w:val="bottom"/>
            <w:shd w:val="clear" w:color="auto" w:fill="CCEEFF"/>
          </w:tcPr>
          <w:p>
            <w:pPr>
              <w:spacing w:after="0"/>
              <w:rPr>
                <w:sz w:val="11"/>
                <w:szCs w:val="11"/>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Camp International Holding</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Aerospace and Defense</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2013 Replacement Term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Company</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40" w:type="dxa"/>
            <w:vAlign w:val="bottom"/>
            <w:gridSpan w:val="3"/>
          </w:tcPr>
          <w:p>
            <w:pPr>
              <w:ind w:left="180"/>
              <w:spacing w:after="0"/>
              <w:rPr>
                <w:sz w:val="20"/>
                <w:szCs w:val="20"/>
                <w:color w:val="auto"/>
              </w:rPr>
            </w:pPr>
            <w:r>
              <w:rPr>
                <w:rFonts w:ascii="Arial" w:cs="Arial" w:eastAsia="Arial" w:hAnsi="Arial"/>
                <w:sz w:val="13"/>
                <w:szCs w:val="13"/>
                <w:color w:val="auto"/>
              </w:rPr>
              <w:t>(First Lien)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4.75%</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5/31/2019</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999,900</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Capital Automotive L.P.</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Conglomerate</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Tranche B-1 Term Loan Facility</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4.00%</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4/10/2019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2,137,369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2,141,920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2,142,712</w:t>
            </w:r>
          </w:p>
        </w:tc>
        <w:tc>
          <w:tcPr>
            <w:tcW w:w="100" w:type="dxa"/>
            <w:vAlign w:val="bottom"/>
            <w:shd w:val="clear" w:color="auto" w:fill="CCEEFF"/>
          </w:tcPr>
          <w:p>
            <w:pPr>
              <w:spacing w:after="0"/>
              <w:rPr>
                <w:sz w:val="11"/>
                <w:szCs w:val="11"/>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Capstone Logistics, LLC</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Business Equipment and</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Term Note A</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spacing w:after="0"/>
              <w:rPr>
                <w:sz w:val="12"/>
                <w:szCs w:val="12"/>
                <w:color w:val="auto"/>
              </w:rPr>
            </w:pPr>
          </w:p>
        </w:tc>
        <w:tc>
          <w:tcPr>
            <w:tcW w:w="1680" w:type="dxa"/>
            <w:vAlign w:val="bottom"/>
            <w:gridSpan w:val="2"/>
          </w:tcPr>
          <w:p>
            <w:pPr>
              <w:ind w:left="180"/>
              <w:spacing w:after="0"/>
              <w:rPr>
                <w:sz w:val="20"/>
                <w:szCs w:val="20"/>
                <w:color w:val="auto"/>
              </w:rPr>
            </w:pPr>
            <w:r>
              <w:rPr>
                <w:rFonts w:ascii="Arial" w:cs="Arial" w:eastAsia="Arial" w:hAnsi="Arial"/>
                <w:sz w:val="13"/>
                <w:szCs w:val="13"/>
                <w:color w:val="auto"/>
              </w:rPr>
              <w:t>Services</w:t>
            </w: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6.50%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9/16/2016</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2,658,626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2,637,550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2,618,899</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Capsugel Holdings US, Inc.</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Drugs</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Initial Term Loan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3.50%</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8/1/2018</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3,145,521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3,138,959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3,141,589</w:t>
            </w:r>
          </w:p>
        </w:tc>
        <w:tc>
          <w:tcPr>
            <w:tcW w:w="100" w:type="dxa"/>
            <w:vAlign w:val="bottom"/>
            <w:shd w:val="clear" w:color="auto" w:fill="CCEEFF"/>
          </w:tcPr>
          <w:p>
            <w:pPr>
              <w:spacing w:after="0"/>
              <w:rPr>
                <w:sz w:val="11"/>
                <w:szCs w:val="1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Celanese US Holdings LLC</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Chemicals/Plastics</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Dollar Term C-2 Commitment</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2.25%</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10/31/2016</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2,176,323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2,201,894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2,192,254</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Charter Communications</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w w:val="86"/>
              </w:rPr>
              <w:t>Cable and Satellite Television</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Term F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Operating, LLC</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12/31/2020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2,682,707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2,672,727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2,666,369</w:t>
            </w:r>
          </w:p>
        </w:tc>
        <w:tc>
          <w:tcPr>
            <w:tcW w:w="100" w:type="dxa"/>
            <w:vAlign w:val="bottom"/>
            <w:shd w:val="clear" w:color="auto" w:fill="CCEEFF"/>
          </w:tcPr>
          <w:p>
            <w:pPr>
              <w:spacing w:after="0"/>
              <w:rPr>
                <w:sz w:val="12"/>
                <w:szCs w:val="12"/>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CHS/Community Health</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Healthcare</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2017 Term E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Systems, Inc.</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3.48%</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1/25/2017</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1,108,908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1,082,718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1,113,987</w:t>
            </w: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CHS/Community Health</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Healthcare</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2021 Term D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Systems, Inc.</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1/27/2021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2,955,608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2,862,024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2,980,228</w:t>
            </w:r>
          </w:p>
        </w:tc>
        <w:tc>
          <w:tcPr>
            <w:tcW w:w="100" w:type="dxa"/>
            <w:vAlign w:val="bottom"/>
            <w:shd w:val="clear" w:color="auto" w:fill="CCEEFF"/>
          </w:tcPr>
          <w:p>
            <w:pPr>
              <w:spacing w:after="0"/>
              <w:rPr>
                <w:sz w:val="12"/>
                <w:szCs w:val="12"/>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w w:val="93"/>
              </w:rPr>
              <w:t>Cinedigm Digital Funding I, LLC</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Business Equipment and</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Term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spacing w:after="0"/>
              <w:rPr>
                <w:sz w:val="12"/>
                <w:szCs w:val="12"/>
                <w:color w:val="auto"/>
              </w:rPr>
            </w:pPr>
          </w:p>
        </w:tc>
        <w:tc>
          <w:tcPr>
            <w:tcW w:w="1680" w:type="dxa"/>
            <w:vAlign w:val="bottom"/>
            <w:gridSpan w:val="2"/>
          </w:tcPr>
          <w:p>
            <w:pPr>
              <w:ind w:left="180"/>
              <w:spacing w:after="0"/>
              <w:rPr>
                <w:sz w:val="20"/>
                <w:szCs w:val="20"/>
                <w:color w:val="auto"/>
              </w:rPr>
            </w:pPr>
            <w:r>
              <w:rPr>
                <w:rFonts w:ascii="Arial" w:cs="Arial" w:eastAsia="Arial" w:hAnsi="Arial"/>
                <w:sz w:val="13"/>
                <w:szCs w:val="13"/>
                <w:color w:val="auto"/>
              </w:rPr>
              <w:t>Services</w:t>
            </w: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3.75%</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2/28/2018</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825,121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820,892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825,121</w:t>
            </w:r>
          </w:p>
        </w:tc>
        <w:tc>
          <w:tcPr>
            <w:tcW w:w="100" w:type="dxa"/>
            <w:vAlign w:val="bottom"/>
          </w:tcPr>
          <w:p>
            <w:pPr>
              <w:spacing w:after="0"/>
              <w:rPr>
                <w:sz w:val="12"/>
                <w:szCs w:val="12"/>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Covanta Energy Corporation</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Ecological Services and</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Term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Equipment</w:t>
            </w: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3/28/2019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491,250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489,468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492,788</w:t>
            </w:r>
          </w:p>
        </w:tc>
        <w:tc>
          <w:tcPr>
            <w:tcW w:w="100" w:type="dxa"/>
            <w:vAlign w:val="bottom"/>
            <w:shd w:val="clear" w:color="auto" w:fill="CCEEFF"/>
          </w:tcPr>
          <w:p>
            <w:pPr>
              <w:spacing w:after="0"/>
              <w:rPr>
                <w:sz w:val="12"/>
                <w:szCs w:val="12"/>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CPI International</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Electronics/Electric</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Term B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740" w:type="dxa"/>
            <w:vAlign w:val="bottom"/>
          </w:tcPr>
          <w:p>
            <w:pPr>
              <w:ind w:left="180"/>
              <w:spacing w:after="0" w:line="135" w:lineRule="exact"/>
              <w:rPr>
                <w:sz w:val="20"/>
                <w:szCs w:val="20"/>
                <w:color w:val="auto"/>
              </w:rPr>
            </w:pPr>
            <w:r>
              <w:rPr>
                <w:rFonts w:ascii="Arial" w:cs="Arial" w:eastAsia="Arial" w:hAnsi="Arial"/>
                <w:sz w:val="13"/>
                <w:szCs w:val="13"/>
                <w:color w:val="auto"/>
              </w:rPr>
              <w:t>Acquisition, Inc. (f/k/a</w:t>
            </w: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Catalyst Holdings, Inc.)</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5.00%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2/13/2017</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4,622,500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4,611,092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4,622,500</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Crosby US Acquisition Corp.</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Industrial Equipment</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Initial Term Loan (First Lien)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4.00%</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11/23/2020</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749,094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748,312</w:t>
            </w:r>
          </w:p>
        </w:tc>
        <w:tc>
          <w:tcPr>
            <w:tcW w:w="100" w:type="dxa"/>
            <w:vAlign w:val="bottom"/>
            <w:shd w:val="clear" w:color="auto" w:fill="CCEEFF"/>
          </w:tcPr>
          <w:p>
            <w:pPr>
              <w:spacing w:after="0"/>
              <w:rPr>
                <w:sz w:val="11"/>
                <w:szCs w:val="11"/>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Crown Castle Operating</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w w:val="88"/>
              </w:rPr>
              <w:t>Telecommunications/Cellular</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Extended Incremental Tranche</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Company</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40" w:type="dxa"/>
            <w:vAlign w:val="bottom"/>
            <w:gridSpan w:val="3"/>
          </w:tcPr>
          <w:p>
            <w:pPr>
              <w:ind w:left="180"/>
              <w:spacing w:after="0"/>
              <w:rPr>
                <w:sz w:val="20"/>
                <w:szCs w:val="20"/>
                <w:color w:val="auto"/>
              </w:rPr>
            </w:pPr>
            <w:r>
              <w:rPr>
                <w:rFonts w:ascii="Arial" w:cs="Arial" w:eastAsia="Arial" w:hAnsi="Arial"/>
                <w:sz w:val="13"/>
                <w:szCs w:val="13"/>
                <w:color w:val="auto"/>
              </w:rPr>
              <w:t>B-2 Term Loan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3.25%</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1/31/2019</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2,460,196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2,441,025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2,460,316</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Culligan International Company</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Conglomerate</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Dollar Loan (First Lien)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6.25%</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12/19/2017</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787,658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738,102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734,491</w:t>
            </w:r>
          </w:p>
        </w:tc>
        <w:tc>
          <w:tcPr>
            <w:tcW w:w="100" w:type="dxa"/>
            <w:vAlign w:val="bottom"/>
            <w:shd w:val="clear" w:color="auto" w:fill="CCEEFF"/>
          </w:tcPr>
          <w:p>
            <w:pPr>
              <w:spacing w:after="0"/>
              <w:rPr>
                <w:sz w:val="11"/>
                <w:szCs w:val="1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w w:val="94"/>
              </w:rPr>
              <w:t>Culligan International Company</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Conglomerate</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Dollar Loan (Second Lien)</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9.50%</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6/19/2018</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783,162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732,061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657,856</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Cumulus Media Holdings Inc.</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Broadcast Radio and</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Term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Television</w:t>
            </w: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12/23/2020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502,815</w:t>
            </w:r>
          </w:p>
        </w:tc>
        <w:tc>
          <w:tcPr>
            <w:tcW w:w="100" w:type="dxa"/>
            <w:vAlign w:val="bottom"/>
            <w:shd w:val="clear" w:color="auto" w:fill="CCEEFF"/>
          </w:tcPr>
          <w:p>
            <w:pPr>
              <w:spacing w:after="0"/>
              <w:rPr>
                <w:sz w:val="12"/>
                <w:szCs w:val="12"/>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w w:val="92"/>
              </w:rPr>
              <w:t>DaVita HealthCare Partners Inc.</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Healthcare</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Tranche B Term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(fka DaVita Inc.)</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4.50%</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10/20/2016</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3,909,320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3,909,320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3,927,655</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Financial Intermediaries</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Term B Loan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7.25%</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3/19/2018</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3,831,595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3,792,824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3,735,805</w:t>
            </w:r>
          </w:p>
        </w:tc>
        <w:tc>
          <w:tcPr>
            <w:tcW w:w="100" w:type="dxa"/>
            <w:vAlign w:val="bottom"/>
            <w:shd w:val="clear" w:color="auto" w:fill="CCEEFF"/>
          </w:tcPr>
          <w:p>
            <w:pPr>
              <w:spacing w:after="0"/>
              <w:rPr>
                <w:sz w:val="11"/>
                <w:szCs w:val="1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w w:val="95"/>
              </w:rPr>
              <w:t>DealerTrack Technologies, Inc.</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Computers &amp; Electronics</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Term Loan</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3.50%</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2/28/2021</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498,750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498,750</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Dell International LLC</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w w:val="93"/>
              </w:rPr>
              <w:t>Retailers (Except Food and</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Term B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Drugs)</w:t>
            </w: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4/29/2020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1,982,818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1,988,935</w:t>
            </w:r>
          </w:p>
        </w:tc>
        <w:tc>
          <w:tcPr>
            <w:tcW w:w="100" w:type="dxa"/>
            <w:vAlign w:val="bottom"/>
            <w:shd w:val="clear" w:color="auto" w:fill="CCEEFF"/>
          </w:tcPr>
          <w:p>
            <w:pPr>
              <w:spacing w:after="0"/>
              <w:rPr>
                <w:sz w:val="12"/>
                <w:szCs w:val="12"/>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Delos Finance S.à r.l.</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Leasing</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Loan</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3.50%</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2/26/2021</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497,500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497,500</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Deluxe Entertainment Services</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Media</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Initial Term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Group Inc.</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2/28/2020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2"/>
                <w:szCs w:val="12"/>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Digitalglobe, Inc.</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Ecological Services and</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Term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spacing w:after="0"/>
              <w:rPr>
                <w:sz w:val="12"/>
                <w:szCs w:val="12"/>
                <w:color w:val="auto"/>
              </w:rPr>
            </w:pPr>
          </w:p>
        </w:tc>
        <w:tc>
          <w:tcPr>
            <w:tcW w:w="1680" w:type="dxa"/>
            <w:vAlign w:val="bottom"/>
            <w:gridSpan w:val="2"/>
          </w:tcPr>
          <w:p>
            <w:pPr>
              <w:ind w:left="180"/>
              <w:spacing w:after="0"/>
              <w:rPr>
                <w:sz w:val="20"/>
                <w:szCs w:val="20"/>
                <w:color w:val="auto"/>
              </w:rPr>
            </w:pPr>
            <w:r>
              <w:rPr>
                <w:rFonts w:ascii="Arial" w:cs="Arial" w:eastAsia="Arial" w:hAnsi="Arial"/>
                <w:sz w:val="13"/>
                <w:szCs w:val="13"/>
                <w:color w:val="auto"/>
              </w:rPr>
              <w:t>Equipment</w:t>
            </w: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3.75%</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1/31/2020</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248,125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248,125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247,815</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Drew Marine Group Inc.</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Chemicals/Plastics</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Term Loan (First Lien)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4.50%</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11/19/2020</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499,397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502,500</w:t>
            </w:r>
          </w:p>
        </w:tc>
        <w:tc>
          <w:tcPr>
            <w:tcW w:w="100" w:type="dxa"/>
            <w:vAlign w:val="bottom"/>
            <w:shd w:val="clear" w:color="auto" w:fill="CCEEFF"/>
          </w:tcPr>
          <w:p>
            <w:pPr>
              <w:spacing w:after="0"/>
              <w:rPr>
                <w:sz w:val="11"/>
                <w:szCs w:val="1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Dunkin’ Brands, Inc.</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Food Services</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Term B-4 Loan</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3.25%</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2/7/2021</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3,956,731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3,946,925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3,936,948</w:t>
            </w:r>
          </w:p>
        </w:tc>
        <w:tc>
          <w:tcPr>
            <w:tcW w:w="100" w:type="dxa"/>
            <w:vAlign w:val="bottom"/>
          </w:tcPr>
          <w:p>
            <w:pPr>
              <w:spacing w:after="0"/>
              <w:rPr>
                <w:sz w:val="11"/>
                <w:szCs w:val="11"/>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DynCorp International Inc.</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Aerospace and Defense</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Term Loan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6.25%</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7/7/2016</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486,442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482,619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488,573</w:t>
            </w:r>
          </w:p>
        </w:tc>
        <w:tc>
          <w:tcPr>
            <w:tcW w:w="100" w:type="dxa"/>
            <w:vAlign w:val="bottom"/>
            <w:shd w:val="clear" w:color="auto" w:fill="CCEEFF"/>
          </w:tcPr>
          <w:p>
            <w:pPr>
              <w:spacing w:after="0"/>
              <w:rPr>
                <w:sz w:val="11"/>
                <w:szCs w:val="11"/>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Education Management LLC</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Leisure</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Tranche C-2 Term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spacing w:after="0"/>
              <w:rPr>
                <w:sz w:val="12"/>
                <w:szCs w:val="12"/>
                <w:color w:val="auto"/>
              </w:rPr>
            </w:pPr>
          </w:p>
        </w:tc>
        <w:tc>
          <w:tcPr>
            <w:tcW w:w="1680" w:type="dxa"/>
            <w:vAlign w:val="bottom"/>
            <w:gridSpan w:val="2"/>
          </w:tcPr>
          <w:p>
            <w:pPr>
              <w:ind w:left="180"/>
              <w:spacing w:after="0"/>
              <w:rPr>
                <w:sz w:val="20"/>
                <w:szCs w:val="20"/>
                <w:color w:val="auto"/>
              </w:rPr>
            </w:pPr>
            <w:r>
              <w:rPr>
                <w:rFonts w:ascii="Arial" w:cs="Arial" w:eastAsia="Arial" w:hAnsi="Arial"/>
                <w:sz w:val="13"/>
                <w:szCs w:val="13"/>
                <w:color w:val="auto"/>
              </w:rPr>
              <w:t>Goods/Activities/Movies</w:t>
            </w: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4.31%</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6/1/2016</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3,882,152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3,746,734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3,544,405</w:t>
            </w:r>
          </w:p>
        </w:tc>
        <w:tc>
          <w:tcPr>
            <w:tcW w:w="100" w:type="dxa"/>
            <w:vAlign w:val="bottom"/>
          </w:tcPr>
          <w:p>
            <w:pPr>
              <w:spacing w:after="0"/>
              <w:rPr>
                <w:sz w:val="12"/>
                <w:szCs w:val="12"/>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EIG Investors Corp.</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Business Equipment and</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Term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Services</w:t>
            </w: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11/9/2019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992,713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1,003,734</w:t>
            </w:r>
          </w:p>
        </w:tc>
        <w:tc>
          <w:tcPr>
            <w:tcW w:w="100" w:type="dxa"/>
            <w:vAlign w:val="bottom"/>
            <w:shd w:val="clear" w:color="auto" w:fill="CCEEFF"/>
          </w:tcPr>
          <w:p>
            <w:pPr>
              <w:spacing w:after="0"/>
              <w:rPr>
                <w:sz w:val="12"/>
                <w:szCs w:val="12"/>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Energy Transfer Equity, L.P.</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Oil &amp; Gas</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Loan</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3.25%</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12/2/2019</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997,599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998,750</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Evergreen Acqco 1 LP</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w w:val="93"/>
              </w:rPr>
              <w:t>Retailers (Except Food and</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New Term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Drugs)</w:t>
            </w: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7/9/2019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488,615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493,900</w:t>
            </w:r>
          </w:p>
        </w:tc>
        <w:tc>
          <w:tcPr>
            <w:tcW w:w="100" w:type="dxa"/>
            <w:vAlign w:val="bottom"/>
            <w:shd w:val="clear" w:color="auto" w:fill="CCEEFF"/>
          </w:tcPr>
          <w:p>
            <w:pPr>
              <w:spacing w:after="0"/>
              <w:rPr>
                <w:sz w:val="12"/>
                <w:szCs w:val="12"/>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EWT Holdings III Corp. (fka</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Industrial Equipment</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Term Loan (First Lien)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WTG Holdings III Corp.)</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4.75%</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1/15/2021</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995,084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1,002,500</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Federal-Mogul Corporation</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Automotive</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Tranche B Term Loan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2.14%</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12/29/2014</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2,220,981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2,187,068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2,202,747</w:t>
            </w:r>
          </w:p>
        </w:tc>
        <w:tc>
          <w:tcPr>
            <w:tcW w:w="100" w:type="dxa"/>
            <w:vAlign w:val="bottom"/>
            <w:shd w:val="clear" w:color="auto" w:fill="CCEEFF"/>
          </w:tcPr>
          <w:p>
            <w:pPr>
              <w:spacing w:after="0"/>
              <w:rPr>
                <w:sz w:val="11"/>
                <w:szCs w:val="1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Federal-Mogul Corporation</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Automotive</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Tranche C Term Loan</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2.14%</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12/28/2015</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1,307,032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1,270,847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1,296,301</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First Data Corporation</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Financial Intermediaries</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2017 Second New Dollar Term</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4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Loan</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3/24/2017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2,111,028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2,010,799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2,109,276</w:t>
            </w:r>
          </w:p>
        </w:tc>
        <w:tc>
          <w:tcPr>
            <w:tcW w:w="100" w:type="dxa"/>
            <w:vAlign w:val="bottom"/>
            <w:shd w:val="clear" w:color="auto" w:fill="CCEEFF"/>
          </w:tcPr>
          <w:p>
            <w:pPr>
              <w:spacing w:after="0"/>
              <w:rPr>
                <w:sz w:val="12"/>
                <w:szCs w:val="12"/>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First Data Corporation</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Financial Intermediaries</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2018 Dollar Term Loan</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4.20%</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3/23/2018</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2,290,451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2,231,370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2,292,741</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FMG Resources (August 2006)</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w w:val="93"/>
              </w:rPr>
              <w:t>Nonferrous Metals/Minerals</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7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Pty LTD (FMG America</w:t>
            </w:r>
          </w:p>
        </w:tc>
        <w:tc>
          <w:tcPr>
            <w:tcW w:w="1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Finance, Inc.)</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6/28/2019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995,122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1,006,438</w:t>
            </w:r>
          </w:p>
        </w:tc>
        <w:tc>
          <w:tcPr>
            <w:tcW w:w="100" w:type="dxa"/>
            <w:vAlign w:val="bottom"/>
            <w:shd w:val="clear" w:color="auto" w:fill="CCEEFF"/>
          </w:tcPr>
          <w:p>
            <w:pPr>
              <w:spacing w:after="0"/>
              <w:rPr>
                <w:sz w:val="12"/>
                <w:szCs w:val="12"/>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Four Seasons Holdings Inc.</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Lodging &amp; Casinos</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Term Loan (First Lien)</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3.50%</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6/27/2020</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498,750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498,750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498,750</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Garda World Security</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Business Equipment and</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Term B Delayed Draw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Corporation</w:t>
            </w: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Services</w:t>
            </w: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11/6/2020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202,218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203,363</w:t>
            </w:r>
          </w:p>
        </w:tc>
        <w:tc>
          <w:tcPr>
            <w:tcW w:w="100" w:type="dxa"/>
            <w:vAlign w:val="bottom"/>
            <w:shd w:val="clear" w:color="auto" w:fill="CCEEFF"/>
          </w:tcPr>
          <w:p>
            <w:pPr>
              <w:spacing w:after="0"/>
              <w:rPr>
                <w:sz w:val="12"/>
                <w:szCs w:val="12"/>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Garda World Security</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Business Equipment and</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Term B Loan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Pr>
          <w:p>
            <w:pPr>
              <w:ind w:left="180"/>
              <w:spacing w:after="0"/>
              <w:rPr>
                <w:sz w:val="20"/>
                <w:szCs w:val="20"/>
                <w:color w:val="auto"/>
              </w:rPr>
            </w:pPr>
            <w:r>
              <w:rPr>
                <w:rFonts w:ascii="Arial" w:cs="Arial" w:eastAsia="Arial" w:hAnsi="Arial"/>
                <w:sz w:val="13"/>
                <w:szCs w:val="13"/>
                <w:color w:val="auto"/>
              </w:rPr>
              <w:t>Corporation</w:t>
            </w:r>
          </w:p>
        </w:tc>
        <w:tc>
          <w:tcPr>
            <w:tcW w:w="1680" w:type="dxa"/>
            <w:vAlign w:val="bottom"/>
            <w:gridSpan w:val="2"/>
          </w:tcPr>
          <w:p>
            <w:pPr>
              <w:ind w:left="180"/>
              <w:spacing w:after="0"/>
              <w:rPr>
                <w:sz w:val="20"/>
                <w:szCs w:val="20"/>
                <w:color w:val="auto"/>
              </w:rPr>
            </w:pPr>
            <w:r>
              <w:rPr>
                <w:rFonts w:ascii="Arial" w:cs="Arial" w:eastAsia="Arial" w:hAnsi="Arial"/>
                <w:sz w:val="13"/>
                <w:szCs w:val="13"/>
                <w:color w:val="auto"/>
              </w:rPr>
              <w:t>Services</w:t>
            </w: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4.00%</w:t>
            </w:r>
          </w:p>
        </w:tc>
        <w:tc>
          <w:tcPr>
            <w:tcW w:w="920" w:type="dxa"/>
            <w:vAlign w:val="bottom"/>
          </w:tcPr>
          <w:p>
            <w:pPr>
              <w:jc w:val="right"/>
              <w:spacing w:after="0"/>
              <w:rPr>
                <w:sz w:val="20"/>
                <w:szCs w:val="20"/>
                <w:color w:val="auto"/>
              </w:rPr>
            </w:pPr>
            <w:r>
              <w:rPr>
                <w:rFonts w:ascii="Arial" w:cs="Arial" w:eastAsia="Arial" w:hAnsi="Arial"/>
                <w:sz w:val="13"/>
                <w:szCs w:val="13"/>
                <w:color w:val="auto"/>
              </w:rPr>
              <w:t>11/6/2020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794,306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790,489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794,965</w:t>
            </w:r>
          </w:p>
        </w:tc>
        <w:tc>
          <w:tcPr>
            <w:tcW w:w="100" w:type="dxa"/>
            <w:vAlign w:val="bottom"/>
          </w:tcPr>
          <w:p>
            <w:pPr>
              <w:spacing w:after="0"/>
              <w:rPr>
                <w:sz w:val="12"/>
                <w:szCs w:val="12"/>
                <w:color w:val="auto"/>
              </w:rPr>
            </w:pPr>
          </w:p>
        </w:tc>
      </w:tr>
      <w:tr>
        <w:trPr>
          <w:trHeight w:val="135"/>
        </w:trPr>
        <w:tc>
          <w:tcPr>
            <w:tcW w:w="1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Gardner Denver, Inc.</w:t>
            </w:r>
          </w:p>
        </w:tc>
        <w:tc>
          <w:tcPr>
            <w:tcW w:w="16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Oil &amp; Gas</w:t>
            </w:r>
          </w:p>
        </w:tc>
        <w:tc>
          <w:tcPr>
            <w:tcW w:w="204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Initial Dollar Term Loan</w:t>
            </w:r>
          </w:p>
        </w:tc>
        <w:tc>
          <w:tcPr>
            <w:tcW w:w="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4.25%</w:t>
            </w: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7/30/2020</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1,496,250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1,485,394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1,489,337</w:t>
            </w:r>
          </w:p>
        </w:tc>
        <w:tc>
          <w:tcPr>
            <w:tcW w:w="100" w:type="dxa"/>
            <w:vAlign w:val="bottom"/>
            <w:shd w:val="clear" w:color="auto" w:fill="CCEEFF"/>
          </w:tcPr>
          <w:p>
            <w:pPr>
              <w:spacing w:after="0"/>
              <w:rPr>
                <w:sz w:val="11"/>
                <w:szCs w:val="1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Generac Power Systems, Inc.</w:t>
            </w:r>
          </w:p>
        </w:tc>
        <w:tc>
          <w:tcPr>
            <w:tcW w:w="16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Industrial Equipment</w:t>
            </w:r>
          </w:p>
        </w:tc>
        <w:tc>
          <w:tcPr>
            <w:tcW w:w="204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Term Loan B</w:t>
            </w:r>
          </w:p>
        </w:tc>
        <w:tc>
          <w:tcPr>
            <w:tcW w:w="900" w:type="dxa"/>
            <w:vAlign w:val="bottom"/>
            <w:gridSpan w:val="2"/>
          </w:tcPr>
          <w:p>
            <w:pPr>
              <w:spacing w:after="0" w:line="135" w:lineRule="exact"/>
              <w:rPr>
                <w:sz w:val="20"/>
                <w:szCs w:val="20"/>
                <w:color w:val="auto"/>
              </w:rPr>
            </w:pPr>
            <w:r>
              <w:rPr>
                <w:rFonts w:ascii="Arial" w:cs="Arial" w:eastAsia="Arial" w:hAnsi="Arial"/>
                <w:sz w:val="13"/>
                <w:szCs w:val="13"/>
                <w:color w:val="auto"/>
              </w:rPr>
              <w:t>Loan</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3.50%</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5/31/2020</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868,414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852,908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868,258</w:t>
            </w:r>
          </w:p>
        </w:tc>
        <w:tc>
          <w:tcPr>
            <w:tcW w:w="100" w:type="dxa"/>
            <w:vAlign w:val="bottom"/>
          </w:tcPr>
          <w:p>
            <w:pPr>
              <w:spacing w:after="0"/>
              <w:rPr>
                <w:sz w:val="11"/>
                <w:szCs w:val="11"/>
                <w:color w:val="auto"/>
              </w:rPr>
            </w:pPr>
          </w:p>
        </w:tc>
      </w:tr>
      <w:tr>
        <w:trPr>
          <w:trHeight w:val="121"/>
        </w:trPr>
        <w:tc>
          <w:tcPr>
            <w:tcW w:w="1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7"/>
              </w:rPr>
              <w:t>General Nutrition Centers, Inc.</w:t>
            </w:r>
          </w:p>
        </w:tc>
        <w:tc>
          <w:tcPr>
            <w:tcW w:w="16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w w:val="93"/>
              </w:rPr>
              <w:t>Retailers (Except Food and</w:t>
            </w:r>
          </w:p>
        </w:tc>
        <w:tc>
          <w:tcPr>
            <w:tcW w:w="204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w w:val="99"/>
              </w:rPr>
              <w:t>Amended Tranche B Term Loan</w:t>
            </w:r>
          </w:p>
        </w:tc>
        <w:tc>
          <w:tcPr>
            <w:tcW w:w="9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17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Drugs)</w:t>
            </w: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3/4/2019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4,740,112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4,722,664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4,725,892</w:t>
            </w:r>
          </w:p>
        </w:tc>
        <w:tc>
          <w:tcPr>
            <w:tcW w:w="100" w:type="dxa"/>
            <w:vAlign w:val="bottom"/>
            <w:shd w:val="clear" w:color="auto" w:fill="CCEEFF"/>
          </w:tcPr>
          <w:p>
            <w:pPr>
              <w:spacing w:after="0"/>
              <w:rPr>
                <w:sz w:val="12"/>
                <w:szCs w:val="12"/>
                <w:color w:val="auto"/>
              </w:rPr>
            </w:pPr>
          </w:p>
        </w:tc>
      </w:tr>
      <w:tr>
        <w:trPr>
          <w:trHeight w:val="121"/>
        </w:trPr>
        <w:tc>
          <w:tcPr>
            <w:tcW w:w="1740" w:type="dxa"/>
            <w:vAlign w:val="bottom"/>
          </w:tcPr>
          <w:p>
            <w:pPr>
              <w:spacing w:after="0" w:line="121" w:lineRule="exact"/>
              <w:rPr>
                <w:sz w:val="20"/>
                <w:szCs w:val="20"/>
                <w:color w:val="auto"/>
              </w:rPr>
            </w:pPr>
            <w:r>
              <w:rPr>
                <w:rFonts w:ascii="Arial" w:cs="Arial" w:eastAsia="Arial" w:hAnsi="Arial"/>
                <w:sz w:val="13"/>
                <w:szCs w:val="13"/>
                <w:color w:val="auto"/>
              </w:rPr>
              <w:t>Global Tel*Link Corporation</w:t>
            </w:r>
          </w:p>
        </w:tc>
        <w:tc>
          <w:tcPr>
            <w:tcW w:w="16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Business Equipment and</w:t>
            </w:r>
          </w:p>
        </w:tc>
        <w:tc>
          <w:tcPr>
            <w:tcW w:w="204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Term Loan (First Lien)</w:t>
            </w:r>
          </w:p>
        </w:tc>
        <w:tc>
          <w:tcPr>
            <w:tcW w:w="900" w:type="dxa"/>
            <w:vAlign w:val="bottom"/>
            <w:gridSpan w:val="2"/>
          </w:tcPr>
          <w:p>
            <w:pPr>
              <w:spacing w:after="0" w:line="121" w:lineRule="exact"/>
              <w:rPr>
                <w:sz w:val="20"/>
                <w:szCs w:val="20"/>
                <w:color w:val="auto"/>
              </w:rPr>
            </w:pPr>
            <w:r>
              <w:rPr>
                <w:rFonts w:ascii="Arial" w:cs="Arial" w:eastAsia="Arial" w:hAnsi="Arial"/>
                <w:sz w:val="13"/>
                <w:szCs w:val="13"/>
                <w:color w:val="auto"/>
              </w:rPr>
              <w:t>Loan</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74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Services</w:t>
            </w:r>
          </w:p>
        </w:tc>
        <w:tc>
          <w:tcPr>
            <w:tcW w:w="1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5.00%</w:t>
            </w:r>
          </w:p>
        </w:tc>
        <w:tc>
          <w:tcPr>
            <w:tcW w:w="10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3"/>
                <w:szCs w:val="13"/>
                <w:color w:val="auto"/>
              </w:rPr>
              <w:t>5/23/2020</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1,920,175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1,915,905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1,900,014</w:t>
            </w:r>
          </w:p>
        </w:tc>
        <w:tc>
          <w:tcPr>
            <w:tcW w:w="100" w:type="dxa"/>
            <w:vAlign w:val="bottom"/>
            <w:tcBorders>
              <w:bottom w:val="single" w:sz="8" w:color="CCEEFF"/>
            </w:tcBorders>
          </w:tcPr>
          <w:p>
            <w:pPr>
              <w:spacing w:after="0"/>
              <w:rPr>
                <w:sz w:val="12"/>
                <w:szCs w:val="12"/>
                <w:color w:val="auto"/>
              </w:rPr>
            </w:pPr>
          </w:p>
        </w:tc>
      </w:tr>
    </w:tbl>
    <w:p>
      <w:pPr>
        <w:sectPr>
          <w:pgSz w:w="11900" w:h="16900" w:orient="portrait"/>
          <w:cols w:equalWidth="0" w:num="1">
            <w:col w:w="11420"/>
          </w:cols>
          <w:pgMar w:left="240" w:top="121" w:right="239" w:bottom="0" w:gutter="0" w:footer="0" w:header="0"/>
        </w:sectPr>
      </w:pPr>
    </w:p>
    <w:bookmarkStart w:id="84" w:name="page85"/>
    <w:bookmarkEnd w:id="8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Goodyear Tire &amp; Rubber</w:t>
            </w:r>
          </w:p>
        </w:tc>
        <w:tc>
          <w:tcPr>
            <w:tcW w:w="1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Chemicals/Plastics</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 (Second Lien)</w:t>
            </w:r>
          </w:p>
        </w:tc>
        <w:tc>
          <w:tcPr>
            <w:tcW w:w="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4.75%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4/30/2019</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4,000,000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3,941,039</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4,037,000</w:t>
            </w: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Company, The</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w w:val="97"/>
              </w:rPr>
              <w:t>Grosvenor Capital Management</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w w:val="95"/>
              </w:rPr>
              <w:t>Brokers/Dealers/Investment</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Initial Term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Holdings, LP</w:t>
            </w:r>
          </w:p>
        </w:tc>
        <w:tc>
          <w:tcPr>
            <w:tcW w:w="1660" w:type="dxa"/>
            <w:vAlign w:val="bottom"/>
          </w:tcPr>
          <w:p>
            <w:pPr>
              <w:ind w:left="100"/>
              <w:spacing w:after="0"/>
              <w:rPr>
                <w:sz w:val="20"/>
                <w:szCs w:val="20"/>
                <w:color w:val="auto"/>
              </w:rPr>
            </w:pPr>
            <w:r>
              <w:rPr>
                <w:rFonts w:ascii="Arial" w:cs="Arial" w:eastAsia="Arial" w:hAnsi="Arial"/>
                <w:sz w:val="13"/>
                <w:szCs w:val="13"/>
                <w:color w:val="auto"/>
              </w:rPr>
              <w:t>Houses</w:t>
            </w: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3.75%</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1/4/2021</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3,500,000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3,482,803</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3,489,080</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Harland Clarke Holdings Corp.</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Publishing</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Tranche B-4 Term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(fka Clarke American Corp.)</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6.00%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8/4/2019</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497,500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500,780</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HCA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Healthcare</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Tranche B-4 Term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2.94%</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5/1/2018</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5,720,353</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5,390,148</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5,713,947</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Hertz Corporation, The</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Automotive</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Tranche B-1 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3.75%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3/11/2018</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2,970,000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3,005,791</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2,973,683</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Hologic, Inc.</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Healthcare</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Refinancing Tranche A Term</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ind w:left="120"/>
              <w:spacing w:after="0"/>
              <w:rPr>
                <w:sz w:val="20"/>
                <w:szCs w:val="20"/>
                <w:color w:val="auto"/>
              </w:rPr>
            </w:pPr>
            <w:r>
              <w:rPr>
                <w:rFonts w:ascii="Arial" w:cs="Arial" w:eastAsia="Arial" w:hAnsi="Arial"/>
                <w:sz w:val="13"/>
                <w:szCs w:val="13"/>
                <w:color w:val="auto"/>
              </w:rPr>
              <w:t>Loan</w:t>
            </w: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2.19%</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8/1/2017</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2,312,500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2,307,973</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2,313,425</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Hunter Defense</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Aerospace and Defense</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Technologies, Inc.</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3.45%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8/22/2014</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3,470,285</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3,460,723</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3,262,068</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Huntsman International LLC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Chemicals/Plastics</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Extended Term B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2.73%</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4/19/2017</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3,920,000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3,892,467</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3,919,020</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Ikaria, Inc.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Healthcare</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Initial Term Loan (First Lien)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5.00%</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2/12/2021</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500,000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497,515</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502,815</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Infor (US), Inc. (fka Lawson</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Tranche B-5 Term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Software Inc.)</w:t>
            </w:r>
          </w:p>
        </w:tc>
        <w:tc>
          <w:tcPr>
            <w:tcW w:w="166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3.75%</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6/3/2020</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1,776,183</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1,758,861</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1,772,488</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Inventiv Health, Inc. (fka Ventive</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Conglomerate</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Consolidated Term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Health, Inc)</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7.50%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8/4/2016</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492,090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492,090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491,105</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J. Crew Group, Inc.</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w w:val="97"/>
              </w:rPr>
              <w:t>Retailers (Except Food and</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Term B-1 Loan Retired</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spacing w:after="0"/>
              <w:rPr>
                <w:sz w:val="12"/>
                <w:szCs w:val="12"/>
                <w:color w:val="auto"/>
              </w:rPr>
            </w:pPr>
          </w:p>
        </w:tc>
        <w:tc>
          <w:tcPr>
            <w:tcW w:w="1660" w:type="dxa"/>
            <w:vAlign w:val="bottom"/>
          </w:tcPr>
          <w:p>
            <w:pPr>
              <w:ind w:left="100"/>
              <w:spacing w:after="0"/>
              <w:rPr>
                <w:sz w:val="20"/>
                <w:szCs w:val="20"/>
                <w:color w:val="auto"/>
              </w:rPr>
            </w:pPr>
            <w:r>
              <w:rPr>
                <w:rFonts w:ascii="Arial" w:cs="Arial" w:eastAsia="Arial" w:hAnsi="Arial"/>
                <w:sz w:val="13"/>
                <w:szCs w:val="13"/>
                <w:color w:val="auto"/>
              </w:rPr>
              <w:t>Drugs)</w:t>
            </w:r>
          </w:p>
        </w:tc>
        <w:tc>
          <w:tcPr>
            <w:tcW w:w="1860" w:type="dxa"/>
            <w:vAlign w:val="bottom"/>
          </w:tcPr>
          <w:p>
            <w:pPr>
              <w:ind w:left="120"/>
              <w:spacing w:after="0"/>
              <w:rPr>
                <w:sz w:val="20"/>
                <w:szCs w:val="20"/>
                <w:color w:val="auto"/>
              </w:rPr>
            </w:pPr>
            <w:r>
              <w:rPr>
                <w:rFonts w:ascii="Arial" w:cs="Arial" w:eastAsia="Arial" w:hAnsi="Arial"/>
                <w:sz w:val="13"/>
                <w:szCs w:val="13"/>
                <w:color w:val="auto"/>
              </w:rPr>
              <w:t>03/05/2014</w:t>
            </w: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4.00%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3/7/2018</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972,500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972,500</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972,656</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JFB Firth Rixson Inc.</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Industrial Equipment</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2013 Replacement Dollar Term</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Facility Loan</w:t>
            </w: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4.25%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6/30/2017</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2,564,311</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2,554,534</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2,568,054</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Kinetic Concepts,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Healthcare</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Dollar Term D-1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5/4/2018</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490,057</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475,404</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492,508</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La Quinta Intermediate Holdings</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Gaming And Hotels</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Initial Term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L.L.C.</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4.00%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2/19/2021</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500,000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500,000</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Michaels Stores, Inc.</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w w:val="97"/>
              </w:rPr>
              <w:t>Retailers (Except Food and</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Term B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spacing w:after="0"/>
              <w:rPr>
                <w:sz w:val="12"/>
                <w:szCs w:val="12"/>
                <w:color w:val="auto"/>
              </w:rPr>
            </w:pPr>
          </w:p>
        </w:tc>
        <w:tc>
          <w:tcPr>
            <w:tcW w:w="1660" w:type="dxa"/>
            <w:vAlign w:val="bottom"/>
          </w:tcPr>
          <w:p>
            <w:pPr>
              <w:ind w:left="100"/>
              <w:spacing w:after="0"/>
              <w:rPr>
                <w:sz w:val="20"/>
                <w:szCs w:val="20"/>
                <w:color w:val="auto"/>
              </w:rPr>
            </w:pPr>
            <w:r>
              <w:rPr>
                <w:rFonts w:ascii="Arial" w:cs="Arial" w:eastAsia="Arial" w:hAnsi="Arial"/>
                <w:sz w:val="13"/>
                <w:szCs w:val="13"/>
                <w:color w:val="auto"/>
              </w:rPr>
              <w:t>Drugs)</w:t>
            </w: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3.75%</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1/28/2020</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496,250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496,250</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497,302</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Microsemi Corporation</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Electronics/Electric</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Incremental 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3.75%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2/19/2020</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498,750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498,750</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499,373</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Microsemi Corporation</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Electronics/Electric</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3.50%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2/19/2020</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2,393,981</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2,389,463</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2,398,482</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Mitel US Holdings, Inc.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Telecommunications</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5.25%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1/31/2020</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250,000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248,753</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252,083</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National CineMedia, LLC</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Leisure</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Term Loan (2013)</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spacing w:after="0"/>
              <w:rPr>
                <w:sz w:val="12"/>
                <w:szCs w:val="12"/>
                <w:color w:val="auto"/>
              </w:rPr>
            </w:pPr>
          </w:p>
        </w:tc>
        <w:tc>
          <w:tcPr>
            <w:tcW w:w="1660" w:type="dxa"/>
            <w:vAlign w:val="bottom"/>
          </w:tcPr>
          <w:p>
            <w:pPr>
              <w:ind w:left="100"/>
              <w:spacing w:after="0"/>
              <w:rPr>
                <w:sz w:val="20"/>
                <w:szCs w:val="20"/>
                <w:color w:val="auto"/>
              </w:rPr>
            </w:pPr>
            <w:r>
              <w:rPr>
                <w:rFonts w:ascii="Arial" w:cs="Arial" w:eastAsia="Arial" w:hAnsi="Arial"/>
                <w:sz w:val="13"/>
                <w:szCs w:val="13"/>
                <w:color w:val="auto"/>
              </w:rPr>
              <w:t>Goods/Activities/Movies</w:t>
            </w: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2.95%</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11/26/2019</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1,086,207</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1,054,177</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1,082,134</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Newsday, LLC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Publishing</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3.69%</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10/12/2016</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2,215,385</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2,213,416</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2,215,385</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Novelis,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Conglomerate</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Initial Term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3.75%</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3/10/2017</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4,857,520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4,868,347</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4,873,452</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NPC International, Inc.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 Services</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 (2013)</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12/28/2018</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490,833</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490,833</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493,597</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NRG Energy,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Utilities</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Term Loan (2013)</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2.75%</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7/1/2018</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3,900,525</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3,875,534</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3,872,168</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NuSil Technology LLC.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Chemicals/Plastics</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5.25%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4/7/2017</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809,163</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809,163</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799,558</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OEP Pearl Dutch Acquisition</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Chemicals/Plastics</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Initial BV Term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B.V.</w:t>
            </w: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6.50%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3/30/2018</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142,422</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140,466</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143,846</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On Assignment, Inc.</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Initial Term B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spacing w:after="0"/>
              <w:rPr>
                <w:sz w:val="12"/>
                <w:szCs w:val="12"/>
                <w:color w:val="auto"/>
              </w:rPr>
            </w:pPr>
          </w:p>
        </w:tc>
        <w:tc>
          <w:tcPr>
            <w:tcW w:w="1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3.50%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5/15/2020</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1,311,364</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1,303,125</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1,312,190</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Onex Carestream Finance LP</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Healthcare</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Term Loan (First Lien 2013)</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5.00%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2/25/2017</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4,531,159</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4,511,264</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4,582,135</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OpenLink International, Inc.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Computers &amp; Electronics</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Replacement 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6.25%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10/30/2017</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980,000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980,000</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980,000</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P.F. Chang’s China Bistro, Inc.</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Food/Drug Retailers</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Term Borrowing</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(Wok Acquisition Corp.)</w:t>
            </w: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5.50%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6/22/2019</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1,496,212</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1,488,641</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1,509,675</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P2 Upstream Acquisition Co. (P2</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Loan (First Lien)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Upstream Canada BC ULC)</w:t>
            </w:r>
          </w:p>
        </w:tc>
        <w:tc>
          <w:tcPr>
            <w:tcW w:w="1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5.00%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10/30/2020</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1,000,000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995,186</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1,008,750</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Patheon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Healthcare</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4.25%</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3/11/2021</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3,000,000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2,992,500</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2,990,640</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PetCo Animal Supplies, Inc.</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7"/>
              </w:rPr>
              <w:t>Retailers (Except Food and</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New Loans</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spacing w:after="0"/>
              <w:rPr>
                <w:sz w:val="12"/>
                <w:szCs w:val="12"/>
                <w:color w:val="auto"/>
              </w:rPr>
            </w:pPr>
          </w:p>
        </w:tc>
        <w:tc>
          <w:tcPr>
            <w:tcW w:w="1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Drugs)</w:t>
            </w: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4.00%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11/24/2017</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1,484,694</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1,483,250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1,489,103</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Pharmaceutical Product</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Conglomerate</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2013 Term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5"/>
        </w:trPr>
        <w:tc>
          <w:tcPr>
            <w:tcW w:w="1820" w:type="dxa"/>
            <w:vAlign w:val="bottom"/>
          </w:tcPr>
          <w:p>
            <w:pPr>
              <w:ind w:left="180"/>
              <w:spacing w:after="0" w:line="135" w:lineRule="exact"/>
              <w:rPr>
                <w:sz w:val="20"/>
                <w:szCs w:val="20"/>
                <w:color w:val="auto"/>
              </w:rPr>
            </w:pPr>
            <w:r>
              <w:rPr>
                <w:rFonts w:ascii="Arial" w:cs="Arial" w:eastAsia="Arial" w:hAnsi="Arial"/>
                <w:sz w:val="13"/>
                <w:szCs w:val="13"/>
                <w:color w:val="auto"/>
              </w:rPr>
              <w:t>Development, Inc. (Jaguar</w:t>
            </w: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Holdings, LLC)</w:t>
            </w: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4.00%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12/5/2018</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1,960,200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1,936,226</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1,967,845</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Pinnacle Foods Finance LLC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 Products</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New Term Loan G</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3.25%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4/29/2020</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4,962,500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4,951,514</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4,942,352</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Polymer Group,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Chemicals/Plastics</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Initial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5.25%</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12/19/2019</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500,000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497,500</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501,875</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Prestige Brands, Inc.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Drugs</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B-1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3.75%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1/31/2019</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435,606</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430,195</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437,022</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Pro Mach,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4.50%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7/6/2017</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1,945,655</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1,934,699</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1,955,383</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Progressive Waste Solutions Ltd.</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Ecological Services and</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B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spacing w:after="0"/>
              <w:rPr>
                <w:sz w:val="12"/>
                <w:szCs w:val="12"/>
                <w:color w:val="auto"/>
              </w:rPr>
            </w:pPr>
          </w:p>
        </w:tc>
        <w:tc>
          <w:tcPr>
            <w:tcW w:w="1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Equipment</w:t>
            </w: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3.00%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10/24/2019</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498,741</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498,741</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500,486</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Quintiles Transnational Corp.</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Conglomerate</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Term B-3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3.75%</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6/8/2018</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3,681,541</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3,646,328</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3,685,186</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Redtop Acquisitions Limited</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Electronics/Electric</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Initial Dollar Term Loan (First</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Lien)</w:t>
            </w: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4.50%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12/3/2020</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496,369</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502,915</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Rexnord LLC/RBS Global,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Term B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8/21/2020</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1,663,476</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1,663,476</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1,667,035</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Reynolds Group Holdings Inc.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Incremental U.S. 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12/1/2018</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1,980,000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1,980,000</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1,993,365</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Rocket Software, Inc.</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Term Loan (First Lien)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spacing w:after="0"/>
              <w:rPr>
                <w:sz w:val="12"/>
                <w:szCs w:val="12"/>
                <w:color w:val="auto"/>
              </w:rPr>
            </w:pPr>
          </w:p>
        </w:tc>
        <w:tc>
          <w:tcPr>
            <w:tcW w:w="166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5.75%</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2/8/2018</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1,960,025</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1,934,083</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1,960,515</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Rovi Solutions Corporation /</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Electronics/Electric</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Tranche A-2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Rovi Guides, Inc.</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2.45%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3/29/2017</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1,562,552</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1,552,098</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1,562,552</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Rovi Solutions Corporation /</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Electronics/Electric</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Tranche B-3 Term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Rovi Guides, Inc.</w:t>
            </w: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3.50%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3/29/2019</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1,344,450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1,339,560</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1,341,088</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RPI Finance Trust</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Drugs</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B-2 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3.25%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5/9/2018</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5,308,218</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5,283,397</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5,339,165</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Scitor Corporation</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Term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spacing w:after="0"/>
              <w:rPr>
                <w:sz w:val="12"/>
                <w:szCs w:val="12"/>
                <w:color w:val="auto"/>
              </w:rPr>
            </w:pPr>
          </w:p>
        </w:tc>
        <w:tc>
          <w:tcPr>
            <w:tcW w:w="166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5.00%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2/15/2017</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463,977</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462,831</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460,354</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Sensata Technologies</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Industrial Equipment</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5"/>
        </w:trPr>
        <w:tc>
          <w:tcPr>
            <w:tcW w:w="1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B.V./Sensata Technology</w:t>
            </w:r>
          </w:p>
        </w:tc>
        <w:tc>
          <w:tcPr>
            <w:tcW w:w="16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Finance Company, LLC</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3.25%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5/12/2019</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1,524,730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1,524,730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1,529,106</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Sensus USA Inc. (fka Sensus</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Utilities</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Term Loan (First Lien)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Metering Systems)</w:t>
            </w: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5.75%</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5/9/2017</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1,945,013</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1,939,821</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1,957,987</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ServiceMaster Company, The</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Conglomerate</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Tranche B 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4.45%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1/31/2017</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2,822,729</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2,830,165</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2,825,552</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SI Organization, Inc., The</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Aerospace and Defense</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New Tranche B Term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5.50%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11/22/2016</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3,880,675</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3,863,008</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3,800,655</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Sonneborn, LLC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Chemicals/Plastics</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Initial US 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6.50%</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3/30/2018</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807,059</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795,976</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815,130</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Sophia, L.P.</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Electronics/Electric</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Term B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4.50%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7/19/2018</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928,389</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917,174</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934,191</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Southwire Company, LLC (f.k.a</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Building and Development</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Initial Term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Southwire Company)</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3.25%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2/10/2021</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498,758</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499,730</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SRA International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Aerospace and Defense</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6.50%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7/20/2018</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3,268,571</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3,184,532</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3,276,743</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SRAM, LLC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 (First Lien)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4.01%</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4/10/2020</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3,304,614</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3,278,551</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3,304,614</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SS&amp;C Technologies Holdings</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2013 Replacement Term B-2</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Europe S.A.R.L.</w:t>
            </w:r>
          </w:p>
        </w:tc>
        <w:tc>
          <w:tcPr>
            <w:tcW w:w="166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860" w:type="dxa"/>
            <w:vAlign w:val="bottom"/>
          </w:tcPr>
          <w:p>
            <w:pPr>
              <w:ind w:left="120"/>
              <w:spacing w:after="0"/>
              <w:rPr>
                <w:sz w:val="20"/>
                <w:szCs w:val="20"/>
                <w:color w:val="auto"/>
              </w:rPr>
            </w:pPr>
            <w:r>
              <w:rPr>
                <w:rFonts w:ascii="Arial" w:cs="Arial" w:eastAsia="Arial" w:hAnsi="Arial"/>
                <w:sz w:val="13"/>
                <w:szCs w:val="13"/>
                <w:color w:val="auto"/>
              </w:rPr>
              <w:t>Loan</w:t>
            </w: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3.25%</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6/7/2019</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64,638</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64,070</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64,839</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SS&amp;C Technologies, Inc.,</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2013 Replacement Term B-1</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/Sunshine Acquisition II, Inc.</w:t>
            </w:r>
          </w:p>
        </w:tc>
        <w:tc>
          <w:tcPr>
            <w:tcW w:w="1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w:t>
            </w: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3.25%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6/7/2019</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624,838</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619,344</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626,782</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SunCoke Energy,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w w:val="96"/>
              </w:rPr>
              <w:t>Nonferrous Metals/Minerals</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Tranche B Term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7/26/2018</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1,367,311</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1,359,200</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1,367,311</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SunGard Data Systems Inc (Solar</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Conglomerate</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Tranche C Term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Capital Corp.)</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3.95%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2/28/2017</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304,311</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302,167</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305,452</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w w:val="91"/>
              </w:rPr>
              <w:t>SunGard Data Systems Inc (Solar</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Conglomerate</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Tranche E Term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Capital Corp.)</w:t>
            </w: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4.00%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3/8/2020</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4,221,845</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4,096,936</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4,238,944</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5"/>
              </w:rPr>
              <w:t>SuperMedia Inc. (fka Idearc Inc.)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Publishing</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11.60%</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12/30/2016</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264,330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257,131</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196,762</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Syniverse Holdings,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Telecommunications</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Initial Term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4/23/2019</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479,913</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476,371</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480,911</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Taminco Global Chemical</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Chemicals/Plastics</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Initial Tranche B-3 Dollar Term</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Corporation</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w:t>
            </w: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3.25%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2/15/2019</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1,473,863</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1,464,165</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1,473,406</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Team Health,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Healthcare</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Tranche B Term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3.75%</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6/29/2018</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4,387,500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4,373,856</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4,387,500</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TECTUM HOLDINGS INC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6.50%</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12/3/2015</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3,800,160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3,788,706</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3,762,159</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Tomkins, LLC / Tomkins, Inc.</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Conglomerate</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Term B-2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5"/>
        </w:trPr>
        <w:tc>
          <w:tcPr>
            <w:tcW w:w="1820" w:type="dxa"/>
            <w:vAlign w:val="bottom"/>
          </w:tcPr>
          <w:p>
            <w:pPr>
              <w:ind w:left="180"/>
              <w:spacing w:after="0" w:line="135" w:lineRule="exact"/>
              <w:rPr>
                <w:sz w:val="20"/>
                <w:szCs w:val="20"/>
                <w:color w:val="auto"/>
              </w:rPr>
            </w:pPr>
            <w:r>
              <w:rPr>
                <w:rFonts w:ascii="Arial" w:cs="Arial" w:eastAsia="Arial" w:hAnsi="Arial"/>
                <w:sz w:val="13"/>
                <w:szCs w:val="13"/>
                <w:color w:val="auto"/>
              </w:rPr>
              <w:t>(f/k/a Pinafore, LLC /</w:t>
            </w: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Pinafore, Inc.)</w:t>
            </w: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3.75%</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9/29/2016</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2,356,680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2,360,795</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2,361,982</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TransDigm Inc.</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Aerospace and Defense</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Tranche C 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3.75%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2/28/2020</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4,896,514</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4,904,843</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4,914,876</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Tricorbraun Inc. (fka Kranson</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w w:val="99"/>
              </w:rPr>
              <w:t>Containers/Glass Products</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Term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Industries, Inc.)</w:t>
            </w: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4.00%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5/3/2018</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1,902,083</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1,895,432</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1,903,282</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Truven Health Analytics Inc. (fka</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Healthcare</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New Tranche B Term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5"/>
        </w:trPr>
        <w:tc>
          <w:tcPr>
            <w:tcW w:w="1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Thomson Reuters</w:t>
            </w:r>
          </w:p>
        </w:tc>
        <w:tc>
          <w:tcPr>
            <w:tcW w:w="16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(Healthcare) Inc.)</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4.50%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6/6/2019</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492,528</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484,755</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493,513</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U.S. Security Associates</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Delayed Draw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Holdings, Inc.</w:t>
            </w:r>
          </w:p>
        </w:tc>
        <w:tc>
          <w:tcPr>
            <w:tcW w:w="166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6.00%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7/28/2017</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160,148</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159,235</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160,348</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U.S. Security Associates</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B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Holdings, Inc.</w:t>
            </w:r>
          </w:p>
        </w:tc>
        <w:tc>
          <w:tcPr>
            <w:tcW w:w="1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6.00%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7/28/2017</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122,494</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122,109</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122,648</w:t>
            </w:r>
          </w:p>
        </w:tc>
      </w:tr>
      <w:tr>
        <w:trPr>
          <w:trHeight w:val="121"/>
        </w:trPr>
        <w:tc>
          <w:tcPr>
            <w:tcW w:w="1820" w:type="dxa"/>
            <w:vAlign w:val="bottom"/>
          </w:tcPr>
          <w:p>
            <w:pPr>
              <w:spacing w:after="0" w:line="121" w:lineRule="exact"/>
              <w:rPr>
                <w:sz w:val="20"/>
                <w:szCs w:val="20"/>
                <w:color w:val="auto"/>
              </w:rPr>
            </w:pPr>
            <w:r>
              <w:rPr>
                <w:rFonts w:ascii="Arial" w:cs="Arial" w:eastAsia="Arial" w:hAnsi="Arial"/>
                <w:sz w:val="13"/>
                <w:szCs w:val="13"/>
                <w:color w:val="auto"/>
              </w:rPr>
              <w:t>U.S. Security Associates</w:t>
            </w:r>
          </w:p>
        </w:tc>
        <w:tc>
          <w:tcPr>
            <w:tcW w:w="166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860" w:type="dxa"/>
            <w:vAlign w:val="bottom"/>
          </w:tcPr>
          <w:p>
            <w:pPr>
              <w:ind w:left="120"/>
              <w:spacing w:after="0" w:line="121" w:lineRule="exact"/>
              <w:rPr>
                <w:sz w:val="20"/>
                <w:szCs w:val="20"/>
                <w:color w:val="auto"/>
              </w:rPr>
            </w:pPr>
            <w:r>
              <w:rPr>
                <w:rFonts w:ascii="Arial" w:cs="Arial" w:eastAsia="Arial" w:hAnsi="Arial"/>
                <w:sz w:val="13"/>
                <w:szCs w:val="13"/>
                <w:color w:val="auto"/>
              </w:rPr>
              <w:t>Term B Loan</w:t>
            </w:r>
          </w:p>
        </w:tc>
        <w:tc>
          <w:tcPr>
            <w:tcW w:w="98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820" w:type="dxa"/>
            <w:vAlign w:val="bottom"/>
          </w:tcPr>
          <w:p>
            <w:pPr>
              <w:ind w:left="180"/>
              <w:spacing w:after="0"/>
              <w:rPr>
                <w:sz w:val="20"/>
                <w:szCs w:val="20"/>
                <w:color w:val="auto"/>
              </w:rPr>
            </w:pPr>
            <w:r>
              <w:rPr>
                <w:rFonts w:ascii="Arial" w:cs="Arial" w:eastAsia="Arial" w:hAnsi="Arial"/>
                <w:sz w:val="13"/>
                <w:szCs w:val="13"/>
                <w:color w:val="auto"/>
              </w:rPr>
              <w:t>Holdings, Inc.</w:t>
            </w:r>
          </w:p>
        </w:tc>
        <w:tc>
          <w:tcPr>
            <w:tcW w:w="166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6.00%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7/28/2017</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818,172</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813,513</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819,195</w:t>
            </w: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Silica Company</w:t>
            </w:r>
          </w:p>
        </w:tc>
        <w:tc>
          <w:tcPr>
            <w:tcW w:w="16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6"/>
              </w:rPr>
              <w:t>Nonferrous Metals/Minerals</w:t>
            </w:r>
          </w:p>
        </w:tc>
        <w:tc>
          <w:tcPr>
            <w:tcW w:w="1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w:t>
            </w:r>
          </w:p>
        </w:tc>
        <w:tc>
          <w:tcPr>
            <w:tcW w:w="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7/23/2020</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1,950,200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1,941,292</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1,954,256</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U.S. Xpress Enterprises,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Extended Term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9.38%</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11/13/2016</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2,805,278</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2,766,405</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2,777,225</w:t>
            </w:r>
          </w:p>
        </w:tc>
      </w:tr>
      <w:tr>
        <w:trPr>
          <w:trHeight w:val="121"/>
        </w:trPr>
        <w:tc>
          <w:tcPr>
            <w:tcW w:w="18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United Surgical Partners</w:t>
            </w:r>
          </w:p>
        </w:tc>
        <w:tc>
          <w:tcPr>
            <w:tcW w:w="16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Healthcare</w:t>
            </w:r>
          </w:p>
        </w:tc>
        <w:tc>
          <w:tcPr>
            <w:tcW w:w="186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New Tranche B Term Loan</w:t>
            </w:r>
          </w:p>
        </w:tc>
        <w:tc>
          <w:tcPr>
            <w:tcW w:w="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International, Inc.</w:t>
            </w:r>
          </w:p>
        </w:tc>
        <w:tc>
          <w:tcPr>
            <w:tcW w:w="16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4.75%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4/3/2019</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2,456,500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2,429,626</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2,470,821</w:t>
            </w: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Univar Inc.</w:t>
            </w:r>
          </w:p>
        </w:tc>
        <w:tc>
          <w:tcPr>
            <w:tcW w:w="1660" w:type="dxa"/>
            <w:vAlign w:val="bottom"/>
          </w:tcPr>
          <w:p>
            <w:pPr>
              <w:ind w:left="100"/>
              <w:spacing w:after="0" w:line="135" w:lineRule="exact"/>
              <w:rPr>
                <w:sz w:val="20"/>
                <w:szCs w:val="20"/>
                <w:color w:val="auto"/>
              </w:rPr>
            </w:pPr>
            <w:r>
              <w:rPr>
                <w:rFonts w:ascii="Arial" w:cs="Arial" w:eastAsia="Arial" w:hAnsi="Arial"/>
                <w:sz w:val="13"/>
                <w:szCs w:val="13"/>
                <w:color w:val="auto"/>
              </w:rPr>
              <w:t>Chemicals/Plastics</w:t>
            </w:r>
          </w:p>
        </w:tc>
        <w:tc>
          <w:tcPr>
            <w:tcW w:w="1860" w:type="dxa"/>
            <w:vAlign w:val="bottom"/>
          </w:tcPr>
          <w:p>
            <w:pPr>
              <w:ind w:left="120"/>
              <w:spacing w:after="0" w:line="135" w:lineRule="exact"/>
              <w:rPr>
                <w:sz w:val="20"/>
                <w:szCs w:val="20"/>
                <w:color w:val="auto"/>
              </w:rPr>
            </w:pPr>
            <w:r>
              <w:rPr>
                <w:rFonts w:ascii="Arial" w:cs="Arial" w:eastAsia="Arial" w:hAnsi="Arial"/>
                <w:sz w:val="13"/>
                <w:szCs w:val="13"/>
                <w:color w:val="auto"/>
              </w:rPr>
              <w:t>Term B Loan</w:t>
            </w:r>
          </w:p>
        </w:tc>
        <w:tc>
          <w:tcPr>
            <w:tcW w:w="98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5.00%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6/30/2017</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3,884,944</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3,884,238</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3,859,225</w:t>
            </w:r>
          </w:p>
        </w:tc>
      </w:tr>
      <w:tr>
        <w:trPr>
          <w:trHeight w:val="160"/>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Univision Communications Inc.</w:t>
            </w:r>
          </w:p>
        </w:tc>
        <w:tc>
          <w:tcPr>
            <w:tcW w:w="1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Telecommunications</w:t>
            </w:r>
          </w:p>
        </w:tc>
        <w:tc>
          <w:tcPr>
            <w:tcW w:w="1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Replacement First-Lien Term</w:t>
            </w:r>
          </w:p>
        </w:tc>
        <w:tc>
          <w:tcPr>
            <w:tcW w:w="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4.00%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3/1/2020</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2,977,500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2,959,200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2,984,467</w:t>
            </w:r>
          </w:p>
        </w:tc>
      </w:tr>
      <w:tr>
        <w:trPr>
          <w:trHeight w:val="58"/>
        </w:trPr>
        <w:tc>
          <w:tcPr>
            <w:tcW w:w="182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bl>
    <w:p>
      <w:pPr>
        <w:sectPr>
          <w:pgSz w:w="11900" w:h="16900" w:orient="portrait"/>
          <w:cols w:equalWidth="0" w:num="1">
            <w:col w:w="11420"/>
          </w:cols>
          <w:pgMar w:left="240" w:top="111" w:right="239" w:bottom="0" w:gutter="0" w:footer="0" w:header="0"/>
        </w:sectPr>
      </w:pPr>
    </w:p>
    <w:bookmarkStart w:id="85" w:name="page86"/>
    <w:bookmarkEnd w:id="8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8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Loan</w:t>
            </w:r>
          </w:p>
        </w:tc>
        <w:tc>
          <w:tcPr>
            <w:tcW w:w="1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21"/>
        </w:trPr>
        <w:tc>
          <w:tcPr>
            <w:tcW w:w="1780" w:type="dxa"/>
            <w:vAlign w:val="bottom"/>
          </w:tcPr>
          <w:p>
            <w:pPr>
              <w:spacing w:after="0" w:line="121" w:lineRule="exact"/>
              <w:rPr>
                <w:sz w:val="20"/>
                <w:szCs w:val="20"/>
                <w:color w:val="auto"/>
              </w:rPr>
            </w:pPr>
            <w:r>
              <w:rPr>
                <w:rFonts w:ascii="Arial" w:cs="Arial" w:eastAsia="Arial" w:hAnsi="Arial"/>
                <w:sz w:val="13"/>
                <w:szCs w:val="13"/>
                <w:color w:val="auto"/>
              </w:rPr>
              <w:t>UPC Financing Partnership</w:t>
            </w:r>
          </w:p>
        </w:tc>
        <w:tc>
          <w:tcPr>
            <w:tcW w:w="1600" w:type="dxa"/>
            <w:vAlign w:val="bottom"/>
          </w:tcPr>
          <w:p>
            <w:pPr>
              <w:ind w:left="140"/>
              <w:spacing w:after="0" w:line="121" w:lineRule="exact"/>
              <w:rPr>
                <w:sz w:val="20"/>
                <w:szCs w:val="20"/>
                <w:color w:val="auto"/>
              </w:rPr>
            </w:pPr>
            <w:r>
              <w:rPr>
                <w:rFonts w:ascii="Arial" w:cs="Arial" w:eastAsia="Arial" w:hAnsi="Arial"/>
                <w:sz w:val="13"/>
                <w:szCs w:val="13"/>
                <w:color w:val="auto"/>
              </w:rPr>
              <w:t>Broadcast Radio and</w:t>
            </w:r>
          </w:p>
        </w:tc>
        <w:tc>
          <w:tcPr>
            <w:tcW w:w="1880" w:type="dxa"/>
            <w:vAlign w:val="bottom"/>
          </w:tcPr>
          <w:p>
            <w:pPr>
              <w:ind w:left="220"/>
              <w:spacing w:after="0" w:line="121" w:lineRule="exact"/>
              <w:rPr>
                <w:sz w:val="20"/>
                <w:szCs w:val="20"/>
                <w:color w:val="auto"/>
              </w:rPr>
            </w:pPr>
            <w:r>
              <w:rPr>
                <w:rFonts w:ascii="Arial" w:cs="Arial" w:eastAsia="Arial" w:hAnsi="Arial"/>
                <w:sz w:val="13"/>
                <w:szCs w:val="13"/>
                <w:color w:val="auto"/>
              </w:rPr>
              <w:t>Facility AF</w:t>
            </w:r>
          </w:p>
        </w:tc>
        <w:tc>
          <w:tcPr>
            <w:tcW w:w="1100" w:type="dxa"/>
            <w:vAlign w:val="bottom"/>
          </w:tcPr>
          <w:p>
            <w:pPr>
              <w:ind w:left="200"/>
              <w:spacing w:after="0" w:line="121" w:lineRule="exact"/>
              <w:rPr>
                <w:sz w:val="20"/>
                <w:szCs w:val="20"/>
                <w:color w:val="auto"/>
              </w:rPr>
            </w:pPr>
            <w:r>
              <w:rPr>
                <w:rFonts w:ascii="Arial" w:cs="Arial" w:eastAsia="Arial" w:hAnsi="Arial"/>
                <w:sz w:val="13"/>
                <w:szCs w:val="13"/>
                <w:color w:val="auto"/>
              </w:rPr>
              <w:t>Loan</w:t>
            </w:r>
          </w:p>
        </w:tc>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9"/>
        </w:trPr>
        <w:tc>
          <w:tcPr>
            <w:tcW w:w="1780" w:type="dxa"/>
            <w:vAlign w:val="bottom"/>
          </w:tcPr>
          <w:p>
            <w:pPr>
              <w:spacing w:after="0"/>
              <w:rPr>
                <w:sz w:val="12"/>
                <w:szCs w:val="12"/>
                <w:color w:val="auto"/>
              </w:rPr>
            </w:pPr>
          </w:p>
        </w:tc>
        <w:tc>
          <w:tcPr>
            <w:tcW w:w="1600" w:type="dxa"/>
            <w:vAlign w:val="bottom"/>
          </w:tcPr>
          <w:p>
            <w:pPr>
              <w:ind w:left="140"/>
              <w:spacing w:after="0"/>
              <w:rPr>
                <w:sz w:val="20"/>
                <w:szCs w:val="20"/>
                <w:color w:val="auto"/>
              </w:rPr>
            </w:pPr>
            <w:r>
              <w:rPr>
                <w:rFonts w:ascii="Arial" w:cs="Arial" w:eastAsia="Arial" w:hAnsi="Arial"/>
                <w:sz w:val="13"/>
                <w:szCs w:val="13"/>
                <w:color w:val="auto"/>
              </w:rPr>
              <w:t>Television</w:t>
            </w:r>
          </w:p>
        </w:tc>
        <w:tc>
          <w:tcPr>
            <w:tcW w:w="1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4.00%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1/31/2021</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1,000,000</w:t>
            </w:r>
          </w:p>
        </w:tc>
        <w:tc>
          <w:tcPr>
            <w:tcW w:w="1060" w:type="dxa"/>
            <w:vAlign w:val="bottom"/>
          </w:tcPr>
          <w:p>
            <w:pPr>
              <w:jc w:val="right"/>
              <w:ind w:right="217"/>
              <w:spacing w:after="0"/>
              <w:rPr>
                <w:sz w:val="20"/>
                <w:szCs w:val="20"/>
                <w:color w:val="auto"/>
              </w:rPr>
            </w:pPr>
            <w:r>
              <w:rPr>
                <w:rFonts w:ascii="Arial" w:cs="Arial" w:eastAsia="Arial" w:hAnsi="Arial"/>
                <w:sz w:val="13"/>
                <w:szCs w:val="13"/>
                <w:color w:val="auto"/>
              </w:rPr>
              <w:t>974,618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1,002,500</w:t>
            </w:r>
          </w:p>
        </w:tc>
      </w:tr>
      <w:tr>
        <w:trPr>
          <w:trHeight w:val="121"/>
        </w:trPr>
        <w:tc>
          <w:tcPr>
            <w:tcW w:w="1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Valeant Pharmaceuticals</w:t>
            </w:r>
          </w:p>
        </w:tc>
        <w:tc>
          <w:tcPr>
            <w:tcW w:w="16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Drugs</w:t>
            </w:r>
          </w:p>
        </w:tc>
        <w:tc>
          <w:tcPr>
            <w:tcW w:w="188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rPr>
              <w:t>Series D2 Term Loan B</w:t>
            </w:r>
          </w:p>
        </w:tc>
        <w:tc>
          <w:tcPr>
            <w:tcW w:w="110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Loan</w:t>
            </w:r>
          </w:p>
        </w:tc>
        <w:tc>
          <w:tcPr>
            <w:tcW w:w="1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9"/>
        </w:trPr>
        <w:tc>
          <w:tcPr>
            <w:tcW w:w="1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International, Inc.</w:t>
            </w:r>
          </w:p>
        </w:tc>
        <w:tc>
          <w:tcPr>
            <w:tcW w:w="16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3.75%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2/13/2019</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2,947,688</w:t>
            </w:r>
          </w:p>
        </w:tc>
        <w:tc>
          <w:tcPr>
            <w:tcW w:w="10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2,936,432</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2,955,528</w:t>
            </w:r>
          </w:p>
        </w:tc>
      </w:tr>
      <w:tr>
        <w:trPr>
          <w:trHeight w:val="121"/>
        </w:trPr>
        <w:tc>
          <w:tcPr>
            <w:tcW w:w="1780" w:type="dxa"/>
            <w:vAlign w:val="bottom"/>
          </w:tcPr>
          <w:p>
            <w:pPr>
              <w:spacing w:after="0" w:line="121" w:lineRule="exact"/>
              <w:rPr>
                <w:sz w:val="20"/>
                <w:szCs w:val="20"/>
                <w:color w:val="auto"/>
              </w:rPr>
            </w:pPr>
            <w:r>
              <w:rPr>
                <w:rFonts w:ascii="Arial" w:cs="Arial" w:eastAsia="Arial" w:hAnsi="Arial"/>
                <w:sz w:val="13"/>
                <w:szCs w:val="13"/>
                <w:color w:val="auto"/>
              </w:rPr>
              <w:t>Verint Systems Inc.</w:t>
            </w:r>
          </w:p>
        </w:tc>
        <w:tc>
          <w:tcPr>
            <w:tcW w:w="1600" w:type="dxa"/>
            <w:vAlign w:val="bottom"/>
          </w:tcPr>
          <w:p>
            <w:pPr>
              <w:ind w:left="140"/>
              <w:spacing w:after="0" w:line="121" w:lineRule="exact"/>
              <w:rPr>
                <w:sz w:val="20"/>
                <w:szCs w:val="20"/>
                <w:color w:val="auto"/>
              </w:rPr>
            </w:pPr>
            <w:r>
              <w:rPr>
                <w:rFonts w:ascii="Arial" w:cs="Arial" w:eastAsia="Arial" w:hAnsi="Arial"/>
                <w:sz w:val="13"/>
                <w:szCs w:val="13"/>
                <w:color w:val="auto"/>
              </w:rPr>
              <w:t>Business Equipment and</w:t>
            </w:r>
          </w:p>
        </w:tc>
        <w:tc>
          <w:tcPr>
            <w:tcW w:w="1880" w:type="dxa"/>
            <w:vAlign w:val="bottom"/>
          </w:tcPr>
          <w:p>
            <w:pPr>
              <w:ind w:left="220"/>
              <w:spacing w:after="0" w:line="121" w:lineRule="exact"/>
              <w:rPr>
                <w:sz w:val="20"/>
                <w:szCs w:val="20"/>
                <w:color w:val="auto"/>
              </w:rPr>
            </w:pPr>
            <w:r>
              <w:rPr>
                <w:rFonts w:ascii="Arial" w:cs="Arial" w:eastAsia="Arial" w:hAnsi="Arial"/>
                <w:sz w:val="13"/>
                <w:szCs w:val="13"/>
                <w:color w:val="auto"/>
              </w:rPr>
              <w:t>Term Loan</w:t>
            </w:r>
          </w:p>
        </w:tc>
        <w:tc>
          <w:tcPr>
            <w:tcW w:w="1100" w:type="dxa"/>
            <w:vAlign w:val="bottom"/>
          </w:tcPr>
          <w:p>
            <w:pPr>
              <w:ind w:left="200"/>
              <w:spacing w:after="0" w:line="121" w:lineRule="exact"/>
              <w:rPr>
                <w:sz w:val="20"/>
                <w:szCs w:val="20"/>
                <w:color w:val="auto"/>
              </w:rPr>
            </w:pPr>
            <w:r>
              <w:rPr>
                <w:rFonts w:ascii="Arial" w:cs="Arial" w:eastAsia="Arial" w:hAnsi="Arial"/>
                <w:sz w:val="13"/>
                <w:szCs w:val="13"/>
                <w:color w:val="auto"/>
              </w:rPr>
              <w:t>Loan</w:t>
            </w:r>
          </w:p>
        </w:tc>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9"/>
        </w:trPr>
        <w:tc>
          <w:tcPr>
            <w:tcW w:w="1780" w:type="dxa"/>
            <w:vAlign w:val="bottom"/>
          </w:tcPr>
          <w:p>
            <w:pPr>
              <w:spacing w:after="0"/>
              <w:rPr>
                <w:sz w:val="12"/>
                <w:szCs w:val="12"/>
                <w:color w:val="auto"/>
              </w:rPr>
            </w:pPr>
          </w:p>
        </w:tc>
        <w:tc>
          <w:tcPr>
            <w:tcW w:w="1600" w:type="dxa"/>
            <w:vAlign w:val="bottom"/>
          </w:tcPr>
          <w:p>
            <w:pPr>
              <w:ind w:left="140"/>
              <w:spacing w:after="0"/>
              <w:rPr>
                <w:sz w:val="20"/>
                <w:szCs w:val="20"/>
                <w:color w:val="auto"/>
              </w:rPr>
            </w:pPr>
            <w:r>
              <w:rPr>
                <w:rFonts w:ascii="Arial" w:cs="Arial" w:eastAsia="Arial" w:hAnsi="Arial"/>
                <w:sz w:val="13"/>
                <w:szCs w:val="13"/>
                <w:color w:val="auto"/>
              </w:rPr>
              <w:t>Services</w:t>
            </w:r>
          </w:p>
        </w:tc>
        <w:tc>
          <w:tcPr>
            <w:tcW w:w="1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4.00%</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9/6/2019</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1,900,800</w:t>
            </w:r>
          </w:p>
        </w:tc>
        <w:tc>
          <w:tcPr>
            <w:tcW w:w="1060" w:type="dxa"/>
            <w:vAlign w:val="bottom"/>
          </w:tcPr>
          <w:p>
            <w:pPr>
              <w:jc w:val="right"/>
              <w:ind w:right="217"/>
              <w:spacing w:after="0"/>
              <w:rPr>
                <w:sz w:val="20"/>
                <w:szCs w:val="20"/>
                <w:color w:val="auto"/>
              </w:rPr>
            </w:pPr>
            <w:r>
              <w:rPr>
                <w:rFonts w:ascii="Arial" w:cs="Arial" w:eastAsia="Arial" w:hAnsi="Arial"/>
                <w:sz w:val="13"/>
                <w:szCs w:val="13"/>
                <w:color w:val="auto"/>
              </w:rPr>
              <w:t>1,892,737</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1,904,602</w:t>
            </w:r>
          </w:p>
        </w:tc>
      </w:tr>
      <w:tr>
        <w:trPr>
          <w:trHeight w:val="121"/>
        </w:trPr>
        <w:tc>
          <w:tcPr>
            <w:tcW w:w="1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Verint Systems Inc.</w:t>
            </w:r>
          </w:p>
        </w:tc>
        <w:tc>
          <w:tcPr>
            <w:tcW w:w="16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Business Equipment and</w:t>
            </w:r>
          </w:p>
        </w:tc>
        <w:tc>
          <w:tcPr>
            <w:tcW w:w="188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w w:val="99"/>
              </w:rPr>
              <w:t>Tranche B Incremental Term</w:t>
            </w:r>
          </w:p>
        </w:tc>
        <w:tc>
          <w:tcPr>
            <w:tcW w:w="110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Loan</w:t>
            </w:r>
          </w:p>
        </w:tc>
        <w:tc>
          <w:tcPr>
            <w:tcW w:w="1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9"/>
        </w:trPr>
        <w:tc>
          <w:tcPr>
            <w:tcW w:w="1780" w:type="dxa"/>
            <w:vAlign w:val="bottom"/>
            <w:shd w:val="clear" w:color="auto" w:fill="CCEEFF"/>
          </w:tcPr>
          <w:p>
            <w:pPr>
              <w:spacing w:after="0"/>
              <w:rPr>
                <w:sz w:val="12"/>
                <w:szCs w:val="12"/>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Services</w:t>
            </w:r>
          </w:p>
        </w:tc>
        <w:tc>
          <w:tcPr>
            <w:tcW w:w="18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Loan</w:t>
            </w: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3.50%</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9/6/2019</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1,000,000</w:t>
            </w:r>
          </w:p>
        </w:tc>
        <w:tc>
          <w:tcPr>
            <w:tcW w:w="10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997,521</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1,000,000</w:t>
            </w:r>
          </w:p>
        </w:tc>
      </w:tr>
      <w:tr>
        <w:trPr>
          <w:trHeight w:val="121"/>
        </w:trPr>
        <w:tc>
          <w:tcPr>
            <w:tcW w:w="1780" w:type="dxa"/>
            <w:vAlign w:val="bottom"/>
          </w:tcPr>
          <w:p>
            <w:pPr>
              <w:spacing w:after="0" w:line="121" w:lineRule="exact"/>
              <w:rPr>
                <w:sz w:val="20"/>
                <w:szCs w:val="20"/>
                <w:color w:val="auto"/>
              </w:rPr>
            </w:pPr>
            <w:r>
              <w:rPr>
                <w:rFonts w:ascii="Arial" w:cs="Arial" w:eastAsia="Arial" w:hAnsi="Arial"/>
                <w:sz w:val="13"/>
                <w:szCs w:val="13"/>
                <w:color w:val="auto"/>
              </w:rPr>
              <w:t>Vertafore, Inc.</w:t>
            </w:r>
          </w:p>
        </w:tc>
        <w:tc>
          <w:tcPr>
            <w:tcW w:w="1600" w:type="dxa"/>
            <w:vAlign w:val="bottom"/>
          </w:tcPr>
          <w:p>
            <w:pPr>
              <w:ind w:left="140"/>
              <w:spacing w:after="0" w:line="121" w:lineRule="exact"/>
              <w:rPr>
                <w:sz w:val="20"/>
                <w:szCs w:val="20"/>
                <w:color w:val="auto"/>
              </w:rPr>
            </w:pPr>
            <w:r>
              <w:rPr>
                <w:rFonts w:ascii="Arial" w:cs="Arial" w:eastAsia="Arial" w:hAnsi="Arial"/>
                <w:sz w:val="13"/>
                <w:szCs w:val="13"/>
                <w:color w:val="auto"/>
              </w:rPr>
              <w:t>Business Equipment and</w:t>
            </w:r>
          </w:p>
        </w:tc>
        <w:tc>
          <w:tcPr>
            <w:tcW w:w="1880" w:type="dxa"/>
            <w:vAlign w:val="bottom"/>
          </w:tcPr>
          <w:p>
            <w:pPr>
              <w:ind w:left="220"/>
              <w:spacing w:after="0" w:line="121" w:lineRule="exact"/>
              <w:rPr>
                <w:sz w:val="20"/>
                <w:szCs w:val="20"/>
                <w:color w:val="auto"/>
              </w:rPr>
            </w:pPr>
            <w:r>
              <w:rPr>
                <w:rFonts w:ascii="Arial" w:cs="Arial" w:eastAsia="Arial" w:hAnsi="Arial"/>
                <w:sz w:val="13"/>
                <w:szCs w:val="13"/>
                <w:color w:val="auto"/>
              </w:rPr>
              <w:t>Term Loan (2013)</w:t>
            </w:r>
          </w:p>
        </w:tc>
        <w:tc>
          <w:tcPr>
            <w:tcW w:w="1100" w:type="dxa"/>
            <w:vAlign w:val="bottom"/>
          </w:tcPr>
          <w:p>
            <w:pPr>
              <w:ind w:left="200"/>
              <w:spacing w:after="0" w:line="121" w:lineRule="exact"/>
              <w:rPr>
                <w:sz w:val="20"/>
                <w:szCs w:val="20"/>
                <w:color w:val="auto"/>
              </w:rPr>
            </w:pPr>
            <w:r>
              <w:rPr>
                <w:rFonts w:ascii="Arial" w:cs="Arial" w:eastAsia="Arial" w:hAnsi="Arial"/>
                <w:sz w:val="13"/>
                <w:szCs w:val="13"/>
                <w:color w:val="auto"/>
              </w:rPr>
              <w:t>Loan</w:t>
            </w:r>
          </w:p>
        </w:tc>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9"/>
        </w:trPr>
        <w:tc>
          <w:tcPr>
            <w:tcW w:w="1780" w:type="dxa"/>
            <w:vAlign w:val="bottom"/>
          </w:tcPr>
          <w:p>
            <w:pPr>
              <w:spacing w:after="0"/>
              <w:rPr>
                <w:sz w:val="12"/>
                <w:szCs w:val="12"/>
                <w:color w:val="auto"/>
              </w:rPr>
            </w:pPr>
          </w:p>
        </w:tc>
        <w:tc>
          <w:tcPr>
            <w:tcW w:w="1600" w:type="dxa"/>
            <w:vAlign w:val="bottom"/>
          </w:tcPr>
          <w:p>
            <w:pPr>
              <w:ind w:left="140"/>
              <w:spacing w:after="0"/>
              <w:rPr>
                <w:sz w:val="20"/>
                <w:szCs w:val="20"/>
                <w:color w:val="auto"/>
              </w:rPr>
            </w:pPr>
            <w:r>
              <w:rPr>
                <w:rFonts w:ascii="Arial" w:cs="Arial" w:eastAsia="Arial" w:hAnsi="Arial"/>
                <w:sz w:val="13"/>
                <w:szCs w:val="13"/>
                <w:color w:val="auto"/>
              </w:rPr>
              <w:t>Services</w:t>
            </w:r>
          </w:p>
        </w:tc>
        <w:tc>
          <w:tcPr>
            <w:tcW w:w="1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4.25%</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10/3/2019</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2,899,621</w:t>
            </w:r>
          </w:p>
        </w:tc>
        <w:tc>
          <w:tcPr>
            <w:tcW w:w="1060" w:type="dxa"/>
            <w:vAlign w:val="bottom"/>
          </w:tcPr>
          <w:p>
            <w:pPr>
              <w:jc w:val="right"/>
              <w:ind w:right="217"/>
              <w:spacing w:after="0"/>
              <w:rPr>
                <w:sz w:val="20"/>
                <w:szCs w:val="20"/>
                <w:color w:val="auto"/>
              </w:rPr>
            </w:pPr>
            <w:r>
              <w:rPr>
                <w:rFonts w:ascii="Arial" w:cs="Arial" w:eastAsia="Arial" w:hAnsi="Arial"/>
                <w:sz w:val="13"/>
                <w:szCs w:val="13"/>
                <w:color w:val="auto"/>
              </w:rPr>
              <w:t>2,899,621</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2,909,770</w:t>
            </w:r>
          </w:p>
        </w:tc>
      </w:tr>
      <w:tr>
        <w:trPr>
          <w:trHeight w:val="121"/>
        </w:trPr>
        <w:tc>
          <w:tcPr>
            <w:tcW w:w="1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Visant Corporation (fka Jostens)</w:t>
            </w:r>
          </w:p>
        </w:tc>
        <w:tc>
          <w:tcPr>
            <w:tcW w:w="16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rPr>
              <w:t>Leisure</w:t>
            </w:r>
          </w:p>
        </w:tc>
        <w:tc>
          <w:tcPr>
            <w:tcW w:w="188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w w:val="97"/>
              </w:rPr>
              <w:t>Tranche B Term Loan (2011)</w:t>
            </w:r>
          </w:p>
        </w:tc>
        <w:tc>
          <w:tcPr>
            <w:tcW w:w="110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Loan</w:t>
            </w:r>
          </w:p>
        </w:tc>
        <w:tc>
          <w:tcPr>
            <w:tcW w:w="1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9"/>
        </w:trPr>
        <w:tc>
          <w:tcPr>
            <w:tcW w:w="1780" w:type="dxa"/>
            <w:vAlign w:val="bottom"/>
            <w:shd w:val="clear" w:color="auto" w:fill="CCEEFF"/>
          </w:tcPr>
          <w:p>
            <w:pPr>
              <w:spacing w:after="0"/>
              <w:rPr>
                <w:sz w:val="12"/>
                <w:szCs w:val="12"/>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Goods/Activities/Movies</w:t>
            </w:r>
          </w:p>
        </w:tc>
        <w:tc>
          <w:tcPr>
            <w:tcW w:w="18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5.25%</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12/22/2016</w:t>
            </w:r>
          </w:p>
        </w:tc>
        <w:tc>
          <w:tcPr>
            <w:tcW w:w="10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3,658,446</w:t>
            </w:r>
          </w:p>
        </w:tc>
        <w:tc>
          <w:tcPr>
            <w:tcW w:w="10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3,658,446</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3,607,008</w:t>
            </w:r>
          </w:p>
        </w:tc>
      </w:tr>
      <w:tr>
        <w:trPr>
          <w:trHeight w:val="135"/>
        </w:trPr>
        <w:tc>
          <w:tcPr>
            <w:tcW w:w="1780" w:type="dxa"/>
            <w:vAlign w:val="bottom"/>
          </w:tcPr>
          <w:p>
            <w:pPr>
              <w:spacing w:after="0" w:line="135" w:lineRule="exact"/>
              <w:rPr>
                <w:sz w:val="20"/>
                <w:szCs w:val="20"/>
                <w:color w:val="auto"/>
              </w:rPr>
            </w:pPr>
            <w:r>
              <w:rPr>
                <w:rFonts w:ascii="Arial" w:cs="Arial" w:eastAsia="Arial" w:hAnsi="Arial"/>
                <w:sz w:val="13"/>
                <w:szCs w:val="13"/>
                <w:color w:val="auto"/>
              </w:rPr>
              <w:t>W.R. Grace &amp; Co.-CONN</w:t>
            </w:r>
          </w:p>
        </w:tc>
        <w:tc>
          <w:tcPr>
            <w:tcW w:w="1600" w:type="dxa"/>
            <w:vAlign w:val="bottom"/>
          </w:tcPr>
          <w:p>
            <w:pPr>
              <w:ind w:left="140"/>
              <w:spacing w:after="0" w:line="135" w:lineRule="exact"/>
              <w:rPr>
                <w:sz w:val="20"/>
                <w:szCs w:val="20"/>
                <w:color w:val="auto"/>
              </w:rPr>
            </w:pPr>
            <w:r>
              <w:rPr>
                <w:rFonts w:ascii="Arial" w:cs="Arial" w:eastAsia="Arial" w:hAnsi="Arial"/>
                <w:sz w:val="13"/>
                <w:szCs w:val="13"/>
                <w:color w:val="auto"/>
              </w:rPr>
              <w:t>Chemicals/Plastics</w:t>
            </w:r>
          </w:p>
        </w:tc>
        <w:tc>
          <w:tcPr>
            <w:tcW w:w="1880" w:type="dxa"/>
            <w:vAlign w:val="bottom"/>
          </w:tcPr>
          <w:p>
            <w:pPr>
              <w:ind w:left="220"/>
              <w:spacing w:after="0" w:line="135" w:lineRule="exact"/>
              <w:rPr>
                <w:sz w:val="20"/>
                <w:szCs w:val="20"/>
                <w:color w:val="auto"/>
              </w:rPr>
            </w:pPr>
            <w:r>
              <w:rPr>
                <w:rFonts w:ascii="Arial" w:cs="Arial" w:eastAsia="Arial" w:hAnsi="Arial"/>
                <w:sz w:val="13"/>
                <w:szCs w:val="13"/>
                <w:color w:val="auto"/>
              </w:rPr>
              <w:t>Delayed Draw Term Loan</w:t>
            </w:r>
          </w:p>
        </w:tc>
        <w:tc>
          <w:tcPr>
            <w:tcW w:w="1100" w:type="dxa"/>
            <w:vAlign w:val="bottom"/>
          </w:tcPr>
          <w:p>
            <w:pPr>
              <w:ind w:left="200"/>
              <w:spacing w:after="0" w:line="135" w:lineRule="exact"/>
              <w:rPr>
                <w:sz w:val="20"/>
                <w:szCs w:val="20"/>
                <w:color w:val="auto"/>
              </w:rPr>
            </w:pPr>
            <w:r>
              <w:rPr>
                <w:rFonts w:ascii="Arial" w:cs="Arial" w:eastAsia="Arial" w:hAnsi="Arial"/>
                <w:sz w:val="13"/>
                <w:szCs w:val="13"/>
                <w:color w:val="auto"/>
              </w:rPr>
              <w:t>Loan</w:t>
            </w:r>
          </w:p>
        </w:tc>
        <w:tc>
          <w:tcPr>
            <w:tcW w:w="11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0.00%</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2/3/2021</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(328)</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r>
      <w:tr>
        <w:trPr>
          <w:trHeight w:val="135"/>
        </w:trPr>
        <w:tc>
          <w:tcPr>
            <w:tcW w:w="1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W.R. Grace &amp; Co.-CONN</w:t>
            </w:r>
          </w:p>
        </w:tc>
        <w:tc>
          <w:tcPr>
            <w:tcW w:w="16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Chemicals/Plastics</w:t>
            </w:r>
          </w:p>
        </w:tc>
        <w:tc>
          <w:tcPr>
            <w:tcW w:w="18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U.S. Term Loan</w:t>
            </w:r>
          </w:p>
        </w:tc>
        <w:tc>
          <w:tcPr>
            <w:tcW w:w="11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Loan</w:t>
            </w:r>
          </w:p>
        </w:tc>
        <w:tc>
          <w:tcPr>
            <w:tcW w:w="11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3.00%</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2/3/2021</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368,421</w:t>
            </w:r>
          </w:p>
        </w:tc>
        <w:tc>
          <w:tcPr>
            <w:tcW w:w="106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367,502</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367,828</w:t>
            </w:r>
          </w:p>
        </w:tc>
      </w:tr>
      <w:tr>
        <w:trPr>
          <w:trHeight w:val="121"/>
        </w:trPr>
        <w:tc>
          <w:tcPr>
            <w:tcW w:w="1780" w:type="dxa"/>
            <w:vAlign w:val="bottom"/>
          </w:tcPr>
          <w:p>
            <w:pPr>
              <w:spacing w:after="0" w:line="121" w:lineRule="exact"/>
              <w:rPr>
                <w:sz w:val="20"/>
                <w:szCs w:val="20"/>
                <w:color w:val="auto"/>
              </w:rPr>
            </w:pPr>
            <w:r>
              <w:rPr>
                <w:rFonts w:ascii="Arial" w:cs="Arial" w:eastAsia="Arial" w:hAnsi="Arial"/>
                <w:sz w:val="13"/>
                <w:szCs w:val="13"/>
                <w:color w:val="auto"/>
              </w:rPr>
              <w:t>Washington Inventory Service</w:t>
            </w:r>
          </w:p>
        </w:tc>
        <w:tc>
          <w:tcPr>
            <w:tcW w:w="1600" w:type="dxa"/>
            <w:vAlign w:val="bottom"/>
          </w:tcPr>
          <w:p>
            <w:pPr>
              <w:ind w:left="140"/>
              <w:spacing w:after="0" w:line="121" w:lineRule="exact"/>
              <w:rPr>
                <w:sz w:val="20"/>
                <w:szCs w:val="20"/>
                <w:color w:val="auto"/>
              </w:rPr>
            </w:pPr>
            <w:r>
              <w:rPr>
                <w:rFonts w:ascii="Arial" w:cs="Arial" w:eastAsia="Arial" w:hAnsi="Arial"/>
                <w:sz w:val="13"/>
                <w:szCs w:val="13"/>
                <w:color w:val="auto"/>
              </w:rPr>
              <w:t>Business Equipment and</w:t>
            </w:r>
          </w:p>
        </w:tc>
        <w:tc>
          <w:tcPr>
            <w:tcW w:w="1880" w:type="dxa"/>
            <w:vAlign w:val="bottom"/>
          </w:tcPr>
          <w:p>
            <w:pPr>
              <w:ind w:left="220"/>
              <w:spacing w:after="0" w:line="121" w:lineRule="exact"/>
              <w:rPr>
                <w:sz w:val="20"/>
                <w:szCs w:val="20"/>
                <w:color w:val="auto"/>
              </w:rPr>
            </w:pPr>
            <w:r>
              <w:rPr>
                <w:rFonts w:ascii="Arial" w:cs="Arial" w:eastAsia="Arial" w:hAnsi="Arial"/>
                <w:sz w:val="13"/>
                <w:szCs w:val="13"/>
                <w:color w:val="auto"/>
              </w:rPr>
              <w:t>U.S. Term Loan (First Lien)</w:t>
            </w:r>
          </w:p>
        </w:tc>
        <w:tc>
          <w:tcPr>
            <w:tcW w:w="1100" w:type="dxa"/>
            <w:vAlign w:val="bottom"/>
          </w:tcPr>
          <w:p>
            <w:pPr>
              <w:ind w:left="200"/>
              <w:spacing w:after="0" w:line="121" w:lineRule="exact"/>
              <w:rPr>
                <w:sz w:val="20"/>
                <w:szCs w:val="20"/>
                <w:color w:val="auto"/>
              </w:rPr>
            </w:pPr>
            <w:r>
              <w:rPr>
                <w:rFonts w:ascii="Arial" w:cs="Arial" w:eastAsia="Arial" w:hAnsi="Arial"/>
                <w:sz w:val="13"/>
                <w:szCs w:val="13"/>
                <w:color w:val="auto"/>
              </w:rPr>
              <w:t>Loan</w:t>
            </w:r>
          </w:p>
        </w:tc>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9"/>
        </w:trPr>
        <w:tc>
          <w:tcPr>
            <w:tcW w:w="1780" w:type="dxa"/>
            <w:vAlign w:val="bottom"/>
          </w:tcPr>
          <w:p>
            <w:pPr>
              <w:spacing w:after="0"/>
              <w:rPr>
                <w:sz w:val="12"/>
                <w:szCs w:val="12"/>
                <w:color w:val="auto"/>
              </w:rPr>
            </w:pPr>
          </w:p>
        </w:tc>
        <w:tc>
          <w:tcPr>
            <w:tcW w:w="1600" w:type="dxa"/>
            <w:vAlign w:val="bottom"/>
          </w:tcPr>
          <w:p>
            <w:pPr>
              <w:ind w:left="140"/>
              <w:spacing w:after="0"/>
              <w:rPr>
                <w:sz w:val="20"/>
                <w:szCs w:val="20"/>
                <w:color w:val="auto"/>
              </w:rPr>
            </w:pPr>
            <w:r>
              <w:rPr>
                <w:rFonts w:ascii="Arial" w:cs="Arial" w:eastAsia="Arial" w:hAnsi="Arial"/>
                <w:sz w:val="13"/>
                <w:szCs w:val="13"/>
                <w:color w:val="auto"/>
              </w:rPr>
              <w:t>Services</w:t>
            </w:r>
          </w:p>
        </w:tc>
        <w:tc>
          <w:tcPr>
            <w:tcW w:w="1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6.75%</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12/20/2018</w:t>
            </w:r>
          </w:p>
        </w:tc>
        <w:tc>
          <w:tcPr>
            <w:tcW w:w="1000" w:type="dxa"/>
            <w:vAlign w:val="bottom"/>
          </w:tcPr>
          <w:p>
            <w:pPr>
              <w:jc w:val="right"/>
              <w:ind w:right="217"/>
              <w:spacing w:after="0"/>
              <w:rPr>
                <w:sz w:val="20"/>
                <w:szCs w:val="20"/>
                <w:color w:val="auto"/>
              </w:rPr>
            </w:pPr>
            <w:r>
              <w:rPr>
                <w:rFonts w:ascii="Arial" w:cs="Arial" w:eastAsia="Arial" w:hAnsi="Arial"/>
                <w:sz w:val="13"/>
                <w:szCs w:val="13"/>
                <w:color w:val="auto"/>
              </w:rPr>
              <w:t>1,980,000</w:t>
            </w:r>
          </w:p>
        </w:tc>
        <w:tc>
          <w:tcPr>
            <w:tcW w:w="1060" w:type="dxa"/>
            <w:vAlign w:val="bottom"/>
          </w:tcPr>
          <w:p>
            <w:pPr>
              <w:jc w:val="right"/>
              <w:ind w:right="217"/>
              <w:spacing w:after="0"/>
              <w:rPr>
                <w:sz w:val="20"/>
                <w:szCs w:val="20"/>
                <w:color w:val="auto"/>
              </w:rPr>
            </w:pPr>
            <w:r>
              <w:rPr>
                <w:rFonts w:ascii="Arial" w:cs="Arial" w:eastAsia="Arial" w:hAnsi="Arial"/>
                <w:sz w:val="13"/>
                <w:szCs w:val="13"/>
                <w:color w:val="auto"/>
              </w:rPr>
              <w:t>2,004,187</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1,965,150</w:t>
            </w:r>
          </w:p>
        </w:tc>
      </w:tr>
      <w:tr>
        <w:trPr>
          <w:trHeight w:val="135"/>
        </w:trPr>
        <w:tc>
          <w:tcPr>
            <w:tcW w:w="1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Wendy’s International, Inc</w:t>
            </w:r>
          </w:p>
        </w:tc>
        <w:tc>
          <w:tcPr>
            <w:tcW w:w="16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Food Services</w:t>
            </w:r>
          </w:p>
        </w:tc>
        <w:tc>
          <w:tcPr>
            <w:tcW w:w="18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Term B Loan</w:t>
            </w:r>
          </w:p>
        </w:tc>
        <w:tc>
          <w:tcPr>
            <w:tcW w:w="11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Loan</w:t>
            </w:r>
          </w:p>
        </w:tc>
        <w:tc>
          <w:tcPr>
            <w:tcW w:w="11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3.25%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5/15/2019</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680,470</w:t>
            </w:r>
          </w:p>
        </w:tc>
        <w:tc>
          <w:tcPr>
            <w:tcW w:w="106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674,563</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679,197</w:t>
            </w:r>
          </w:p>
        </w:tc>
      </w:tr>
      <w:tr>
        <w:trPr>
          <w:trHeight w:val="135"/>
        </w:trPr>
        <w:tc>
          <w:tcPr>
            <w:tcW w:w="1780" w:type="dxa"/>
            <w:vAlign w:val="bottom"/>
          </w:tcPr>
          <w:p>
            <w:pPr>
              <w:spacing w:after="0" w:line="135" w:lineRule="exact"/>
              <w:rPr>
                <w:sz w:val="20"/>
                <w:szCs w:val="20"/>
                <w:color w:val="auto"/>
              </w:rPr>
            </w:pPr>
            <w:r>
              <w:rPr>
                <w:rFonts w:ascii="Arial" w:cs="Arial" w:eastAsia="Arial" w:hAnsi="Arial"/>
                <w:sz w:val="13"/>
                <w:szCs w:val="13"/>
                <w:color w:val="auto"/>
                <w:w w:val="97"/>
              </w:rPr>
              <w:t>Wesco Aircraft Hardware Corp.</w:t>
            </w:r>
          </w:p>
        </w:tc>
        <w:tc>
          <w:tcPr>
            <w:tcW w:w="1600" w:type="dxa"/>
            <w:vAlign w:val="bottom"/>
          </w:tcPr>
          <w:p>
            <w:pPr>
              <w:ind w:left="140"/>
              <w:spacing w:after="0" w:line="135" w:lineRule="exact"/>
              <w:rPr>
                <w:sz w:val="20"/>
                <w:szCs w:val="20"/>
                <w:color w:val="auto"/>
              </w:rPr>
            </w:pPr>
            <w:r>
              <w:rPr>
                <w:rFonts w:ascii="Arial" w:cs="Arial" w:eastAsia="Arial" w:hAnsi="Arial"/>
                <w:sz w:val="13"/>
                <w:szCs w:val="13"/>
                <w:color w:val="auto"/>
              </w:rPr>
              <w:t>Aerospace/Defense</w:t>
            </w:r>
          </w:p>
        </w:tc>
        <w:tc>
          <w:tcPr>
            <w:tcW w:w="1880" w:type="dxa"/>
            <w:vAlign w:val="bottom"/>
          </w:tcPr>
          <w:p>
            <w:pPr>
              <w:ind w:left="220"/>
              <w:spacing w:after="0" w:line="135" w:lineRule="exact"/>
              <w:rPr>
                <w:sz w:val="20"/>
                <w:szCs w:val="20"/>
                <w:color w:val="auto"/>
              </w:rPr>
            </w:pPr>
            <w:r>
              <w:rPr>
                <w:rFonts w:ascii="Arial" w:cs="Arial" w:eastAsia="Arial" w:hAnsi="Arial"/>
                <w:sz w:val="13"/>
                <w:szCs w:val="13"/>
                <w:color w:val="auto"/>
              </w:rPr>
              <w:t>Tranche B Term Loan</w:t>
            </w:r>
          </w:p>
        </w:tc>
        <w:tc>
          <w:tcPr>
            <w:tcW w:w="1100" w:type="dxa"/>
            <w:vAlign w:val="bottom"/>
          </w:tcPr>
          <w:p>
            <w:pPr>
              <w:ind w:left="200"/>
              <w:spacing w:after="0" w:line="135" w:lineRule="exact"/>
              <w:rPr>
                <w:sz w:val="20"/>
                <w:szCs w:val="20"/>
                <w:color w:val="auto"/>
              </w:rPr>
            </w:pPr>
            <w:r>
              <w:rPr>
                <w:rFonts w:ascii="Arial" w:cs="Arial" w:eastAsia="Arial" w:hAnsi="Arial"/>
                <w:sz w:val="13"/>
                <w:szCs w:val="13"/>
                <w:color w:val="auto"/>
              </w:rPr>
              <w:t>Loan</w:t>
            </w:r>
          </w:p>
        </w:tc>
        <w:tc>
          <w:tcPr>
            <w:tcW w:w="11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4.75%</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2/28/2021</w:t>
            </w:r>
          </w:p>
        </w:tc>
        <w:tc>
          <w:tcPr>
            <w:tcW w:w="10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500,000</w:t>
            </w:r>
          </w:p>
        </w:tc>
        <w:tc>
          <w:tcPr>
            <w:tcW w:w="106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498,750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498,750</w:t>
            </w:r>
          </w:p>
        </w:tc>
      </w:tr>
      <w:tr>
        <w:trPr>
          <w:trHeight w:val="135"/>
        </w:trPr>
        <w:tc>
          <w:tcPr>
            <w:tcW w:w="1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West Corporation</w:t>
            </w:r>
          </w:p>
        </w:tc>
        <w:tc>
          <w:tcPr>
            <w:tcW w:w="16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Telecommunications</w:t>
            </w:r>
          </w:p>
        </w:tc>
        <w:tc>
          <w:tcPr>
            <w:tcW w:w="18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Term B-10 Loan</w:t>
            </w:r>
          </w:p>
        </w:tc>
        <w:tc>
          <w:tcPr>
            <w:tcW w:w="11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Loan</w:t>
            </w:r>
          </w:p>
        </w:tc>
        <w:tc>
          <w:tcPr>
            <w:tcW w:w="11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3.25%</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6/30/2018</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2,926,111</w:t>
            </w:r>
          </w:p>
        </w:tc>
        <w:tc>
          <w:tcPr>
            <w:tcW w:w="106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2,976,179</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2,909,666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9"/>
              </w:rPr>
              <w:t>299,137,566</w:t>
            </w:r>
          </w:p>
        </w:tc>
        <w:tc>
          <w:tcPr>
            <w:tcW w:w="160" w:type="dxa"/>
            <w:vAlign w:val="bottom"/>
          </w:tcPr>
          <w:p>
            <w:pPr>
              <w:spacing w:after="0"/>
              <w:rPr>
                <w:sz w:val="11"/>
                <w:szCs w:val="11"/>
                <w:color w:val="auto"/>
              </w:rPr>
            </w:pPr>
          </w:p>
        </w:tc>
        <w:tc>
          <w:tcPr>
            <w:tcW w:w="100" w:type="dxa"/>
            <w:vAlign w:val="bottom"/>
            <w:tcBorders>
              <w:top w:val="single" w:sz="8" w:color="auto"/>
            </w:tcBorders>
            <w:gridSpan w:val="2"/>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300,491,077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gridSpan w:val="3"/>
            <w:vMerge w:val="restart"/>
          </w:tcPr>
          <w:p>
            <w:pPr>
              <w:jc w:val="center"/>
              <w:ind w:right="900"/>
              <w:spacing w:after="0"/>
              <w:rPr>
                <w:sz w:val="20"/>
                <w:szCs w:val="20"/>
                <w:color w:val="auto"/>
              </w:rPr>
            </w:pPr>
            <w:r>
              <w:rPr>
                <w:rFonts w:ascii="Arial" w:cs="Arial" w:eastAsia="Arial" w:hAnsi="Arial"/>
                <w:sz w:val="18"/>
                <w:szCs w:val="18"/>
                <w:color w:val="auto"/>
                <w:w w:val="92"/>
              </w:rPr>
              <w:t>S-5</w:t>
            </w: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8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gridSpan w:val="8"/>
          </w:tcPr>
          <w:p>
            <w:pPr>
              <w:jc w:val="center"/>
              <w:ind w:left="148"/>
              <w:spacing w:after="0"/>
              <w:rPr>
                <w:sz w:val="20"/>
                <w:szCs w:val="20"/>
                <w:color w:val="auto"/>
              </w:rPr>
            </w:pPr>
            <w:r>
              <w:rPr>
                <w:rFonts w:ascii="Arial" w:cs="Arial" w:eastAsia="Arial" w:hAnsi="Arial"/>
                <w:sz w:val="18"/>
                <w:szCs w:val="18"/>
                <w:b w:val="1"/>
                <w:bCs w:val="1"/>
                <w:color w:val="auto"/>
                <w:w w:val="93"/>
              </w:rPr>
              <w:t>Saratoga Investment Corp. CLO 2013-1, Ltd.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Schedule of Investments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February 28, 2013</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90"/>
              </w:rPr>
              <w:t>Principal / Number of</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Issuer_Name</w:t>
            </w:r>
          </w:p>
        </w:tc>
        <w:tc>
          <w:tcPr>
            <w:tcW w:w="1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Industry</w:t>
            </w:r>
          </w:p>
        </w:tc>
        <w:tc>
          <w:tcPr>
            <w:tcW w:w="1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Asset_Name</w:t>
            </w:r>
          </w:p>
        </w:tc>
        <w:tc>
          <w:tcPr>
            <w:tcW w:w="1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0"/>
              </w:rPr>
              <w:t>Asset_Type</w:t>
            </w: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Current Rate</w:t>
            </w:r>
          </w:p>
        </w:tc>
        <w:tc>
          <w:tcPr>
            <w:tcW w:w="1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9"/>
              </w:rPr>
              <w:t>Maturity Date</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Cost</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6"/>
              </w:rPr>
              <w:t>Fair Value</w:t>
            </w:r>
          </w:p>
        </w:tc>
        <w:tc>
          <w:tcPr>
            <w:tcW w:w="100" w:type="dxa"/>
            <w:vAlign w:val="bottom"/>
            <w:tcBorders>
              <w:bottom w:val="single" w:sz="8" w:color="CCEE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1"/>
              </w:rPr>
              <w:t>Elyria Foundry Company, LLC</w:t>
            </w: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Industrial Equipment</w:t>
            </w: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Warrants</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Equity</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0.00%</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Network Communications, Inc.</w:t>
            </w:r>
          </w:p>
        </w:tc>
        <w:tc>
          <w:tcPr>
            <w:tcW w:w="1480" w:type="dxa"/>
            <w:vAlign w:val="bottom"/>
          </w:tcPr>
          <w:p>
            <w:pPr>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Common</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Equity</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Services</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0.00%</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169,143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169,143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659,658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OLD AII, Inc (fka Aleris</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Conglomerate</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Common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Equity</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International Inc.)</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0.00%</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224,656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128,576</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PATS Aircraft, LLC</w:t>
            </w: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Aerospace and Defense</w:t>
            </w:r>
          </w:p>
        </w:tc>
        <w:tc>
          <w:tcPr>
            <w:tcW w:w="14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Common</w:t>
            </w:r>
          </w:p>
        </w:tc>
        <w:tc>
          <w:tcPr>
            <w:tcW w:w="1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3"/>
                <w:szCs w:val="13"/>
                <w:color w:val="auto"/>
              </w:rPr>
              <w:t>Equity</w:t>
            </w:r>
          </w:p>
        </w:tc>
        <w:tc>
          <w:tcPr>
            <w:tcW w:w="11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0.00%</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51,813</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282,326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282,329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SuperMedia Inc. (fka Idearc</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Publishing</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Common Stock</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Equity</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Inc.)</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0.00%</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10,821</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28,784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5,411</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Academy, LTD.</w:t>
            </w:r>
          </w:p>
        </w:tc>
        <w:tc>
          <w:tcPr>
            <w:tcW w:w="1480" w:type="dxa"/>
            <w:vAlign w:val="bottom"/>
          </w:tcPr>
          <w:p>
            <w:pPr>
              <w:spacing w:after="0" w:line="121" w:lineRule="exact"/>
              <w:rPr>
                <w:sz w:val="20"/>
                <w:szCs w:val="20"/>
                <w:color w:val="auto"/>
              </w:rPr>
            </w:pPr>
            <w:r>
              <w:rPr>
                <w:rFonts w:ascii="Arial" w:cs="Arial" w:eastAsia="Arial" w:hAnsi="Arial"/>
                <w:sz w:val="13"/>
                <w:szCs w:val="13"/>
                <w:color w:val="auto"/>
                <w:w w:val="92"/>
              </w:rPr>
              <w:t>Retailers (Except Food and</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Initial Term Loan</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Drugs)</w:t>
            </w: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(2012)</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4.75%</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8/3/2018</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1,980,037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1,966,002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2,000,927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ACCO Brands Corporation</w:t>
            </w:r>
          </w:p>
        </w:tc>
        <w:tc>
          <w:tcPr>
            <w:tcW w:w="1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Conglomerate</w:t>
            </w:r>
          </w:p>
        </w:tc>
        <w:tc>
          <w:tcPr>
            <w:tcW w:w="14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Term B Loan</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4.25%</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5/1/2019</w:t>
            </w:r>
          </w:p>
        </w:tc>
        <w:tc>
          <w:tcPr>
            <w:tcW w:w="1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351,944</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348,847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354,584</w:t>
            </w: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Acosta, Inc.</w:t>
            </w: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Food Products</w:t>
            </w:r>
          </w:p>
        </w:tc>
        <w:tc>
          <w:tcPr>
            <w:tcW w:w="14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Term D Loan</w:t>
            </w:r>
          </w:p>
        </w:tc>
        <w:tc>
          <w:tcPr>
            <w:tcW w:w="1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5.00%</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3/2/2018</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35" w:lineRule="exact"/>
              <w:rPr>
                <w:sz w:val="20"/>
                <w:szCs w:val="20"/>
                <w:color w:val="auto"/>
              </w:rPr>
            </w:pPr>
            <w:r>
              <w:rPr>
                <w:rFonts w:ascii="Arial" w:cs="Arial" w:eastAsia="Arial" w:hAnsi="Arial"/>
                <w:sz w:val="13"/>
                <w:szCs w:val="13"/>
                <w:color w:val="auto"/>
              </w:rPr>
              <w:t>4,183,659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4,120,774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4,216,082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Aderant North America, Inc.</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w w:val="93"/>
              </w:rPr>
              <w:t>Term Loan (First Lien)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Services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6.25%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12/20/2018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3,495,662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3,552,500</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Aeroflex Incorporated</w:t>
            </w: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Aerospace and Defense</w:t>
            </w:r>
          </w:p>
        </w:tc>
        <w:tc>
          <w:tcPr>
            <w:tcW w:w="1400" w:type="dxa"/>
            <w:vAlign w:val="bottom"/>
            <w:gridSpan w:val="2"/>
          </w:tcPr>
          <w:p>
            <w:pPr>
              <w:ind w:left="180"/>
              <w:spacing w:after="0" w:line="135" w:lineRule="exact"/>
              <w:rPr>
                <w:sz w:val="20"/>
                <w:szCs w:val="20"/>
                <w:color w:val="auto"/>
              </w:rPr>
            </w:pPr>
            <w:r>
              <w:rPr>
                <w:rFonts w:ascii="Arial" w:cs="Arial" w:eastAsia="Arial" w:hAnsi="Arial"/>
                <w:sz w:val="13"/>
                <w:szCs w:val="13"/>
                <w:color w:val="auto"/>
                <w:w w:val="94"/>
              </w:rPr>
              <w:t>Tranche B Term Loan</w:t>
            </w:r>
          </w:p>
        </w:tc>
        <w:tc>
          <w:tcPr>
            <w:tcW w:w="1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5.75%</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5/9/2018</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35" w:lineRule="exact"/>
              <w:rPr>
                <w:sz w:val="20"/>
                <w:szCs w:val="20"/>
                <w:color w:val="auto"/>
              </w:rPr>
            </w:pPr>
            <w:r>
              <w:rPr>
                <w:rFonts w:ascii="Arial" w:cs="Arial" w:eastAsia="Arial" w:hAnsi="Arial"/>
                <w:sz w:val="13"/>
                <w:szCs w:val="13"/>
                <w:color w:val="auto"/>
              </w:rPr>
              <w:t>3,345,517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3,333,081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3,369,204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Alcatel-Lucent USA Inc.</w:t>
            </w:r>
          </w:p>
        </w:tc>
        <w:tc>
          <w:tcPr>
            <w:tcW w:w="1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7"/>
              </w:rPr>
              <w:t>Telecommunications/Cellular</w:t>
            </w:r>
          </w:p>
        </w:tc>
        <w:tc>
          <w:tcPr>
            <w:tcW w:w="14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US Term Loan</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0.00%</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1/30/2019</w:t>
            </w:r>
          </w:p>
        </w:tc>
        <w:tc>
          <w:tcPr>
            <w:tcW w:w="1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1,075,000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1,069,625</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1,087,008</w:t>
            </w: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Alere Inc. (fka IM US</w:t>
            </w:r>
          </w:p>
        </w:tc>
        <w:tc>
          <w:tcPr>
            <w:tcW w:w="1480" w:type="dxa"/>
            <w:vAlign w:val="bottom"/>
          </w:tcPr>
          <w:p>
            <w:pPr>
              <w:spacing w:after="0" w:line="121" w:lineRule="exact"/>
              <w:rPr>
                <w:sz w:val="20"/>
                <w:szCs w:val="20"/>
                <w:color w:val="auto"/>
              </w:rPr>
            </w:pPr>
            <w:r>
              <w:rPr>
                <w:rFonts w:ascii="Arial" w:cs="Arial" w:eastAsia="Arial" w:hAnsi="Arial"/>
                <w:sz w:val="13"/>
                <w:szCs w:val="13"/>
                <w:color w:val="auto"/>
              </w:rPr>
              <w:t>Healthcare</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w w:val="95"/>
              </w:rPr>
              <w:t>Incremental B-1 Term</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ind w:left="180"/>
              <w:spacing w:after="0"/>
              <w:rPr>
                <w:sz w:val="20"/>
                <w:szCs w:val="20"/>
                <w:color w:val="auto"/>
              </w:rPr>
            </w:pPr>
            <w:r>
              <w:rPr>
                <w:rFonts w:ascii="Arial" w:cs="Arial" w:eastAsia="Arial" w:hAnsi="Arial"/>
                <w:sz w:val="13"/>
                <w:szCs w:val="13"/>
                <w:color w:val="auto"/>
              </w:rPr>
              <w:t>Holdings, LLC)</w:t>
            </w:r>
          </w:p>
        </w:tc>
        <w:tc>
          <w:tcPr>
            <w:tcW w:w="1480" w:type="dxa"/>
            <w:vAlign w:val="bottom"/>
          </w:tcPr>
          <w:p>
            <w:pPr>
              <w:spacing w:after="0"/>
              <w:rPr>
                <w:sz w:val="12"/>
                <w:szCs w:val="12"/>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Loan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4.75%</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6/30/2017</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1,980,000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1,941,348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1,999,444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Aptalis Pharma, Inc. (fka</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Drugs</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Term B-1 Loan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Axcan Intermediate</w:t>
            </w:r>
          </w:p>
        </w:tc>
        <w:tc>
          <w:tcPr>
            <w:tcW w:w="1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Holdings Inc.)</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5.50%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2/10/2017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1,953,535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1,963,920</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Aramark Corporation</w:t>
            </w: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Food Products</w:t>
            </w:r>
          </w:p>
        </w:tc>
        <w:tc>
          <w:tcPr>
            <w:tcW w:w="14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LC-2 Facility</w:t>
            </w:r>
          </w:p>
        </w:tc>
        <w:tc>
          <w:tcPr>
            <w:tcW w:w="1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3.45%</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7/26/2016</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79,187</w:t>
            </w:r>
          </w:p>
        </w:tc>
        <w:tc>
          <w:tcPr>
            <w:tcW w:w="16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79,187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79,600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Aramark Corporation</w:t>
            </w:r>
          </w:p>
        </w:tc>
        <w:tc>
          <w:tcPr>
            <w:tcW w:w="1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Food Products</w:t>
            </w:r>
          </w:p>
        </w:tc>
        <w:tc>
          <w:tcPr>
            <w:tcW w:w="14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LC-3 Facility</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3.45%</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7/26/2016</w:t>
            </w:r>
          </w:p>
        </w:tc>
        <w:tc>
          <w:tcPr>
            <w:tcW w:w="1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43,961</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43,961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44,190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Aramark Corporation</w:t>
            </w:r>
          </w:p>
        </w:tc>
        <w:tc>
          <w:tcPr>
            <w:tcW w:w="1480" w:type="dxa"/>
            <w:vAlign w:val="bottom"/>
          </w:tcPr>
          <w:p>
            <w:pPr>
              <w:spacing w:after="0" w:line="121" w:lineRule="exact"/>
              <w:rPr>
                <w:sz w:val="20"/>
                <w:szCs w:val="20"/>
                <w:color w:val="auto"/>
              </w:rPr>
            </w:pPr>
            <w:r>
              <w:rPr>
                <w:rFonts w:ascii="Arial" w:cs="Arial" w:eastAsia="Arial" w:hAnsi="Arial"/>
                <w:sz w:val="13"/>
                <w:szCs w:val="13"/>
                <w:color w:val="auto"/>
              </w:rPr>
              <w:t>Food Products</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U.S. Term B Loan</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(Extending)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3.45%</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7/26/2016</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1,204,093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1,204,093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1,210,366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Aramark Corporation</w:t>
            </w:r>
          </w:p>
        </w:tc>
        <w:tc>
          <w:tcPr>
            <w:tcW w:w="1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Food Products</w:t>
            </w:r>
          </w:p>
        </w:tc>
        <w:tc>
          <w:tcPr>
            <w:tcW w:w="14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U.S. Term C Loan</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3.52%</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7/26/2016</w:t>
            </w:r>
          </w:p>
        </w:tc>
        <w:tc>
          <w:tcPr>
            <w:tcW w:w="1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2,545,700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2,545,700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2,558,963</w:t>
            </w: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Armstrong World</w:t>
            </w:r>
          </w:p>
        </w:tc>
        <w:tc>
          <w:tcPr>
            <w:tcW w:w="1480" w:type="dxa"/>
            <w:vAlign w:val="bottom"/>
          </w:tcPr>
          <w:p>
            <w:pPr>
              <w:spacing w:after="0" w:line="121" w:lineRule="exact"/>
              <w:rPr>
                <w:sz w:val="20"/>
                <w:szCs w:val="20"/>
                <w:color w:val="auto"/>
              </w:rPr>
            </w:pPr>
            <w:r>
              <w:rPr>
                <w:rFonts w:ascii="Arial" w:cs="Arial" w:eastAsia="Arial" w:hAnsi="Arial"/>
                <w:sz w:val="13"/>
                <w:szCs w:val="13"/>
                <w:color w:val="auto"/>
                <w:w w:val="96"/>
              </w:rPr>
              <w:t>Building and Development</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Term Loan B-1</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ind w:left="180"/>
              <w:spacing w:after="0"/>
              <w:rPr>
                <w:sz w:val="20"/>
                <w:szCs w:val="20"/>
                <w:color w:val="auto"/>
              </w:rPr>
            </w:pPr>
            <w:r>
              <w:rPr>
                <w:rFonts w:ascii="Arial" w:cs="Arial" w:eastAsia="Arial" w:hAnsi="Arial"/>
                <w:sz w:val="13"/>
                <w:szCs w:val="13"/>
                <w:color w:val="auto"/>
              </w:rPr>
              <w:t>Industries, Inc</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4.00%</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3/10/2018</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2,122,931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2,109,740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2,124,268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Asurion, LLC (fka Asurion</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Insurance</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w w:val="93"/>
              </w:rPr>
              <w:t>Amortizing Term Loan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Corporation)</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4.75%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7/23/2017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968,750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960,226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973,594</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Asurion, LLC (fka Asurion</w:t>
            </w:r>
          </w:p>
        </w:tc>
        <w:tc>
          <w:tcPr>
            <w:tcW w:w="1480" w:type="dxa"/>
            <w:vAlign w:val="bottom"/>
          </w:tcPr>
          <w:p>
            <w:pPr>
              <w:spacing w:after="0" w:line="121" w:lineRule="exact"/>
              <w:rPr>
                <w:sz w:val="20"/>
                <w:szCs w:val="20"/>
                <w:color w:val="auto"/>
              </w:rPr>
            </w:pPr>
            <w:r>
              <w:rPr>
                <w:rFonts w:ascii="Arial" w:cs="Arial" w:eastAsia="Arial" w:hAnsi="Arial"/>
                <w:sz w:val="13"/>
                <w:szCs w:val="13"/>
                <w:color w:val="auto"/>
              </w:rPr>
              <w:t>Insurance</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w w:val="88"/>
              </w:rPr>
              <w:t>Incremental Tranche B-</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ind w:left="180"/>
              <w:spacing w:after="0"/>
              <w:rPr>
                <w:sz w:val="20"/>
                <w:szCs w:val="20"/>
                <w:color w:val="auto"/>
              </w:rPr>
            </w:pPr>
            <w:r>
              <w:rPr>
                <w:rFonts w:ascii="Arial" w:cs="Arial" w:eastAsia="Arial" w:hAnsi="Arial"/>
                <w:sz w:val="13"/>
                <w:szCs w:val="13"/>
                <w:color w:val="auto"/>
              </w:rPr>
              <w:t>Corporation)</w:t>
            </w:r>
          </w:p>
        </w:tc>
        <w:tc>
          <w:tcPr>
            <w:tcW w:w="1480" w:type="dxa"/>
            <w:vAlign w:val="bottom"/>
          </w:tcPr>
          <w:p>
            <w:pPr>
              <w:spacing w:after="0"/>
              <w:rPr>
                <w:sz w:val="12"/>
                <w:szCs w:val="12"/>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1 Term Loan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4.50%</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5/24/2019</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5,659,091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5,602,698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5,674,144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Auction.Com, LLC</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Term Loan A-4</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Services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4.96%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8/30/2016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1,018,699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1,017,479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1,013,606</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Aurora Diagnostics, LLC</w:t>
            </w: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Conglomerate</w:t>
            </w:r>
          </w:p>
        </w:tc>
        <w:tc>
          <w:tcPr>
            <w:tcW w:w="1400" w:type="dxa"/>
            <w:vAlign w:val="bottom"/>
            <w:gridSpan w:val="2"/>
          </w:tcPr>
          <w:p>
            <w:pPr>
              <w:ind w:left="180"/>
              <w:spacing w:after="0" w:line="135" w:lineRule="exact"/>
              <w:rPr>
                <w:sz w:val="20"/>
                <w:szCs w:val="20"/>
                <w:color w:val="auto"/>
              </w:rPr>
            </w:pPr>
            <w:r>
              <w:rPr>
                <w:rFonts w:ascii="Arial" w:cs="Arial" w:eastAsia="Arial" w:hAnsi="Arial"/>
                <w:sz w:val="13"/>
                <w:szCs w:val="13"/>
                <w:color w:val="auto"/>
                <w:w w:val="94"/>
              </w:rPr>
              <w:t>Tranche B Term Loan</w:t>
            </w:r>
          </w:p>
        </w:tc>
        <w:tc>
          <w:tcPr>
            <w:tcW w:w="1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6.25%</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5/26/2016</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35" w:lineRule="exact"/>
              <w:rPr>
                <w:sz w:val="20"/>
                <w:szCs w:val="20"/>
                <w:color w:val="auto"/>
              </w:rPr>
            </w:pPr>
            <w:r>
              <w:rPr>
                <w:rFonts w:ascii="Arial" w:cs="Arial" w:eastAsia="Arial" w:hAnsi="Arial"/>
                <w:sz w:val="13"/>
                <w:szCs w:val="13"/>
                <w:color w:val="auto"/>
              </w:rPr>
              <w:t>3,188,889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3,198,281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3,077,278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Autotrader.com, Inc.</w:t>
            </w:r>
          </w:p>
        </w:tc>
        <w:tc>
          <w:tcPr>
            <w:tcW w:w="1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14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w w:val="86"/>
              </w:rPr>
              <w:t>Tranche B-1 Term Loan</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4.00%</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12/15/2016</w:t>
            </w:r>
          </w:p>
        </w:tc>
        <w:tc>
          <w:tcPr>
            <w:tcW w:w="1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3,830,768</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3,830,768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3,853,522</w:t>
            </w: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w w:val="99"/>
              </w:rPr>
              <w:t>Avantor Performance Materials</w:t>
            </w:r>
          </w:p>
        </w:tc>
        <w:tc>
          <w:tcPr>
            <w:tcW w:w="1480" w:type="dxa"/>
            <w:vAlign w:val="bottom"/>
          </w:tcPr>
          <w:p>
            <w:pPr>
              <w:spacing w:after="0" w:line="121" w:lineRule="exact"/>
              <w:rPr>
                <w:sz w:val="20"/>
                <w:szCs w:val="20"/>
                <w:color w:val="auto"/>
              </w:rPr>
            </w:pPr>
            <w:r>
              <w:rPr>
                <w:rFonts w:ascii="Arial" w:cs="Arial" w:eastAsia="Arial" w:hAnsi="Arial"/>
                <w:sz w:val="13"/>
                <w:szCs w:val="13"/>
                <w:color w:val="auto"/>
              </w:rPr>
              <w:t>Chemicals/Plastics</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Term Loan</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ind w:left="180"/>
              <w:spacing w:after="0"/>
              <w:rPr>
                <w:sz w:val="20"/>
                <w:szCs w:val="20"/>
                <w:color w:val="auto"/>
              </w:rPr>
            </w:pPr>
            <w:r>
              <w:rPr>
                <w:rFonts w:ascii="Arial" w:cs="Arial" w:eastAsia="Arial" w:hAnsi="Arial"/>
                <w:sz w:val="13"/>
                <w:szCs w:val="13"/>
                <w:color w:val="auto"/>
              </w:rPr>
              <w:t>Holdings, Inc.</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5.25%</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6/24/2017</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4,925,000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4,907,124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4,925,000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AZ Chem US Inc.</w:t>
            </w:r>
          </w:p>
        </w:tc>
        <w:tc>
          <w:tcPr>
            <w:tcW w:w="1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Chemicals/Plastics</w:t>
            </w:r>
          </w:p>
        </w:tc>
        <w:tc>
          <w:tcPr>
            <w:tcW w:w="140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Term Loan</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5.25%</w:t>
            </w: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12/22/2017</w:t>
            </w:r>
          </w:p>
        </w:tc>
        <w:tc>
          <w:tcPr>
            <w:tcW w:w="1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1,570,579</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1,532,447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1,585,170</w:t>
            </w: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Biomet, Inc.</w:t>
            </w: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Healthcare</w:t>
            </w:r>
          </w:p>
        </w:tc>
        <w:tc>
          <w:tcPr>
            <w:tcW w:w="1400" w:type="dxa"/>
            <w:vAlign w:val="bottom"/>
            <w:gridSpan w:val="2"/>
          </w:tcPr>
          <w:p>
            <w:pPr>
              <w:ind w:left="180"/>
              <w:spacing w:after="0" w:line="135" w:lineRule="exact"/>
              <w:rPr>
                <w:sz w:val="20"/>
                <w:szCs w:val="20"/>
                <w:color w:val="auto"/>
              </w:rPr>
            </w:pPr>
            <w:r>
              <w:rPr>
                <w:rFonts w:ascii="Arial" w:cs="Arial" w:eastAsia="Arial" w:hAnsi="Arial"/>
                <w:sz w:val="13"/>
                <w:szCs w:val="13"/>
                <w:color w:val="auto"/>
                <w:w w:val="96"/>
              </w:rPr>
              <w:t>Dollar Term B-1 Loan</w:t>
            </w:r>
          </w:p>
        </w:tc>
        <w:tc>
          <w:tcPr>
            <w:tcW w:w="1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4.00%</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7/25/2017</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35" w:lineRule="exact"/>
              <w:rPr>
                <w:sz w:val="20"/>
                <w:szCs w:val="20"/>
                <w:color w:val="auto"/>
              </w:rPr>
            </w:pPr>
            <w:r>
              <w:rPr>
                <w:rFonts w:ascii="Arial" w:cs="Arial" w:eastAsia="Arial" w:hAnsi="Arial"/>
                <w:sz w:val="13"/>
                <w:szCs w:val="13"/>
                <w:color w:val="auto"/>
              </w:rPr>
              <w:t>1,990,013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1,990,013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2,003,445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Bombardier Recreational</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Leisure</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Term B Loan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Products Inc.</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Goods/Activities/Movies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5.00%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1/30/2019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990,101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1,007,500</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Brock Holdings III, Inc.</w:t>
            </w: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Industrial Equipment</w:t>
            </w:r>
          </w:p>
        </w:tc>
        <w:tc>
          <w:tcPr>
            <w:tcW w:w="1400" w:type="dxa"/>
            <w:vAlign w:val="bottom"/>
            <w:gridSpan w:val="2"/>
          </w:tcPr>
          <w:p>
            <w:pPr>
              <w:ind w:left="180"/>
              <w:spacing w:after="0" w:line="135" w:lineRule="exact"/>
              <w:rPr>
                <w:sz w:val="20"/>
                <w:szCs w:val="20"/>
                <w:color w:val="auto"/>
              </w:rPr>
            </w:pPr>
            <w:r>
              <w:rPr>
                <w:rFonts w:ascii="Arial" w:cs="Arial" w:eastAsia="Arial" w:hAnsi="Arial"/>
                <w:sz w:val="13"/>
                <w:szCs w:val="13"/>
                <w:color w:val="auto"/>
                <w:w w:val="93"/>
              </w:rPr>
              <w:t>Term Loan (First Lien)</w:t>
            </w:r>
          </w:p>
        </w:tc>
        <w:tc>
          <w:tcPr>
            <w:tcW w:w="1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0.00%</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3/16/2017</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35" w:lineRule="exact"/>
              <w:rPr>
                <w:sz w:val="20"/>
                <w:szCs w:val="20"/>
                <w:color w:val="auto"/>
              </w:rPr>
            </w:pPr>
            <w:r>
              <w:rPr>
                <w:rFonts w:ascii="Arial" w:cs="Arial" w:eastAsia="Arial" w:hAnsi="Arial"/>
                <w:sz w:val="13"/>
                <w:szCs w:val="13"/>
                <w:color w:val="auto"/>
              </w:rPr>
              <w:t>2,000,000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2,022,500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2,013,340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Burlington Coat Factory</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Retailers (Except Food and</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Term B-1 Loan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Warehouse Corporation</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Drugs)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5.50%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2/23/2017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2,776,843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2,767,803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2,802,306</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C.H.I. Overhead Doors, Inc.</w:t>
            </w:r>
          </w:p>
        </w:tc>
        <w:tc>
          <w:tcPr>
            <w:tcW w:w="1480" w:type="dxa"/>
            <w:vAlign w:val="bottom"/>
          </w:tcPr>
          <w:p>
            <w:pPr>
              <w:spacing w:after="0" w:line="121" w:lineRule="exact"/>
              <w:rPr>
                <w:sz w:val="20"/>
                <w:szCs w:val="20"/>
                <w:color w:val="auto"/>
              </w:rPr>
            </w:pPr>
            <w:r>
              <w:rPr>
                <w:rFonts w:ascii="Arial" w:cs="Arial" w:eastAsia="Arial" w:hAnsi="Arial"/>
                <w:sz w:val="13"/>
                <w:szCs w:val="13"/>
                <w:color w:val="auto"/>
              </w:rPr>
              <w:t>Home Furnishings</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w w:val="93"/>
              </w:rPr>
              <w:t>Term Loan (First Lien)</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ind w:left="180"/>
              <w:spacing w:after="0"/>
              <w:rPr>
                <w:sz w:val="20"/>
                <w:szCs w:val="20"/>
                <w:color w:val="auto"/>
              </w:rPr>
            </w:pPr>
            <w:r>
              <w:rPr>
                <w:rFonts w:ascii="Arial" w:cs="Arial" w:eastAsia="Arial" w:hAnsi="Arial"/>
                <w:sz w:val="13"/>
                <w:szCs w:val="13"/>
                <w:color w:val="auto"/>
              </w:rPr>
              <w:t>(CHI)</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7.25%</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8/17/2017</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2,976,290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2,931,556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2,983,730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Camp International Holding</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Aerospace and Defense</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w w:val="90"/>
              </w:rPr>
              <w:t>Refinanced Term Loan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Company</w:t>
            </w:r>
          </w:p>
        </w:tc>
        <w:tc>
          <w:tcPr>
            <w:tcW w:w="14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(First Lien)</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5.25%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5/31/2019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988,136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1,005,400</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Capital Automotive L.P.</w:t>
            </w: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Conglomerate</w:t>
            </w:r>
          </w:p>
        </w:tc>
        <w:tc>
          <w:tcPr>
            <w:tcW w:w="1400" w:type="dxa"/>
            <w:vAlign w:val="bottom"/>
            <w:gridSpan w:val="2"/>
          </w:tcPr>
          <w:p>
            <w:pPr>
              <w:ind w:left="180"/>
              <w:spacing w:after="0" w:line="135" w:lineRule="exact"/>
              <w:rPr>
                <w:sz w:val="20"/>
                <w:szCs w:val="20"/>
                <w:color w:val="auto"/>
              </w:rPr>
            </w:pPr>
            <w:r>
              <w:rPr>
                <w:rFonts w:ascii="Arial" w:cs="Arial" w:eastAsia="Arial" w:hAnsi="Arial"/>
                <w:sz w:val="13"/>
                <w:szCs w:val="13"/>
                <w:color w:val="auto"/>
                <w:w w:val="94"/>
              </w:rPr>
              <w:t>Tranche B Term Loan</w:t>
            </w:r>
          </w:p>
        </w:tc>
        <w:tc>
          <w:tcPr>
            <w:tcW w:w="1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5.25%</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3/11/2017</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2,811,086</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2,817,777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2,823,961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Capstone Logistics, LLC</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Term Note A</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Services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7.50%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9/16/2016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2,699,305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2,669,394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2,658,816</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Capsugel Holdings US, Inc.</w:t>
            </w:r>
          </w:p>
        </w:tc>
        <w:tc>
          <w:tcPr>
            <w:tcW w:w="1480" w:type="dxa"/>
            <w:vAlign w:val="bottom"/>
          </w:tcPr>
          <w:p>
            <w:pPr>
              <w:spacing w:after="0" w:line="121" w:lineRule="exact"/>
              <w:rPr>
                <w:sz w:val="20"/>
                <w:szCs w:val="20"/>
                <w:color w:val="auto"/>
              </w:rPr>
            </w:pPr>
            <w:r>
              <w:rPr>
                <w:rFonts w:ascii="Arial" w:cs="Arial" w:eastAsia="Arial" w:hAnsi="Arial"/>
                <w:sz w:val="13"/>
                <w:szCs w:val="13"/>
                <w:color w:val="auto"/>
              </w:rPr>
              <w:t>Drugs</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Initial Term Loan</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(New)</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4.75%</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8/1/2018</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3,605,198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3,595,976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3,641,214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Celanese US Holdings LLC</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Chemicals/Plastics</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Dollar Term C Loan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(Extended)</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3.06%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10/31/2016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2,198,534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2,219,212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2,208,911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Cenveo Corporation</w:t>
            </w: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Publishing</w:t>
            </w:r>
          </w:p>
        </w:tc>
        <w:tc>
          <w:tcPr>
            <w:tcW w:w="14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Term B Facility</w:t>
            </w:r>
          </w:p>
        </w:tc>
        <w:tc>
          <w:tcPr>
            <w:tcW w:w="1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3"/>
                <w:szCs w:val="13"/>
                <w:color w:val="auto"/>
              </w:rPr>
              <w:t>Loan</w:t>
            </w:r>
          </w:p>
        </w:tc>
        <w:tc>
          <w:tcPr>
            <w:tcW w:w="11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7.00%</w:t>
            </w: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12/21/2016</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35" w:lineRule="exact"/>
              <w:rPr>
                <w:sz w:val="20"/>
                <w:szCs w:val="20"/>
                <w:color w:val="auto"/>
              </w:rPr>
            </w:pPr>
            <w:r>
              <w:rPr>
                <w:rFonts w:ascii="Arial" w:cs="Arial" w:eastAsia="Arial" w:hAnsi="Arial"/>
                <w:sz w:val="13"/>
                <w:szCs w:val="13"/>
                <w:color w:val="auto"/>
              </w:rPr>
              <w:t>2,437,399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2,421,925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2,444,516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Charter Communications</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Cable and Satellite</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Term C Loan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Operating, LLC</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Television</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3.46%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9/6/2016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2,047,547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2,044,048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2,057,785</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Charter Communications</w:t>
            </w:r>
          </w:p>
        </w:tc>
        <w:tc>
          <w:tcPr>
            <w:tcW w:w="1480" w:type="dxa"/>
            <w:vAlign w:val="bottom"/>
          </w:tcPr>
          <w:p>
            <w:pPr>
              <w:spacing w:after="0" w:line="121" w:lineRule="exact"/>
              <w:rPr>
                <w:sz w:val="20"/>
                <w:szCs w:val="20"/>
                <w:color w:val="auto"/>
              </w:rPr>
            </w:pPr>
            <w:r>
              <w:rPr>
                <w:rFonts w:ascii="Arial" w:cs="Arial" w:eastAsia="Arial" w:hAnsi="Arial"/>
                <w:sz w:val="13"/>
                <w:szCs w:val="13"/>
                <w:color w:val="auto"/>
              </w:rPr>
              <w:t>Cable and Satellite</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Term D Loan</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ind w:left="180"/>
              <w:spacing w:after="0"/>
              <w:rPr>
                <w:sz w:val="20"/>
                <w:szCs w:val="20"/>
                <w:color w:val="auto"/>
              </w:rPr>
            </w:pPr>
            <w:r>
              <w:rPr>
                <w:rFonts w:ascii="Arial" w:cs="Arial" w:eastAsia="Arial" w:hAnsi="Arial"/>
                <w:sz w:val="13"/>
                <w:szCs w:val="13"/>
                <w:color w:val="auto"/>
              </w:rPr>
              <w:t>Operating, LLC</w:t>
            </w:r>
          </w:p>
        </w:tc>
        <w:tc>
          <w:tcPr>
            <w:tcW w:w="1480" w:type="dxa"/>
            <w:vAlign w:val="bottom"/>
          </w:tcPr>
          <w:p>
            <w:pPr>
              <w:spacing w:after="0"/>
              <w:rPr>
                <w:sz w:val="20"/>
                <w:szCs w:val="20"/>
                <w:color w:val="auto"/>
              </w:rPr>
            </w:pPr>
            <w:r>
              <w:rPr>
                <w:rFonts w:ascii="Arial" w:cs="Arial" w:eastAsia="Arial" w:hAnsi="Arial"/>
                <w:sz w:val="13"/>
                <w:szCs w:val="13"/>
                <w:color w:val="auto"/>
              </w:rPr>
              <w:t>Television</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4.00%</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5/15/2019</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1,985,000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1,976,313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2,000,503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CHS/ Community Health</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Healthcare</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w w:val="98"/>
              </w:rPr>
              <w:t>Extended Term Loan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Systems, Inc.</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3.79%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1/25/2017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4,064,516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3,963,653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4,090,935</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Cinedigm Digital Funding I,</w:t>
            </w:r>
          </w:p>
        </w:tc>
        <w:tc>
          <w:tcPr>
            <w:tcW w:w="1480" w:type="dxa"/>
            <w:vAlign w:val="bottom"/>
          </w:tcPr>
          <w:p>
            <w:pPr>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Term Loan</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ind w:left="180"/>
              <w:spacing w:after="0"/>
              <w:rPr>
                <w:sz w:val="20"/>
                <w:szCs w:val="20"/>
                <w:color w:val="auto"/>
              </w:rPr>
            </w:pPr>
            <w:r>
              <w:rPr>
                <w:rFonts w:ascii="Arial" w:cs="Arial" w:eastAsia="Arial" w:hAnsi="Arial"/>
                <w:sz w:val="13"/>
                <w:szCs w:val="13"/>
                <w:color w:val="auto"/>
              </w:rPr>
              <w:t>LLC</w:t>
            </w:r>
          </w:p>
        </w:tc>
        <w:tc>
          <w:tcPr>
            <w:tcW w:w="1480" w:type="dxa"/>
            <w:vAlign w:val="bottom"/>
          </w:tcPr>
          <w:p>
            <w:pPr>
              <w:spacing w:after="0"/>
              <w:rPr>
                <w:sz w:val="20"/>
                <w:szCs w:val="20"/>
                <w:color w:val="auto"/>
              </w:rPr>
            </w:pPr>
            <w:r>
              <w:rPr>
                <w:rFonts w:ascii="Arial" w:cs="Arial" w:eastAsia="Arial" w:hAnsi="Arial"/>
                <w:sz w:val="13"/>
                <w:szCs w:val="13"/>
                <w:color w:val="auto"/>
              </w:rPr>
              <w:t>Services</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5.75%</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2/28/2018</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1,066,260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1,059,429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1,068,925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Contec, LLC</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Electronics/Electric</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Second Lien Term</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Notes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11/2/2016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401,202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2,400,891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2,578,210</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Covanta Energy Corporation</w:t>
            </w:r>
          </w:p>
        </w:tc>
        <w:tc>
          <w:tcPr>
            <w:tcW w:w="1480" w:type="dxa"/>
            <w:vAlign w:val="bottom"/>
          </w:tcPr>
          <w:p>
            <w:pPr>
              <w:spacing w:after="0" w:line="121" w:lineRule="exact"/>
              <w:rPr>
                <w:sz w:val="20"/>
                <w:szCs w:val="20"/>
                <w:color w:val="auto"/>
              </w:rPr>
            </w:pPr>
            <w:r>
              <w:rPr>
                <w:rFonts w:ascii="Arial" w:cs="Arial" w:eastAsia="Arial" w:hAnsi="Arial"/>
                <w:sz w:val="13"/>
                <w:szCs w:val="13"/>
                <w:color w:val="auto"/>
              </w:rPr>
              <w:t>Ecological Services and</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Term Loan</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20"/>
                <w:szCs w:val="20"/>
                <w:color w:val="auto"/>
              </w:rPr>
            </w:pPr>
            <w:r>
              <w:rPr>
                <w:rFonts w:ascii="Arial" w:cs="Arial" w:eastAsia="Arial" w:hAnsi="Arial"/>
                <w:sz w:val="13"/>
                <w:szCs w:val="13"/>
                <w:color w:val="auto"/>
              </w:rPr>
              <w:t>Equipment</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4.00%</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3/28/2019</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496,250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494,095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501,833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CPI International</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Electronics/Electric</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Term B Loan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Acquisition, Inc. (f/k/a</w:t>
            </w:r>
          </w:p>
        </w:tc>
        <w:tc>
          <w:tcPr>
            <w:tcW w:w="1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Catalyst Holdings, Inc.)</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5.00%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2/13/2017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4,805,833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4,789,964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4,829,862</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Crown Castle Operating</w:t>
            </w:r>
          </w:p>
        </w:tc>
        <w:tc>
          <w:tcPr>
            <w:tcW w:w="1480" w:type="dxa"/>
            <w:vAlign w:val="bottom"/>
          </w:tcPr>
          <w:p>
            <w:pPr>
              <w:spacing w:after="0" w:line="121" w:lineRule="exact"/>
              <w:rPr>
                <w:sz w:val="20"/>
                <w:szCs w:val="20"/>
                <w:color w:val="auto"/>
              </w:rPr>
            </w:pPr>
            <w:r>
              <w:rPr>
                <w:rFonts w:ascii="Arial" w:cs="Arial" w:eastAsia="Arial" w:hAnsi="Arial"/>
                <w:sz w:val="13"/>
                <w:szCs w:val="13"/>
                <w:color w:val="auto"/>
                <w:w w:val="87"/>
              </w:rPr>
              <w:t>Telecommunications/Cellular</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w w:val="94"/>
              </w:rPr>
              <w:t>Tranche B Term Loan</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ind w:left="180"/>
              <w:spacing w:after="0"/>
              <w:rPr>
                <w:sz w:val="20"/>
                <w:szCs w:val="20"/>
                <w:color w:val="auto"/>
              </w:rPr>
            </w:pPr>
            <w:r>
              <w:rPr>
                <w:rFonts w:ascii="Arial" w:cs="Arial" w:eastAsia="Arial" w:hAnsi="Arial"/>
                <w:sz w:val="13"/>
                <w:szCs w:val="13"/>
                <w:color w:val="auto"/>
              </w:rPr>
              <w:t>Company</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4.00%</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1/31/2019</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1,980,000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1,963,120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1,989,484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Culligan International</w:t>
            </w:r>
          </w:p>
        </w:tc>
        <w:tc>
          <w:tcPr>
            <w:tcW w:w="1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Conglomerate</w:t>
            </w:r>
          </w:p>
        </w:tc>
        <w:tc>
          <w:tcPr>
            <w:tcW w:w="140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w w:val="90"/>
              </w:rPr>
              <w:t>Dollar Loan (First Lien)</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Company</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6.25%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12/19/2017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795,675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732,459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729,372</w:t>
            </w:r>
          </w:p>
        </w:tc>
        <w:tc>
          <w:tcPr>
            <w:tcW w:w="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gridSpan w:val="3"/>
          </w:tcPr>
          <w:p>
            <w:pPr>
              <w:spacing w:after="0" w:line="121" w:lineRule="exact"/>
              <w:rPr>
                <w:sz w:val="20"/>
                <w:szCs w:val="20"/>
                <w:color w:val="auto"/>
              </w:rPr>
            </w:pPr>
            <w:r>
              <w:rPr>
                <w:rFonts w:ascii="Arial" w:cs="Arial" w:eastAsia="Arial" w:hAnsi="Arial"/>
                <w:sz w:val="13"/>
                <w:szCs w:val="13"/>
                <w:color w:val="auto"/>
              </w:rPr>
              <w:t>Culligan International</w:t>
            </w:r>
          </w:p>
        </w:tc>
        <w:tc>
          <w:tcPr>
            <w:tcW w:w="1480" w:type="dxa"/>
            <w:vAlign w:val="bottom"/>
          </w:tcPr>
          <w:p>
            <w:pPr>
              <w:spacing w:after="0" w:line="121" w:lineRule="exact"/>
              <w:rPr>
                <w:sz w:val="20"/>
                <w:szCs w:val="20"/>
                <w:color w:val="auto"/>
              </w:rPr>
            </w:pPr>
            <w:r>
              <w:rPr>
                <w:rFonts w:ascii="Arial" w:cs="Arial" w:eastAsia="Arial" w:hAnsi="Arial"/>
                <w:sz w:val="13"/>
                <w:szCs w:val="13"/>
                <w:color w:val="auto"/>
              </w:rPr>
              <w:t>Conglomerate</w:t>
            </w:r>
          </w:p>
        </w:tc>
        <w:tc>
          <w:tcPr>
            <w:tcW w:w="1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Dollar Loan (Second</w:t>
            </w:r>
          </w:p>
        </w:tc>
        <w:tc>
          <w:tcPr>
            <w:tcW w:w="1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3"/>
                <w:szCs w:val="13"/>
                <w:color w:val="auto"/>
              </w:rPr>
              <w:t>Loan</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ind w:left="180"/>
              <w:spacing w:after="0"/>
              <w:rPr>
                <w:sz w:val="20"/>
                <w:szCs w:val="20"/>
                <w:color w:val="auto"/>
              </w:rPr>
            </w:pPr>
            <w:r>
              <w:rPr>
                <w:rFonts w:ascii="Arial" w:cs="Arial" w:eastAsia="Arial" w:hAnsi="Arial"/>
                <w:sz w:val="13"/>
                <w:szCs w:val="13"/>
                <w:color w:val="auto"/>
              </w:rPr>
              <w:t>Company</w:t>
            </w:r>
          </w:p>
        </w:tc>
        <w:tc>
          <w:tcPr>
            <w:tcW w:w="1480" w:type="dxa"/>
            <w:vAlign w:val="bottom"/>
          </w:tcPr>
          <w:p>
            <w:pPr>
              <w:spacing w:after="0"/>
              <w:rPr>
                <w:sz w:val="12"/>
                <w:szCs w:val="12"/>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Lien)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9.50%</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6/19/2018</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783,162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720,189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604,343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DaVita HealthCare Partners</w:t>
            </w:r>
          </w:p>
        </w:tc>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Healthcare</w:t>
            </w:r>
          </w:p>
        </w:tc>
        <w:tc>
          <w:tcPr>
            <w:tcW w:w="14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94"/>
              </w:rPr>
              <w:t>Tranche B Term Loan</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Loan</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4.50%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10/20/2016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3,949,622</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3,949,622</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3,977,822</w:t>
            </w: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-8338820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-8338820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86" w:name="page87"/>
    <w:bookmarkEnd w:id="8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 (fka DaVita Inc.)</w:t>
            </w:r>
          </w:p>
        </w:tc>
        <w:tc>
          <w:tcPr>
            <w:tcW w:w="16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DCS Business Services,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Financial Intermediaries</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B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7.25%</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3/19/2018</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3,970,010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3,919,904</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3,910,460</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Del Monte Foods Company</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 Products</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Initial 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3/8/2018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4,438,139</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4,473,061</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4,443,687</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Delphi Corporation</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Electronics/Electric</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Tranche A Term Loan</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Retired 03/01/2013</w:t>
            </w: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4.25%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3/31/2016</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1,683,357</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1,685,403</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1,682,650</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Digitalglobe,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Ecological Services and</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Equipment</w:t>
            </w: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0.00%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1/31/2020</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250,000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250,000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250,783</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DS Waters of America,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Beverage and Tobacco</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w w:val="99"/>
              </w:rPr>
              <w:t>Term Loan (First Lien)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10.50%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8/29/2017</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2,977,500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2,928,511</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3,037,050</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Dunkin’ Brands,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 Services</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B-3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0.00%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2/14/2020</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4,000,000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3,990,000</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3,990,000</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DynCorp International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Aerospace and Defense</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6.25%</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7/7/2016</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574,161</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567,732</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577,606</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Education Management LLC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Leisure</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2"/>
              </w:rPr>
              <w:t>Tranche C-2 Term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Goods/Activities/Movies</w:t>
            </w: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4.31%</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6/1/2016</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3,925,006</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3,727,372</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3,263,878</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eInstruction Corporation</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Electronics/Electric</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Initial 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0.00%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7/2/2013</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2,997,722</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2,931,236</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899,317</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Electrical Components</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Electronics/Electric</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Synthetic Revolving</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International, Inc.</w:t>
            </w:r>
          </w:p>
        </w:tc>
        <w:tc>
          <w:tcPr>
            <w:tcW w:w="1640" w:type="dxa"/>
            <w:vAlign w:val="bottom"/>
            <w:shd w:val="clear" w:color="auto" w:fill="CCEEFF"/>
          </w:tcPr>
          <w:p>
            <w:pPr>
              <w:spacing w:after="0"/>
              <w:rPr>
                <w:sz w:val="12"/>
                <w:szCs w:val="12"/>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w:t>
            </w: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2/4/2016</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117,647</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116,611</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117,647</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Electrical Components</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Electronics/Electric</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Term Loan</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International, Inc.</w:t>
            </w: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6.75%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2/4/2017</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1,786,475</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1,768,892</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1,786,475</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Evergreen Acqco 1 LP</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Retailers (Except Food and</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New Term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Drugs)</w:t>
            </w: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5.00%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7/9/2019</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497,503</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492,828</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501,702</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Federal-Mogul Corporation</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Automotive</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Tranche B 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2.14%</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12/29/2014</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2,589,036</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2,498,894</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2,467,351</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Federal-Mogul Corporation</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Automotive</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Tranche C 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2.14%</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12/28/2015</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1,320,937</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1,264,234</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1,258,853</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First Data Corporation</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Financial Intermediaries</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w w:val="96"/>
              </w:rPr>
              <w:t>2017 Dollar 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5.20%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3/24/2017</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2,111,028</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2,027,434</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2,111,914</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First Data Corporation</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Financial Intermediaries</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6"/>
              </w:rPr>
              <w:t>2018 Dollar 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4.20%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3/23/2018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2,290,451</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2,216,829</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2,261,591</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w w:val="95"/>
              </w:rPr>
              <w:t>Freescale Semiconductor,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Electronics/Electric</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w w:val="92"/>
              </w:rPr>
              <w:t>Tranche B-1 Term Loan</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Retired 03/01/2013</w:t>
            </w: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4.45%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12/1/2016</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2,534,348</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2,450,139</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2,535,945</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FTD Group,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Retailers (Except Food and</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Initial Term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Drugs)</w:t>
            </w: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6/11/2018</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3,715,723</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3,683,533</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3,715,723</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w w:val="97"/>
              </w:rPr>
              <w:t>Generac Power Systems,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6.25%</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5/30/2018</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906,111</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890,154</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923,590</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General Nutrition Centers,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Retailers (Except Food and</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Amended Tranche B</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Drugs)</w:t>
            </w:r>
          </w:p>
        </w:tc>
        <w:tc>
          <w:tcPr>
            <w:tcW w:w="1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Term Loan</w:t>
            </w: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3/2/2018</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4,746,591</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4,757,841</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4,774,548</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Global Tel*Link Corporation</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Replacement Term</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420" w:type="dxa"/>
            <w:vAlign w:val="bottom"/>
          </w:tcPr>
          <w:p>
            <w:pPr>
              <w:ind w:left="120"/>
              <w:spacing w:after="0"/>
              <w:rPr>
                <w:sz w:val="20"/>
                <w:szCs w:val="20"/>
                <w:color w:val="auto"/>
              </w:rPr>
            </w:pPr>
            <w:r>
              <w:rPr>
                <w:rFonts w:ascii="Arial" w:cs="Arial" w:eastAsia="Arial" w:hAnsi="Arial"/>
                <w:sz w:val="13"/>
                <w:szCs w:val="13"/>
                <w:color w:val="auto"/>
              </w:rPr>
              <w:t>Loan</w:t>
            </w: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6.00%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12/14/2017</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1,964,912</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1,960,077</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1,967,368</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Goodyear Tire &amp; Rubber</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Chemicals/Plastics</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Loan (Second Lien)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Company, The</w:t>
            </w:r>
          </w:p>
        </w:tc>
        <w:tc>
          <w:tcPr>
            <w:tcW w:w="16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4/30/2019</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4,000,000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3,929,629</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4,015,000</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Grifols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Drugs</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New U.S. Tranche B</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Term Loan</w:t>
            </w: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4.25%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6/1/2017</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3,465,982</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3,457,357</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3,481,371</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Grosvenor Capital Management</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4"/>
              </w:rPr>
              <w:t>Brokers/Dealers/Investment</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Tranche C Term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Holdings, LLLP</w:t>
            </w: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Houses</w:t>
            </w: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4.25%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12/5/2016</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3,336,378</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3,252,391</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3,311,355</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w w:val="94"/>
              </w:rPr>
              <w:t>Hanger Orthopedic Group,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Healthcare</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C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12/1/2016</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3,910,667</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3,920,277</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3,925,332</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HCA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Healthcare</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2"/>
              </w:rPr>
              <w:t>Tranche B-3 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3.45%</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5,734,690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5,440,293</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5,764,912</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Health Management</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Healthcare</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Term B Loan</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Associates, Inc.</w:t>
            </w: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4.50%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11/16/2018</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2,970,000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2,945,366</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2,993,344</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Hertz Corporation, The</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Automotive</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2"/>
              </w:rPr>
              <w:t>Tranche B-1 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0.00%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3/11/2018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3,000,000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3,045,000</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3,045,000</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HIBU PLC (fka Yell Group</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Facility B1 - YB (USA)</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PLC)</w:t>
            </w:r>
          </w:p>
        </w:tc>
        <w:tc>
          <w:tcPr>
            <w:tcW w:w="16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420" w:type="dxa"/>
            <w:vAlign w:val="bottom"/>
          </w:tcPr>
          <w:p>
            <w:pPr>
              <w:ind w:left="120"/>
              <w:spacing w:after="0"/>
              <w:rPr>
                <w:sz w:val="20"/>
                <w:szCs w:val="20"/>
                <w:color w:val="auto"/>
              </w:rPr>
            </w:pPr>
            <w:r>
              <w:rPr>
                <w:rFonts w:ascii="Arial" w:cs="Arial" w:eastAsia="Arial" w:hAnsi="Arial"/>
                <w:sz w:val="13"/>
                <w:szCs w:val="13"/>
                <w:color w:val="auto"/>
              </w:rPr>
              <w:t>LLC (11/2009)</w:t>
            </w: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3.95%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7/31/2014</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3,030,606</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2,983,167</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530,356</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HMH Holdings (Delaware)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Conglomerate</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Loan (Exit</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Facility)</w:t>
            </w: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7.25%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5/22/2018</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992,500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974,925</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997,463</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Hologic,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Healthcare</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Tranche A 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3.20%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8/1/2017</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2,437,500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2,432,069</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2,439,328</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Hunter Defense</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Aerospace and Defense</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Technologies, Inc.</w:t>
            </w:r>
          </w:p>
        </w:tc>
        <w:tc>
          <w:tcPr>
            <w:tcW w:w="16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3.54%</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8/22/2014</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3,679,939</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3,647,610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3,385,544</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Huntsman International LLC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Chemicals/Plastics</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w w:val="95"/>
              </w:rPr>
              <w:t>Extended Term B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2.75%</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4/19/2017</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3,920,000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3,883,690</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3,920,000</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Infor (US), Inc. (fka Lawson</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2"/>
              </w:rPr>
              <w:t>Tranche B-2 Term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Software Inc.)</w:t>
            </w: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5.25%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4/5/2018</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1,990,013</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1,971,642</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2,011,166</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Inventiv Health, Inc. (fka</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Conglomerate</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Consolidated Term</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Ventive Health, Inc)</w:t>
            </w:r>
          </w:p>
        </w:tc>
        <w:tc>
          <w:tcPr>
            <w:tcW w:w="1640" w:type="dxa"/>
            <w:vAlign w:val="bottom"/>
          </w:tcPr>
          <w:p>
            <w:pPr>
              <w:spacing w:after="0"/>
              <w:rPr>
                <w:sz w:val="12"/>
                <w:szCs w:val="12"/>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Loan</w:t>
            </w: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7.50%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8/4/2016</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492,090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492,090</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484,093</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 Crew Group,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Retailers (Except Food and</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B-1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Drugs)</w:t>
            </w: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4.00%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3/7/2018</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982,500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982,500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982,726</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JFB Firth Rixson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Industrial Equipment</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2013 Replacement</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5"/>
        </w:trPr>
        <w:tc>
          <w:tcPr>
            <w:tcW w:w="17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Dollar Term Facility</w:t>
            </w: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Loan</w:t>
            </w: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4.25%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6/30/2017</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2,590,213</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2,577,375</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2,598,838</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Kalispel Tribal Economic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Lodging and Casinos</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Authority</w:t>
            </w:r>
          </w:p>
        </w:tc>
        <w:tc>
          <w:tcPr>
            <w:tcW w:w="16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7.50%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2/24/2017</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3,625,323</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3,577,074</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3,634,387</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Kinetic Concepts,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Healthcare</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Dollar Term C-1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5.50%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5/4/2018</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495,000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478,661</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501,034</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Kronos Worldwide,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Chemicals/Plastics</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Initial 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6/13/2018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500,000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500,000</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504,065</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MetroPCS Wireless,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Telecommunications</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w w:val="92"/>
              </w:rPr>
              <w:t>Tranche B-2 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4.07%</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11/3/2016</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2,489,192</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2,491,685</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2,495,938</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Michaels Stores,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Retailers (Except Food and</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B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Drugs)</w:t>
            </w: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1/28/2020</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500,000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501,110</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Microsemi Corporation</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Electronics/Electric</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3.75%</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2/20/2020</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2,688,796</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2,682,872</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2,697,212</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National CineMedia, LLC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Leisure</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Goods/Activities/Movies</w:t>
            </w: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3.46%</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11/26/2019</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1,086,207</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1,050,910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1,089,607</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Newsday, LLC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Publishing</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3.70%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10/12/2016</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3,000,000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2,996,317</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2,992,500</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Novelis,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Conglomerate</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B-2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3/10/2017</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987,500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968,539</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988,734</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Novelis,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Conglomerate</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3/10/2017</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3,920,009</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3,946,297</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3,924,909</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NPC International,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 Services</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4.50%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12/28/2018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490,833</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490,833</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495,128</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NRG Energy,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Utilities</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3.25%</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7/1/2018</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3,940,000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3,910,795</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3,958,557</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NuSil Technology LLC.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Chemicals/Plastics</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4/7/2017</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820,339</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820,339</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824,695</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OEP Pearl Dutch Acquisition</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Chemicals/Plastics</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Initial BV Term Loan</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B.V.</w:t>
            </w: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6.50%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3/30/2018</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148,875</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146,330</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149,992</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On Assignment,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Initial Term B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5.00%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5/15/2019</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2,413,048</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2,399,166</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2,434,114</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w w:val="97"/>
              </w:rPr>
              <w:t>Onex Carestream Finance LP</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Healthcare</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5.00%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2/25/2017</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4,909,816</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4,893,453</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4,916,739</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OpenLink International,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Initial Term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10/30/2017</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990,000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974,594</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988,763</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w w:val="94"/>
              </w:rPr>
              <w:t>P.F. Chang’s China Bistro,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Food/Drug Retailers</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Term Borrowing</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(Wok Acquisition Corp.)</w:t>
            </w: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5.25%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6/22/2019</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997,500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988,412</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1,007,475</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PATS Aircraft, LLC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Aerospace and Defense</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8.50%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10/6/2016</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357,331</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239,023</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276,932</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Penn National Gaming,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Lodging and Casinos</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A Facility</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1.72%</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7/14/2016</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2,775,888</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2,719,125</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2,776,748</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Penn National Gaming,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Lodging and Casinos</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B Facility</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3.75%</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7/16/2018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985,013</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983,123</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988,431</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PetCo Animal Supplies,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w w:val="96"/>
              </w:rPr>
              <w:t>Retailers (Except Food and</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New Loans</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Drugs)</w:t>
            </w: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4.00%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11/24/2017</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1,496,173</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1,494,329</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1,501,784</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Pharmaceutical Product</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Conglomerate</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2013 Term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8"/>
              </w:rPr>
              <w:t>Development, Inc. (Jaguar</w:t>
            </w:r>
          </w:p>
        </w:tc>
        <w:tc>
          <w:tcPr>
            <w:tcW w:w="16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Holdings, LLC)</w:t>
            </w:r>
          </w:p>
        </w:tc>
        <w:tc>
          <w:tcPr>
            <w:tcW w:w="16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4.25%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12/5/2018</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1,980,000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1,950,704</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1,989,583</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w w:val="98"/>
              </w:rPr>
              <w:t>Physician Oncology Services,</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Healthcare</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Delayed Draw Term</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LP</w:t>
            </w:r>
          </w:p>
        </w:tc>
        <w:tc>
          <w:tcPr>
            <w:tcW w:w="1640" w:type="dxa"/>
            <w:vAlign w:val="bottom"/>
          </w:tcPr>
          <w:p>
            <w:pPr>
              <w:spacing w:after="0"/>
              <w:rPr>
                <w:sz w:val="12"/>
                <w:szCs w:val="12"/>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Loan</w:t>
            </w: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7.75%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1/31/2017</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51,020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50,682</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50,765</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8"/>
              </w:rPr>
              <w:t>Physician Oncology Services,</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Healthcare</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Effective Date Term</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LP</w:t>
            </w:r>
          </w:p>
        </w:tc>
        <w:tc>
          <w:tcPr>
            <w:tcW w:w="1640" w:type="dxa"/>
            <w:vAlign w:val="bottom"/>
            <w:shd w:val="clear" w:color="auto" w:fill="CCEEFF"/>
          </w:tcPr>
          <w:p>
            <w:pPr>
              <w:spacing w:after="0"/>
              <w:rPr>
                <w:sz w:val="12"/>
                <w:szCs w:val="12"/>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w:t>
            </w: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1/31/2017</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419,961</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417,178</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417,861</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Pinnacle Foods Finance LLC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Food Products</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Extended Initial Term</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Loan</w:t>
            </w: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3.70%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10/2/2016</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5,726,579</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5,491,534</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5,761,168</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Preferred Proppants, LLC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5"/>
              </w:rPr>
              <w:t>Nonferrous Metals/Minerals</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B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7.50%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12/15/2016</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1,980,000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1,949,170</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1,841,400</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Prestige Brands,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Drugs</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B-1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3.76%</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1/31/2019</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679,545</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669,390</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683,507</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 Mach,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7/6/2017</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1,956,155</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1,941,853</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1,961,045</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w w:val="99"/>
              </w:rPr>
              <w:t>Quintiles Transnational Corp.</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Conglomerate</w:t>
            </w:r>
          </w:p>
        </w:tc>
        <w:tc>
          <w:tcPr>
            <w:tcW w:w="1420" w:type="dxa"/>
            <w:vAlign w:val="bottom"/>
          </w:tcPr>
          <w:p>
            <w:pPr>
              <w:ind w:left="120"/>
              <w:spacing w:after="0" w:line="135" w:lineRule="exact"/>
              <w:rPr>
                <w:sz w:val="20"/>
                <w:szCs w:val="20"/>
                <w:color w:val="auto"/>
              </w:rPr>
            </w:pPr>
            <w:r>
              <w:rPr>
                <w:rFonts w:ascii="Arial" w:cs="Arial" w:eastAsia="Arial" w:hAnsi="Arial"/>
                <w:sz w:val="13"/>
                <w:szCs w:val="13"/>
                <w:color w:val="auto"/>
              </w:rPr>
              <w:t>Term B-2 Loan</w:t>
            </w:r>
          </w:p>
        </w:tc>
        <w:tc>
          <w:tcPr>
            <w:tcW w:w="9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4.50%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6/8/2018</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3,681,541</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3,653,803</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3,716,810</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Ranpak Corp.</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Food/Drug Retailers</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USD Term Loan (First</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Lien)</w:t>
            </w: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4/20/2017</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2,396,012</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2,387,700</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2,384,032</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w w:val="95"/>
              </w:rPr>
              <w:t>Rexnord LLC/RBS Global,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Industrial Equipment</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Term B Loan</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Refinancing</w:t>
            </w: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4.50%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4/1/2018</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1,995,000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1,995,000</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2,005,454</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Reynolds Group Holdings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U.S. 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4.75%</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9/28/2018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1,995,000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1,995,000</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2,017,244</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Rocket Software,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w w:val="99"/>
              </w:rPr>
              <w:t>Term Loan (First Lien)</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5.75%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2/8/2018</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1,980,000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1,947,152</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1,986,197</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Roundy’s Supermarkets,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Food/Drug Retailers</w:t>
            </w:r>
          </w:p>
        </w:tc>
        <w:tc>
          <w:tcPr>
            <w:tcW w:w="14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Tranche B Term Loan</w:t>
            </w:r>
          </w:p>
        </w:tc>
        <w:tc>
          <w:tcPr>
            <w:tcW w:w="9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5.75%</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2/13/2019</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992,500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979,782</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937,297</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Rovi Solutions Corporation /</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Electronics/Electric</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Tranche A-2 Loan</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Rovi Guides, Inc.</w:t>
            </w: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2.46%</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3/29/2017</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1,860,226</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1,843,739</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1,855,576</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Rovi Solutions Corporation /</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Electronics/Electric</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Tranche B-2 Loan</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Rovi Guides, Inc.</w:t>
            </w:r>
          </w:p>
        </w:tc>
        <w:tc>
          <w:tcPr>
            <w:tcW w:w="16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4.00%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3/29/2019</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1,384,706</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1,378,679</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1,389,899</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w w:val="93"/>
              </w:rPr>
              <w:t>Royal Adhesives and Sealants,</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Chemicals/Plastics</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rPr>
              <w:t>Term A Loan</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LLC</w:t>
            </w: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7.25%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11/29/2015</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4,498,210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4,459,450</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4,432,399</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RPI Finance Trust</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Drugs</w:t>
            </w:r>
          </w:p>
        </w:tc>
        <w:tc>
          <w:tcPr>
            <w:tcW w:w="14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6.75 Year Term</w:t>
            </w:r>
          </w:p>
        </w:tc>
        <w:tc>
          <w:tcPr>
            <w:tcW w:w="9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Loan(2012)</w:t>
            </w:r>
          </w:p>
        </w:tc>
        <w:tc>
          <w:tcPr>
            <w:tcW w:w="9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3.50%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5/9/2018</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5,398,833</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5,373,794</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5,449,474</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w w:val="97"/>
              </w:rPr>
              <w:t>Scientific Games International</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Electronics/Electric</w:t>
            </w:r>
          </w:p>
        </w:tc>
        <w:tc>
          <w:tcPr>
            <w:tcW w:w="1420" w:type="dxa"/>
            <w:vAlign w:val="bottom"/>
          </w:tcPr>
          <w:p>
            <w:pPr>
              <w:ind w:left="120"/>
              <w:spacing w:after="0" w:line="121" w:lineRule="exact"/>
              <w:rPr>
                <w:sz w:val="20"/>
                <w:szCs w:val="20"/>
                <w:color w:val="auto"/>
              </w:rPr>
            </w:pPr>
            <w:r>
              <w:rPr>
                <w:rFonts w:ascii="Arial" w:cs="Arial" w:eastAsia="Arial" w:hAnsi="Arial"/>
                <w:sz w:val="13"/>
                <w:szCs w:val="13"/>
                <w:color w:val="auto"/>
                <w:w w:val="92"/>
              </w:rPr>
              <w:t>Tranche B-1 Term Loan</w:t>
            </w:r>
          </w:p>
        </w:tc>
        <w:tc>
          <w:tcPr>
            <w:tcW w:w="940" w:type="dxa"/>
            <w:vAlign w:val="bottom"/>
          </w:tcPr>
          <w:p>
            <w:pPr>
              <w:ind w:left="8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Inc.</w:t>
            </w:r>
          </w:p>
        </w:tc>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3.21%</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6/30/2015</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1,977,810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1,965,672</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1,985,226</w:t>
            </w:r>
          </w:p>
        </w:tc>
      </w:tr>
      <w:tr>
        <w:trPr>
          <w:trHeight w:val="160"/>
        </w:trPr>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Scitor Corporation</w:t>
            </w: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Business Equipment and</w:t>
            </w:r>
          </w:p>
        </w:tc>
        <w:tc>
          <w:tcPr>
            <w:tcW w:w="1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Term Loan</w:t>
            </w:r>
          </w:p>
        </w:tc>
        <w:tc>
          <w:tcPr>
            <w:tcW w:w="94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5.00%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2/15/2017</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463,977</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462,444</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460,692</w:t>
            </w:r>
          </w:p>
        </w:tc>
      </w:tr>
      <w:tr>
        <w:trPr>
          <w:trHeight w:val="58"/>
        </w:trPr>
        <w:tc>
          <w:tcPr>
            <w:tcW w:w="170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bl>
    <w:p>
      <w:pPr>
        <w:sectPr>
          <w:pgSz w:w="11900" w:h="16900" w:orient="portrait"/>
          <w:cols w:equalWidth="0" w:num="1">
            <w:col w:w="11420"/>
          </w:cols>
          <w:pgMar w:left="240" w:top="125" w:right="239" w:bottom="0" w:gutter="0" w:footer="0" w:header="0"/>
        </w:sectPr>
      </w:pPr>
    </w:p>
    <w:bookmarkStart w:id="87" w:name="page88"/>
    <w:bookmarkEnd w:id="8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shd w:val="clear" w:color="auto" w:fill="CCEEFF"/>
          </w:tcPr>
          <w:p>
            <w:pPr>
              <w:spacing w:after="0"/>
              <w:rPr>
                <w:sz w:val="13"/>
                <w:szCs w:val="13"/>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4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Securus Technologies</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Telecommunications</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Tranche 2 Term Loan</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3"/>
                <w:szCs w:val="13"/>
                <w:color w:val="auto"/>
                <w:w w:val="98"/>
              </w:rPr>
              <w:t>Holdings, Inc (fka Securus</w:t>
            </w:r>
          </w:p>
        </w:tc>
        <w:tc>
          <w:tcPr>
            <w:tcW w:w="1640" w:type="dxa"/>
            <w:vAlign w:val="bottom"/>
          </w:tcPr>
          <w:p>
            <w:pPr>
              <w:spacing w:after="0"/>
              <w:rPr>
                <w:sz w:val="11"/>
                <w:szCs w:val="11"/>
                <w:color w:val="auto"/>
              </w:rPr>
            </w:pPr>
          </w:p>
        </w:tc>
        <w:tc>
          <w:tcPr>
            <w:tcW w:w="1400" w:type="dxa"/>
            <w:vAlign w:val="bottom"/>
          </w:tcPr>
          <w:p>
            <w:pPr>
              <w:ind w:left="120"/>
              <w:spacing w:after="0" w:line="135" w:lineRule="exact"/>
              <w:rPr>
                <w:sz w:val="20"/>
                <w:szCs w:val="20"/>
                <w:color w:val="auto"/>
              </w:rPr>
            </w:pPr>
            <w:r>
              <w:rPr>
                <w:rFonts w:ascii="Arial" w:cs="Arial" w:eastAsia="Arial" w:hAnsi="Arial"/>
                <w:sz w:val="13"/>
                <w:szCs w:val="13"/>
                <w:color w:val="auto"/>
              </w:rPr>
              <w:t>(First Lien)</w:t>
            </w: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Technologies, Inc.)</w:t>
            </w: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6.50%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5/31/2017</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1,985,000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1,967,961</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1,975,075</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Sensata Technology</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Electronics/Electric</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Loan</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BV/Sensata Technology</w:t>
            </w:r>
          </w:p>
        </w:tc>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Finance Company, LLC</w:t>
            </w:r>
          </w:p>
        </w:tc>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5/12/2018</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2,969,849</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2,969,849</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2,986,540</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w w:val="98"/>
              </w:rPr>
              <w:t>Sensus USA Inc. (fka Sensus</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Utilities</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w w:val="97"/>
              </w:rPr>
              <w:t>Term Loan (First Lien)</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Metering Systems)</w:t>
            </w: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4.75%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5/9/2017</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1,965,000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1,958,111</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1,961,070</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ServiceMaster Company, The</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Conglomerate</w:t>
            </w: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9"/>
              </w:rPr>
              <w:t>Tranche B Term Loan</w:t>
            </w:r>
          </w:p>
        </w:tc>
        <w:tc>
          <w:tcPr>
            <w:tcW w:w="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4.45%</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1/31/2017</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2,851,387</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2,861,398</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2,857,089</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SI Organization, Inc., The</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Aerospace and Defense</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New Tranche B Term</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Loan</w:t>
            </w: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4.50%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11/22/2016</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3,920,000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3,895,621</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3,906,946</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Sonneborn, LLC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Chemicals/Plastics</w:t>
            </w: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Initial US Term Loan</w:t>
            </w:r>
          </w:p>
        </w:tc>
        <w:tc>
          <w:tcPr>
            <w:tcW w:w="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6.50%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3/30/2018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843,625</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829,202</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849,952</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Sophia, L.P.</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Electronics/Electric</w:t>
            </w:r>
          </w:p>
        </w:tc>
        <w:tc>
          <w:tcPr>
            <w:tcW w:w="1400" w:type="dxa"/>
            <w:vAlign w:val="bottom"/>
          </w:tcPr>
          <w:p>
            <w:pPr>
              <w:ind w:left="120"/>
              <w:spacing w:after="0" w:line="135" w:lineRule="exact"/>
              <w:rPr>
                <w:sz w:val="20"/>
                <w:szCs w:val="20"/>
                <w:color w:val="auto"/>
              </w:rPr>
            </w:pPr>
            <w:r>
              <w:rPr>
                <w:rFonts w:ascii="Arial" w:cs="Arial" w:eastAsia="Arial" w:hAnsi="Arial"/>
                <w:sz w:val="13"/>
                <w:szCs w:val="13"/>
                <w:color w:val="auto"/>
              </w:rPr>
              <w:t>Term B Loan</w:t>
            </w:r>
          </w:p>
        </w:tc>
        <w:tc>
          <w:tcPr>
            <w:tcW w:w="960" w:type="dxa"/>
            <w:vAlign w:val="bottom"/>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4.50%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7/19/2018</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969,244</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954,866</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976,310</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SRA International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Aerospace and Defense</w:t>
            </w: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w:t>
            </w:r>
          </w:p>
        </w:tc>
        <w:tc>
          <w:tcPr>
            <w:tcW w:w="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6.50%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7/20/2018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3,268,571</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3,165,384</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3,154,171</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SRAM, LLC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400" w:type="dxa"/>
            <w:vAlign w:val="bottom"/>
          </w:tcPr>
          <w:p>
            <w:pPr>
              <w:ind w:left="120"/>
              <w:spacing w:after="0" w:line="135" w:lineRule="exact"/>
              <w:rPr>
                <w:sz w:val="20"/>
                <w:szCs w:val="20"/>
                <w:color w:val="auto"/>
              </w:rPr>
            </w:pPr>
            <w:r>
              <w:rPr>
                <w:rFonts w:ascii="Arial" w:cs="Arial" w:eastAsia="Arial" w:hAnsi="Arial"/>
                <w:sz w:val="13"/>
                <w:szCs w:val="13"/>
                <w:color w:val="auto"/>
                <w:w w:val="97"/>
              </w:rPr>
              <w:t>Term Loan (First Lien)</w:t>
            </w:r>
          </w:p>
        </w:tc>
        <w:tc>
          <w:tcPr>
            <w:tcW w:w="960" w:type="dxa"/>
            <w:vAlign w:val="bottom"/>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4.77%</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6/7/2018</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3,441,181</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3,411,986</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3,458,386</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SS&amp;C Technologies,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3"/>
              </w:rPr>
              <w:t>Funded Term B-1 Loan</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/Sunshine Acquisition</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Services</w:t>
            </w:r>
          </w:p>
        </w:tc>
        <w:tc>
          <w:tcPr>
            <w:tcW w:w="1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II, Inc.</w:t>
            </w:r>
          </w:p>
        </w:tc>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5.00%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6/7/2019</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811,071</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803,796</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817,138</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SS&amp;C Technologies,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w w:val="93"/>
              </w:rPr>
              <w:t>Funded Term B-2 Loan</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3"/>
                <w:szCs w:val="13"/>
                <w:color w:val="auto"/>
              </w:rPr>
              <w:t>/Sunshine Acquisition</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Services</w:t>
            </w:r>
          </w:p>
        </w:tc>
        <w:tc>
          <w:tcPr>
            <w:tcW w:w="1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II, Inc.</w:t>
            </w: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5.00%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6/7/2019</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83,904</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83,151</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84,531</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SunCoke Energy,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5"/>
              </w:rPr>
              <w:t>Nonferrous Metals/Minerals</w:t>
            </w: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9"/>
              </w:rPr>
              <w:t>Tranche B Term Loan</w:t>
            </w:r>
          </w:p>
        </w:tc>
        <w:tc>
          <w:tcPr>
            <w:tcW w:w="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7/26/2018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1,367,311</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1,357,359</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1,370,729</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SunGard Data Systems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Conglomerate</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Tranche B U.S. Term</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(Solar Capital Corp.)</w:t>
            </w:r>
          </w:p>
        </w:tc>
        <w:tc>
          <w:tcPr>
            <w:tcW w:w="1640" w:type="dxa"/>
            <w:vAlign w:val="bottom"/>
          </w:tcPr>
          <w:p>
            <w:pPr>
              <w:spacing w:after="0"/>
              <w:rPr>
                <w:sz w:val="12"/>
                <w:szCs w:val="12"/>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Loan</w:t>
            </w: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3.85%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2/28/2016</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4,253,748</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4,184,167</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4,260,086</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SunGard Data Systems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Conglomerate</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9"/>
              </w:rPr>
              <w:t>Tranche C Term Loan</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(Solar Capital Corp.)</w:t>
            </w:r>
          </w:p>
        </w:tc>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3.95%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2/28/2017</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497,687</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493,012</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500,544</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SuperMedia Inc. (fka Idearc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Publishing</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Loan</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Inc.)</w:t>
            </w: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11.00%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12/31/2015</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289,811</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281,918</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214,875</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Syniverse Holdings,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Telecommunications</w:t>
            </w: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Initial Term Loan</w:t>
            </w:r>
          </w:p>
        </w:tc>
        <w:tc>
          <w:tcPr>
            <w:tcW w:w="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4/23/2019</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497,500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493,115</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500,609</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Taminco Global Chemical</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Chemicals/Plastics</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Tranche B-2 Dollar</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Corporation</w:t>
            </w:r>
          </w:p>
        </w:tc>
        <w:tc>
          <w:tcPr>
            <w:tcW w:w="1640" w:type="dxa"/>
            <w:vAlign w:val="bottom"/>
          </w:tcPr>
          <w:p>
            <w:pPr>
              <w:spacing w:after="0"/>
              <w:rPr>
                <w:sz w:val="12"/>
                <w:szCs w:val="12"/>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Term Loan</w:t>
            </w: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4.25%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2/15/2019</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1,488,750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1,478,991</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1,498,859</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Team Health,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Healthcare</w:t>
            </w: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9"/>
              </w:rPr>
              <w:t>Tranche B Term Loan</w:t>
            </w:r>
          </w:p>
        </w:tc>
        <w:tc>
          <w:tcPr>
            <w:tcW w:w="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3.75%</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6/29/2018</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4,432,500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4,415,534</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4,432,500</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TECTUM HOLDINGS INC</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40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60" w:type="dxa"/>
            <w:vAlign w:val="bottom"/>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7.50%</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12/3/2015</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4,000,000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3,981,089</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3,980,000</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Texas Competitive Electric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Utilities</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2014 Term Loan (Non-</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Holdings Company, LLC</w:t>
            </w:r>
          </w:p>
        </w:tc>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Extending)</w:t>
            </w: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(TXU)</w:t>
            </w:r>
          </w:p>
        </w:tc>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3.73%</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10/10/2014</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5,580,862</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5,527,535</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4,012,249</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w w:val="99"/>
              </w:rPr>
              <w:t>Tomkins, LLC / Tomkins,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Conglomerate</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Term B-2 Loan</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3"/>
                <w:szCs w:val="13"/>
                <w:color w:val="auto"/>
              </w:rPr>
              <w:t>(f/k/a Pinafore, LLC /</w:t>
            </w:r>
          </w:p>
        </w:tc>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Pinafore, Inc.)</w:t>
            </w: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3.75%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9/29/2016</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2,431,854</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2,437,744</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2,450,093</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TransDigm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Aerospace and Defense</w:t>
            </w: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9"/>
              </w:rPr>
              <w:t>Tranche C Term Loan</w:t>
            </w:r>
          </w:p>
        </w:tc>
        <w:tc>
          <w:tcPr>
            <w:tcW w:w="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3.75%</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2/28/2020</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4,945,974</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4,955,789</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4,955,587</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w w:val="99"/>
              </w:rPr>
              <w:t>Tricorbraun Inc. (fka Kranson</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w w:val="98"/>
              </w:rPr>
              <w:t>Containers/Glass Products</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Term Loan</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Industries, Inc.)</w:t>
            </w: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5.50%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5/3/2018</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1,990,000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1,981,374</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2,008,666</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Truven Health Analytics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Healthcare</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New Tranche B Term</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(fka Thomson Reuters</w:t>
            </w:r>
          </w:p>
        </w:tc>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Loan</w:t>
            </w:r>
          </w:p>
        </w:tc>
        <w:tc>
          <w:tcPr>
            <w:tcW w:w="9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(Healthcare) Inc.)</w:t>
            </w:r>
          </w:p>
        </w:tc>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6/6/2019</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497,500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488,158</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501,853</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Tube City IMS Corporation</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Steel</w:t>
            </w:r>
          </w:p>
        </w:tc>
        <w:tc>
          <w:tcPr>
            <w:tcW w:w="1400" w:type="dxa"/>
            <w:vAlign w:val="bottom"/>
          </w:tcPr>
          <w:p>
            <w:pPr>
              <w:ind w:left="120"/>
              <w:spacing w:after="0" w:line="135" w:lineRule="exact"/>
              <w:rPr>
                <w:sz w:val="20"/>
                <w:szCs w:val="20"/>
                <w:color w:val="auto"/>
              </w:rPr>
            </w:pPr>
            <w:r>
              <w:rPr>
                <w:rFonts w:ascii="Arial" w:cs="Arial" w:eastAsia="Arial" w:hAnsi="Arial"/>
                <w:sz w:val="13"/>
                <w:szCs w:val="13"/>
                <w:color w:val="auto"/>
              </w:rPr>
              <w:t>Term Loan</w:t>
            </w:r>
          </w:p>
        </w:tc>
        <w:tc>
          <w:tcPr>
            <w:tcW w:w="960" w:type="dxa"/>
            <w:vAlign w:val="bottom"/>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5.75%</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3/20/2019</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992,500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983,864</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1,001,184</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U.S. Security Associates</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Delayed Draw Term</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Holdings, Inc.</w:t>
            </w: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Loan</w:t>
            </w: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6.00%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7/28/2017</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161,778</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160,586</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162,688</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U.S. Security Associates</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Term Loan B</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Holdings, Inc.</w:t>
            </w:r>
          </w:p>
        </w:tc>
        <w:tc>
          <w:tcPr>
            <w:tcW w:w="16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6.00%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7/28/2017</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123,747</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123,243</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124,444</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U.S. Security Associates</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Term Loan B</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Holdings, Inc.</w:t>
            </w: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6.00%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7/28/2017</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826,540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820,452</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831,193</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U.S. Silica Company</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w w:val="95"/>
              </w:rPr>
              <w:t>Nonferrous Metals/Minerals</w:t>
            </w:r>
          </w:p>
        </w:tc>
        <w:tc>
          <w:tcPr>
            <w:tcW w:w="1400" w:type="dxa"/>
            <w:vAlign w:val="bottom"/>
          </w:tcPr>
          <w:p>
            <w:pPr>
              <w:ind w:left="120"/>
              <w:spacing w:after="0" w:line="135" w:lineRule="exact"/>
              <w:rPr>
                <w:sz w:val="20"/>
                <w:szCs w:val="20"/>
                <w:color w:val="auto"/>
              </w:rPr>
            </w:pPr>
            <w:r>
              <w:rPr>
                <w:rFonts w:ascii="Arial" w:cs="Arial" w:eastAsia="Arial" w:hAnsi="Arial"/>
                <w:sz w:val="13"/>
                <w:szCs w:val="13"/>
                <w:color w:val="auto"/>
              </w:rPr>
              <w:t>Loan</w:t>
            </w:r>
          </w:p>
        </w:tc>
        <w:tc>
          <w:tcPr>
            <w:tcW w:w="960" w:type="dxa"/>
            <w:vAlign w:val="bottom"/>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4.75%</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6/8/2017</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1,970,000</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1,962,974</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1,974,925</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Xpress Enterprises,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Industrial Equipment</w:t>
            </w: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Extended Term Loan</w:t>
            </w:r>
          </w:p>
        </w:tc>
        <w:tc>
          <w:tcPr>
            <w:tcW w:w="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11/13/2016</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2,913,628</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2,858,339</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2,906,344</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United Surgical Partners</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Healthcare</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New Tranche B Term</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International, Inc.</w:t>
            </w:r>
          </w:p>
        </w:tc>
        <w:tc>
          <w:tcPr>
            <w:tcW w:w="1640" w:type="dxa"/>
            <w:vAlign w:val="bottom"/>
          </w:tcPr>
          <w:p>
            <w:pPr>
              <w:spacing w:after="0"/>
              <w:rPr>
                <w:sz w:val="12"/>
                <w:szCs w:val="12"/>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Loan</w:t>
            </w: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6.00%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4/3/2019</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2,481,281</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2,448,808</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2,486,715</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Univar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Chemicals/Plastics</w:t>
            </w: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B Loan</w:t>
            </w:r>
          </w:p>
        </w:tc>
        <w:tc>
          <w:tcPr>
            <w:tcW w:w="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5.00%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6/30/2017</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3,924,924</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3,924,007</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3,902,670</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w w:val="94"/>
              </w:rPr>
              <w:t>Univision Communications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Telecommunications</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2013 Converted</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5"/>
        </w:trPr>
        <w:tc>
          <w:tcPr>
            <w:tcW w:w="17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0" w:type="dxa"/>
            <w:vAlign w:val="bottom"/>
          </w:tcPr>
          <w:p>
            <w:pPr>
              <w:ind w:left="120"/>
              <w:spacing w:after="0" w:line="135" w:lineRule="exact"/>
              <w:rPr>
                <w:sz w:val="20"/>
                <w:szCs w:val="20"/>
                <w:color w:val="auto"/>
              </w:rPr>
            </w:pPr>
            <w:r>
              <w:rPr>
                <w:rFonts w:ascii="Arial" w:cs="Arial" w:eastAsia="Arial" w:hAnsi="Arial"/>
                <w:sz w:val="13"/>
                <w:szCs w:val="13"/>
                <w:color w:val="auto"/>
              </w:rPr>
              <w:t>Extended First-Lien</w:t>
            </w: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Term Loan</w:t>
            </w: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4.75%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3/1/2020</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3,000,000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2,981,257</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3,000,870</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UPC Financing Partnership</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Broadcast Radio and</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Facility AF</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Television</w:t>
            </w: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4.00%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1/31/2021</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1,000,000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970,954</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1,010,000</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Valeant Pharmaceuticals</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Drugs</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Series D-1 Tranche B</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International, Inc.</w:t>
            </w:r>
          </w:p>
        </w:tc>
        <w:tc>
          <w:tcPr>
            <w:tcW w:w="1640" w:type="dxa"/>
            <w:vAlign w:val="bottom"/>
          </w:tcPr>
          <w:p>
            <w:pPr>
              <w:spacing w:after="0"/>
              <w:rPr>
                <w:sz w:val="12"/>
                <w:szCs w:val="12"/>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Term Loan</w:t>
            </w: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3.50%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2/13/2019</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2,985,000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2,972,608</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3,006,462</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Vantiv, LLC (fka Fifth Third</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Financial Intermediaries</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9"/>
              </w:rPr>
              <w:t>Tranche B Term Loan</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5"/>
              </w:rPr>
              <w:t>Processing Solutions, LLC)</w:t>
            </w:r>
          </w:p>
        </w:tc>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3/27/2019</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1,063,393</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1,058,765</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1,065,520</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Verint Systems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Term Loan 2011</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Services</w:t>
            </w: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4.50%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10/27/2017</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1,920,000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1,913,087</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1,921,920</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Vertafore, Inc.</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Term Loan (First Lien)</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5.25%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7/29/2016</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2,984,781</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2,984,781</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3,018,360</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Visant Corporation (fka</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Leisure</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w w:val="99"/>
              </w:rPr>
              <w:t>Tranche B Term Loan</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Jostens)</w:t>
            </w:r>
          </w:p>
        </w:tc>
        <w:tc>
          <w:tcPr>
            <w:tcW w:w="1640" w:type="dxa"/>
            <w:vAlign w:val="bottom"/>
          </w:tcPr>
          <w:p>
            <w:pPr>
              <w:ind w:left="100"/>
              <w:spacing w:after="0"/>
              <w:rPr>
                <w:sz w:val="20"/>
                <w:szCs w:val="20"/>
                <w:color w:val="auto"/>
              </w:rPr>
            </w:pPr>
            <w:r>
              <w:rPr>
                <w:rFonts w:ascii="Arial" w:cs="Arial" w:eastAsia="Arial" w:hAnsi="Arial"/>
                <w:sz w:val="13"/>
                <w:szCs w:val="13"/>
                <w:color w:val="auto"/>
              </w:rPr>
              <w:t>Goods/Activities/Movies</w:t>
            </w:r>
          </w:p>
        </w:tc>
        <w:tc>
          <w:tcPr>
            <w:tcW w:w="1400" w:type="dxa"/>
            <w:vAlign w:val="bottom"/>
          </w:tcPr>
          <w:p>
            <w:pPr>
              <w:ind w:left="120"/>
              <w:spacing w:after="0"/>
              <w:rPr>
                <w:sz w:val="20"/>
                <w:szCs w:val="20"/>
                <w:color w:val="auto"/>
              </w:rPr>
            </w:pPr>
            <w:r>
              <w:rPr>
                <w:rFonts w:ascii="Arial" w:cs="Arial" w:eastAsia="Arial" w:hAnsi="Arial"/>
                <w:sz w:val="13"/>
                <w:szCs w:val="13"/>
                <w:color w:val="auto"/>
              </w:rPr>
              <w:t>(2011)</w:t>
            </w: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5.25%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12/22/2016</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3,696,942</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3,696,942</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3,518,269</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7"/>
              </w:rPr>
              <w:t>Washington Inventory Service</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Business Equipment and</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U.S. Term Loan (First</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Services</w:t>
            </w:r>
          </w:p>
        </w:tc>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Lien)</w:t>
            </w: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5.75%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12/20/2018</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2,000,000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2,029,513</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2,007,500</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Weight Watchers</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Food Products</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Term D Loan</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International, Inc.</w:t>
            </w:r>
          </w:p>
        </w:tc>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2.56%</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6/30/2016</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2,700,529</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2,667,383</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2,701,879</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Wendy’s International,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 Services</w:t>
            </w: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Term Loan</w:t>
            </w:r>
          </w:p>
        </w:tc>
        <w:tc>
          <w:tcPr>
            <w:tcW w:w="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4.75%</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5/15/2019</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997,500</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988,532</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1,006,098</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West Corporation</w:t>
            </w: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Telecommunications</w:t>
            </w:r>
          </w:p>
        </w:tc>
        <w:tc>
          <w:tcPr>
            <w:tcW w:w="1400" w:type="dxa"/>
            <w:vAlign w:val="bottom"/>
          </w:tcPr>
          <w:p>
            <w:pPr>
              <w:ind w:left="120"/>
              <w:spacing w:after="0" w:line="135" w:lineRule="exact"/>
              <w:rPr>
                <w:sz w:val="20"/>
                <w:szCs w:val="20"/>
                <w:color w:val="auto"/>
              </w:rPr>
            </w:pPr>
            <w:r>
              <w:rPr>
                <w:rFonts w:ascii="Arial" w:cs="Arial" w:eastAsia="Arial" w:hAnsi="Arial"/>
                <w:sz w:val="13"/>
                <w:szCs w:val="13"/>
                <w:color w:val="auto"/>
              </w:rPr>
              <w:t>Term B-8 Loan</w:t>
            </w:r>
          </w:p>
        </w:tc>
        <w:tc>
          <w:tcPr>
            <w:tcW w:w="960" w:type="dxa"/>
            <w:vAlign w:val="bottom"/>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4.25%</w:t>
            </w:r>
          </w:p>
        </w:tc>
        <w:tc>
          <w:tcPr>
            <w:tcW w:w="8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6/30/2018</w:t>
            </w:r>
          </w:p>
        </w:tc>
        <w:tc>
          <w:tcPr>
            <w:tcW w:w="5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2,971,535</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3,023,298</w:t>
            </w: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2,978,964</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Wolverine World Wide, Inc.</w:t>
            </w:r>
          </w:p>
        </w:tc>
        <w:tc>
          <w:tcPr>
            <w:tcW w:w="1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Clothing/Textiles</w:t>
            </w:r>
          </w:p>
        </w:tc>
        <w:tc>
          <w:tcPr>
            <w:tcW w:w="1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9"/>
              </w:rPr>
              <w:t>Tranche B Term Loan</w:t>
            </w:r>
          </w:p>
        </w:tc>
        <w:tc>
          <w:tcPr>
            <w:tcW w:w="9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1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4.00%</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10/9/2019</w:t>
            </w:r>
          </w:p>
        </w:tc>
        <w:tc>
          <w:tcPr>
            <w:tcW w:w="5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854,821</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846,633</w:t>
            </w:r>
          </w:p>
        </w:tc>
        <w:tc>
          <w:tcPr>
            <w:tcW w:w="8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861,233</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w w:val="93"/>
              </w:rPr>
              <w:t>Yankee Candle Company, Inc.,</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w w:val="96"/>
              </w:rPr>
              <w:t>Retailers (Except Food and</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rPr>
              <w:t>Initial Term Loan</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ind w:left="180"/>
              <w:spacing w:after="0"/>
              <w:rPr>
                <w:sz w:val="20"/>
                <w:szCs w:val="20"/>
                <w:color w:val="auto"/>
              </w:rPr>
            </w:pPr>
            <w:r>
              <w:rPr>
                <w:rFonts w:ascii="Arial" w:cs="Arial" w:eastAsia="Arial" w:hAnsi="Arial"/>
                <w:sz w:val="13"/>
                <w:szCs w:val="13"/>
                <w:color w:val="auto"/>
              </w:rPr>
              <w:t>The</w:t>
            </w:r>
          </w:p>
        </w:tc>
        <w:tc>
          <w:tcPr>
            <w:tcW w:w="1640" w:type="dxa"/>
            <w:vAlign w:val="bottom"/>
          </w:tcPr>
          <w:p>
            <w:pPr>
              <w:ind w:left="100"/>
              <w:spacing w:after="0"/>
              <w:rPr>
                <w:sz w:val="20"/>
                <w:szCs w:val="20"/>
                <w:color w:val="auto"/>
              </w:rPr>
            </w:pPr>
            <w:r>
              <w:rPr>
                <w:rFonts w:ascii="Arial" w:cs="Arial" w:eastAsia="Arial" w:hAnsi="Arial"/>
                <w:sz w:val="13"/>
                <w:szCs w:val="13"/>
                <w:color w:val="auto"/>
              </w:rPr>
              <w:t>Drugs)</w:t>
            </w: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5.25%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4/2/2019</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2,256,466</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2,236,833</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2,268,877</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BABSN 2007-1A</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Financial Intermediaries</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4"/>
              </w:rPr>
              <w:t>Floating - 01/2021 - D1</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ABS</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- 05617AAA9</w:t>
            </w: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3.55%</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1/18/2021</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1,500,000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1,258,888</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1,050,000</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GALE 2007-3A</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Financial Intermediaries</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w w:val="94"/>
              </w:rPr>
              <w:t>Floating - 04/2021 - E -</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ABS</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363205AA3</w:t>
            </w: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3.80%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4/19/2021</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4,000,000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3,386,571</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2,800,000</w:t>
            </w:r>
          </w:p>
        </w:tc>
      </w:tr>
      <w:tr>
        <w:trPr>
          <w:trHeight w:val="121"/>
        </w:trPr>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KATO 2006-9A</w:t>
            </w:r>
          </w:p>
        </w:tc>
        <w:tc>
          <w:tcPr>
            <w:tcW w:w="16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Financial Intermediaries</w:t>
            </w:r>
          </w:p>
        </w:tc>
        <w:tc>
          <w:tcPr>
            <w:tcW w:w="14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Floating - 01/2019 -</w:t>
            </w:r>
          </w:p>
        </w:tc>
        <w:tc>
          <w:tcPr>
            <w:tcW w:w="96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ABS</w:t>
            </w:r>
          </w:p>
        </w:tc>
        <w:tc>
          <w:tcPr>
            <w:tcW w:w="1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17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B2L - 486010AA9</w:t>
            </w:r>
          </w:p>
        </w:tc>
        <w:tc>
          <w:tcPr>
            <w:tcW w:w="9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3.80%</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1/25/2019</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5,000,000</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4,339,337</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3,500,000</w:t>
            </w:r>
          </w:p>
        </w:tc>
      </w:tr>
      <w:tr>
        <w:trPr>
          <w:trHeight w:val="121"/>
        </w:trPr>
        <w:tc>
          <w:tcPr>
            <w:tcW w:w="1700" w:type="dxa"/>
            <w:vAlign w:val="bottom"/>
          </w:tcPr>
          <w:p>
            <w:pPr>
              <w:spacing w:after="0" w:line="121" w:lineRule="exact"/>
              <w:rPr>
                <w:sz w:val="20"/>
                <w:szCs w:val="20"/>
                <w:color w:val="auto"/>
              </w:rPr>
            </w:pPr>
            <w:r>
              <w:rPr>
                <w:rFonts w:ascii="Arial" w:cs="Arial" w:eastAsia="Arial" w:hAnsi="Arial"/>
                <w:sz w:val="13"/>
                <w:szCs w:val="13"/>
                <w:color w:val="auto"/>
              </w:rPr>
              <w:t>STCLO 2007-6A</w:t>
            </w:r>
          </w:p>
        </w:tc>
        <w:tc>
          <w:tcPr>
            <w:tcW w:w="1640" w:type="dxa"/>
            <w:vAlign w:val="bottom"/>
          </w:tcPr>
          <w:p>
            <w:pPr>
              <w:ind w:left="100"/>
              <w:spacing w:after="0" w:line="121" w:lineRule="exact"/>
              <w:rPr>
                <w:sz w:val="20"/>
                <w:szCs w:val="20"/>
                <w:color w:val="auto"/>
              </w:rPr>
            </w:pPr>
            <w:r>
              <w:rPr>
                <w:rFonts w:ascii="Arial" w:cs="Arial" w:eastAsia="Arial" w:hAnsi="Arial"/>
                <w:sz w:val="13"/>
                <w:szCs w:val="13"/>
                <w:color w:val="auto"/>
              </w:rPr>
              <w:t>Financial Intermediaries</w:t>
            </w:r>
          </w:p>
        </w:tc>
        <w:tc>
          <w:tcPr>
            <w:tcW w:w="1400" w:type="dxa"/>
            <w:vAlign w:val="bottom"/>
          </w:tcPr>
          <w:p>
            <w:pPr>
              <w:ind w:left="120"/>
              <w:spacing w:after="0" w:line="121" w:lineRule="exact"/>
              <w:rPr>
                <w:sz w:val="20"/>
                <w:szCs w:val="20"/>
                <w:color w:val="auto"/>
              </w:rPr>
            </w:pPr>
            <w:r>
              <w:rPr>
                <w:rFonts w:ascii="Arial" w:cs="Arial" w:eastAsia="Arial" w:hAnsi="Arial"/>
                <w:sz w:val="13"/>
                <w:szCs w:val="13"/>
                <w:color w:val="auto"/>
                <w:w w:val="96"/>
              </w:rPr>
              <w:t>Floating - 04/2021 - D-</w:t>
            </w:r>
          </w:p>
        </w:tc>
        <w:tc>
          <w:tcPr>
            <w:tcW w:w="960" w:type="dxa"/>
            <w:vAlign w:val="bottom"/>
          </w:tcPr>
          <w:p>
            <w:pPr>
              <w:ind w:left="100"/>
              <w:spacing w:after="0" w:line="121" w:lineRule="exact"/>
              <w:rPr>
                <w:sz w:val="20"/>
                <w:szCs w:val="20"/>
                <w:color w:val="auto"/>
              </w:rPr>
            </w:pPr>
            <w:r>
              <w:rPr>
                <w:rFonts w:ascii="Arial" w:cs="Arial" w:eastAsia="Arial" w:hAnsi="Arial"/>
                <w:sz w:val="13"/>
                <w:szCs w:val="13"/>
                <w:color w:val="auto"/>
              </w:rPr>
              <w:t>ABS</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9"/>
        </w:trPr>
        <w:tc>
          <w:tcPr>
            <w:tcW w:w="1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86176YAG7</w:t>
            </w:r>
          </w:p>
        </w:tc>
        <w:tc>
          <w:tcPr>
            <w:tcW w:w="960" w:type="dxa"/>
            <w:vAlign w:val="bottom"/>
          </w:tcPr>
          <w:p>
            <w:pPr>
              <w:spacing w:after="0"/>
              <w:rPr>
                <w:sz w:val="12"/>
                <w:szCs w:val="12"/>
                <w:color w:val="auto"/>
              </w:rPr>
            </w:pPr>
          </w:p>
        </w:tc>
        <w:tc>
          <w:tcPr>
            <w:tcW w:w="1180" w:type="dxa"/>
            <w:vAlign w:val="bottom"/>
          </w:tcPr>
          <w:p>
            <w:pPr>
              <w:jc w:val="right"/>
              <w:ind w:right="117"/>
              <w:spacing w:after="0"/>
              <w:rPr>
                <w:sz w:val="20"/>
                <w:szCs w:val="20"/>
                <w:color w:val="auto"/>
              </w:rPr>
            </w:pPr>
            <w:r>
              <w:rPr>
                <w:rFonts w:ascii="Arial" w:cs="Arial" w:eastAsia="Arial" w:hAnsi="Arial"/>
                <w:sz w:val="13"/>
                <w:szCs w:val="13"/>
                <w:color w:val="auto"/>
              </w:rPr>
              <w:t>3.90%</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4/17/2021</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5,000,000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4,054,244</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3,500,000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260" w:type="dxa"/>
            <w:vAlign w:val="bottom"/>
            <w:tcBorders>
              <w:top w:val="single" w:sz="8" w:color="CCEEFF"/>
              <w:bottom w:val="single" w:sz="8" w:color="CCEEFF"/>
            </w:tcBorders>
            <w:shd w:val="clear" w:color="auto" w:fill="CCEEFF"/>
          </w:tcPr>
          <w:p>
            <w:pPr>
              <w:spacing w:after="0"/>
              <w:rPr>
                <w:sz w:val="11"/>
                <w:szCs w:val="11"/>
                <w:color w:val="auto"/>
              </w:rPr>
            </w:pPr>
          </w:p>
        </w:tc>
        <w:tc>
          <w:tcPr>
            <w:tcW w:w="2280" w:type="dxa"/>
            <w:vAlign w:val="bottom"/>
            <w:tcBorders>
              <w:top w:val="single" w:sz="8" w:color="CCEEFF"/>
              <w:bottom w:val="single" w:sz="8" w:color="CCEEFF"/>
            </w:tcBorders>
            <w:shd w:val="clear" w:color="auto" w:fill="CCEEFF"/>
          </w:tcPr>
          <w:p>
            <w:pPr>
              <w:spacing w:after="0"/>
              <w:rPr>
                <w:sz w:val="11"/>
                <w:szCs w:val="11"/>
                <w:color w:val="auto"/>
              </w:rPr>
            </w:pPr>
          </w:p>
        </w:tc>
        <w:tc>
          <w:tcPr>
            <w:tcW w:w="138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70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6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6"/>
              </w:rPr>
              <w:t>379,843,341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b w:val="1"/>
                <w:bCs w:val="1"/>
                <w:color w:val="auto"/>
                <w:w w:val="95"/>
              </w:rPr>
              <w:t>$   374,419,979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gridSpan w:val="2"/>
            <w:vMerge w:val="restart"/>
          </w:tcPr>
          <w:p>
            <w:pPr>
              <w:jc w:val="center"/>
              <w:ind w:right="940"/>
              <w:spacing w:after="0"/>
              <w:rPr>
                <w:sz w:val="20"/>
                <w:szCs w:val="20"/>
                <w:color w:val="auto"/>
              </w:rPr>
            </w:pPr>
            <w:r>
              <w:rPr>
                <w:rFonts w:ascii="Arial" w:cs="Arial" w:eastAsia="Arial" w:hAnsi="Arial"/>
                <w:sz w:val="18"/>
                <w:szCs w:val="18"/>
                <w:color w:val="auto"/>
                <w:w w:val="92"/>
              </w:rPr>
              <w:t>S-6</w:t>
            </w: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5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396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93"/>
              </w:rPr>
              <w:t>Saratoga Investment Corp. CLO 2013-1, Ltd.</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2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87"/>
              </w:rPr>
              <w:t>Statements of Changes in Net Assets</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For the year ended</w:t>
            </w:r>
          </w:p>
        </w:tc>
        <w:tc>
          <w:tcPr>
            <w:tcW w:w="340" w:type="dxa"/>
            <w:vAlign w:val="bottom"/>
          </w:tcPr>
          <w:p>
            <w:pPr>
              <w:spacing w:after="0"/>
              <w:rPr>
                <w:sz w:val="24"/>
                <w:szCs w:val="24"/>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year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For the 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February 28, 2014</w:t>
            </w:r>
          </w:p>
        </w:tc>
        <w:tc>
          <w:tcPr>
            <w:tcW w:w="34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2013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February 29, 2012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FROM OPERATIONS: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Net investment income (loss)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(2,143,630)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1,033,327</w:t>
            </w:r>
          </w:p>
        </w:tc>
        <w:tc>
          <w:tcPr>
            <w:tcW w:w="3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2,368,009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realized gain (loss) from investments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(8,815,296)</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2,532,558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(4,547,952)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tcPr>
          <w:p>
            <w:pPr>
              <w:ind w:left="160"/>
              <w:spacing w:after="0"/>
              <w:rPr>
                <w:sz w:val="20"/>
                <w:szCs w:val="20"/>
                <w:color w:val="auto"/>
              </w:rPr>
            </w:pPr>
            <w:r>
              <w:rPr>
                <w:rFonts w:ascii="Arial" w:cs="Arial" w:eastAsia="Arial" w:hAnsi="Arial"/>
                <w:sz w:val="18"/>
                <w:szCs w:val="18"/>
                <w:color w:val="auto"/>
              </w:rPr>
              <w:t>Net unrealized appreciation (depreciation) on investments</w:t>
            </w:r>
          </w:p>
        </w:tc>
        <w:tc>
          <w:tcPr>
            <w:tcW w:w="1700" w:type="dxa"/>
            <w:vAlign w:val="bottom"/>
          </w:tcPr>
          <w:p>
            <w:pPr>
              <w:jc w:val="right"/>
              <w:spacing w:after="0"/>
              <w:rPr>
                <w:sz w:val="20"/>
                <w:szCs w:val="20"/>
                <w:color w:val="auto"/>
              </w:rPr>
            </w:pPr>
            <w:r>
              <w:rPr>
                <w:rFonts w:ascii="Arial" w:cs="Arial" w:eastAsia="Arial" w:hAnsi="Arial"/>
                <w:sz w:val="18"/>
                <w:szCs w:val="18"/>
                <w:color w:val="auto"/>
              </w:rPr>
              <w:t>6,776,871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3,235,774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(650,241)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Net increase (decrease) in net assets from operations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(4,182,055)</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6,801,659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(2,830,184)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-2335530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-2335530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increase (decrease) in net assets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(4,182,055)</w:t>
            </w:r>
          </w:p>
        </w:tc>
        <w:tc>
          <w:tcPr>
            <w:tcW w:w="6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6,801,659</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(2,830,184)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838,817</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(5,962,842)</w:t>
            </w:r>
          </w:p>
        </w:tc>
        <w:tc>
          <w:tcPr>
            <w:tcW w:w="6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(3,132,658)</w:t>
            </w: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(3,343,238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838,817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(5,962,842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For the year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For the 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For the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February 28, 2014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February 28, 2013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February 29,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line="201" w:lineRule="exact"/>
              <w:rPr>
                <w:sz w:val="20"/>
                <w:szCs w:val="20"/>
                <w:color w:val="auto"/>
              </w:rPr>
            </w:pPr>
            <w:r>
              <w:rPr>
                <w:rFonts w:ascii="Arial" w:cs="Arial" w:eastAsia="Arial" w:hAnsi="Arial"/>
                <w:sz w:val="18"/>
                <w:szCs w:val="18"/>
                <w:color w:val="auto"/>
              </w:rPr>
              <w:t>NET INCREASE (DECREASE) IN NET ASSETS FROM</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(4,182,055)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6,801,659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(2,830,184)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(DECREASE)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NET ASSETS FROM OPERATIONS TO NET CASH</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PROVIDED BY (USED BY) OPERATING ACTIVITIES:</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Paid-in-kind interest income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(10,122)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(223,448)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(568,674)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(1,383,978)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(2,997,514)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994,602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1,015,332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1,016,124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3,442,442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Net realized (gain) loss from investments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8,815,296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(2,532,558)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4,547,952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(6,776,871)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(3,235,774)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Proceeds from sale and redemption of investments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128,190,654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165,363,963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216,319,521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investments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(55,721,381)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(151,267,166)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(208,491,101)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(Increase) decrease in operating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134,033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520"/>
              <w:spacing w:after="0"/>
              <w:rPr>
                <w:sz w:val="20"/>
                <w:szCs w:val="20"/>
                <w:color w:val="auto"/>
              </w:rPr>
            </w:pPr>
            <w:r>
              <w:rPr>
                <w:rFonts w:ascii="Arial" w:cs="Arial" w:eastAsia="Arial" w:hAnsi="Arial"/>
                <w:sz w:val="18"/>
                <w:szCs w:val="18"/>
                <w:color w:val="auto"/>
              </w:rPr>
              <w:t>Receivable from open trades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3,330,272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4,915,102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(10,046,640)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(91,336)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Increase (decrease) in operating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Payable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520"/>
              <w:spacing w:after="0"/>
              <w:rPr>
                <w:sz w:val="20"/>
                <w:szCs w:val="20"/>
                <w:color w:val="auto"/>
              </w:rPr>
            </w:pPr>
            <w:r>
              <w:rPr>
                <w:rFonts w:ascii="Arial" w:cs="Arial" w:eastAsia="Arial" w:hAnsi="Arial"/>
                <w:sz w:val="18"/>
                <w:szCs w:val="18"/>
                <w:color w:val="auto"/>
              </w:rPr>
              <w:t>Payable for open trades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(6,901,250)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(8,510,897)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(293,957)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base management fee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520"/>
              <w:spacing w:after="0"/>
              <w:rPr>
                <w:sz w:val="20"/>
                <w:szCs w:val="20"/>
                <w:color w:val="auto"/>
              </w:rPr>
            </w:pPr>
            <w:r>
              <w:rPr>
                <w:rFonts w:ascii="Arial" w:cs="Arial" w:eastAsia="Arial" w:hAnsi="Arial"/>
                <w:sz w:val="18"/>
                <w:szCs w:val="18"/>
                <w:color w:val="auto"/>
              </w:rPr>
              <w:t>Accrued subordinated management fee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(97,629)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(9,382)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CASH PROVIDED BY (USED BY)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70,546,218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10,989,789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(2,072,499)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Borrowings on debt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277,711,620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Paydowns on debt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(366,793,378)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Deferred debt financing costs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(2,250,398)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(91,332,156)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CASH AND CASH</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(20,785,938)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10,989,789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28,804,871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17,815,082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19,887,581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8,018,933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28,804,871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17,815,082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11,722,159</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15,773,621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14,355,520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Supplemental non-cash information: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Paid-in-kind interest income</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10,122</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Net accretion of discount on investments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568,674</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1,383,978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2,997,514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debt financing costs</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994,602</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1,015,332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1,016,124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Purpose</w:t>
      </w:r>
    </w:p>
    <w:p>
      <w:pPr>
        <w:sectPr>
          <w:pgSz w:w="11900" w:h="16838" w:orient="portrait"/>
          <w:cols w:equalWidth="0" w:num="1">
            <w:col w:w="11420"/>
          </w:cols>
          <w:pgMar w:left="240" w:top="140" w:right="239" w:bottom="0" w:gutter="0" w:footer="0" w:header="0"/>
        </w:sectPr>
      </w:pPr>
    </w:p>
    <w:bookmarkStart w:id="89" w:name="page90"/>
    <w:bookmarkEnd w:id="89"/>
    <w:p>
      <w:pPr>
        <w:ind w:right="140" w:firstLine="648"/>
        <w:spacing w:after="0" w:line="264" w:lineRule="auto"/>
        <w:rPr>
          <w:sz w:val="20"/>
          <w:szCs w:val="20"/>
          <w:color w:val="auto"/>
        </w:rPr>
      </w:pPr>
      <w:r>
        <w:rPr>
          <w:rFonts w:ascii="Arial" w:cs="Arial" w:eastAsia="Arial" w:hAnsi="Arial"/>
          <w:sz w:val="18"/>
          <w:szCs w:val="18"/>
          <w:color w:val="auto"/>
        </w:rPr>
        <w:t>Saratoga Investment Corp. CLO 2013-1, Ltd. (the “Issuer”, “we”, “our”, “us”, “CLO” and “Saratoga CLO”), an exempted company with limited liability incorporated under the laws of the Cayman Islands was formed on November 28, 2007 and commenced operations on January 22, 2008. The Issuer was established to acquire or participate in U.S. dollar-denominated corporate debt obligations.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January 22, 2008, the Issuer issued $400.0 million of notes, consisting of Class A Floating Rate Senior Notes, Class B Floating Rate Senior Notes, Class C Deferrable Floating Rate Notes, Class D Deferrable Floating Rate Notes, Class E Deferrable Floating Rate Notes (collectively the “Secured Notes”), and Subordinated Notes. The notes were issued pursuant to an indenture, dated January 22, 2008 (the “Indenture”), with U.S. Bank National Association (the “Trustee”) servicing as the Trustee there under.</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October 17, 2013, in a refinancing transaction, the Issuer issued $284.9 million of notes (the “2013-1 CLO Notes”), consisting of Class X Floating Rate Senior Notes, Class A-1 Floating Rate Senior Notes, Class A-2 Floating Rate Senior Notes, Class B Floating Rate Senior Notes, Class C Deferrable Floating Rate Notes, Class D Deferrable Floating Rate Notes, Class E Deferrable Floating Rate Notes, and Class F Deferrable Floating Rate Notes. The 2013-1 CLO Notes were issued pursuant to the Indenture with the same Trustee. Proceeds of the issuance of the 2013-1 CLO Notes were used, along with existing assets held by the Trustee, to redeem all of the Secured Notes issued in 2008. As of February 28, 2014, Saratoga Investment Corp. owned 100% of the Subordinated Notes of the CLO.</w:t>
      </w:r>
    </w:p>
    <w:p>
      <w:pPr>
        <w:spacing w:after="0" w:line="193"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Pursuant to an investment management agreement (the “Investment Management Agreement”), Saratoga Investment Corp. (the “Investment Manager”), provides investment management services to the Issuer, and makes day-to-day investment decisions concerning the assets of the Issuer. The Investment Manager also performs certain administrative services on behalf of the Issuer under the Investment Management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accompanying financial statements have been prepared in accordance with U.S. generally accepted accounting principles (“U.S. GAAP”) and are stated in U.S. dollars. The following is a summary of the significant accounting policies followed by the Issuer in the preparation of its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preparation of the financial statements in conformity with U.S. GAAP requires the Investment Manager to make estimates and assumptions that affect the reported amounts of assets and liabilities at the date of the financial statements, including the fair value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investments, and the amounts of income and expenses during the reporting period. Actual results could differ from these estimates and such differences could be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Issuer defines cash and cash equivalents as highly liquid financial instruments with original maturities of three months or less. Cash and cash equivalents may include investments in money market mutual funds, which are carried at fair value. At February 28, 2014 and February 28, 2013, cash and cash equivalents amounted to $8.0 million and $28.8 million, respectively, and are swept on an overnight basis into a money market deposit account and invested in shares of JP Morgan Liquidity Institutional fund held at the Trustee.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Investments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Issuer accounts for its investments at fair value in accordance with the Financial Accounting Standards Board (“FASB”) Accounting Standards Codification (“ASC”) Topic 820, Fair Value Measurements and Disclosures (“ASC 820”). ASC 820 defines fair value, establishes a framework for measuring fair value, establishes a fair value hierarchy based on the quality of inputs used to measure fair value and enhances disclosure requirements for fair value measurements. ASC 820 requires the Issuer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the Investment Manager to approve a fair value determination to reflect significant events affecting the value of these investments. The Investment Manager values investments for which market quotations are not readily available at fair value. Determinations of fair value may involve significant judgments and estimates. The types of factors that may be considered in determining the fair value of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are ultimately realized upon the disposal of such investments.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bookmarkStart w:id="90" w:name="page91"/>
    <w:bookmarkEnd w:id="90"/>
    <w:p>
      <w:pPr>
        <w:spacing w:after="0" w:line="9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Transactions and Income Recognition</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Issuer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the Investment Manager’s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Paid-in-Kind Interest</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Issuer holds debt investments in its portfolio that contain a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Debt Financing Costs, net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Included in deferred debt financing costs of $2.2 million as of February 28, 2014 are structuring fees of the investment bank, rating agency fees and legal fees associated with the issuance of the 2013-1 CLO Notes on October 17, 2013. Such costs have been capitalized and amortized using an effective yield method, over the life of the related notes.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Deferred debt financing costs of $1.6 million, incurred in connection with the issuance of the Secured Notes, were expensed when the Secured Notes were extinguished on October 17, 2013.</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Deferred debt financing cost of $2.1 million as of February 28, 2013 included structuring fees of the investment bank, rating agency fees and legal fees associated with the associated with the establishment of the Issuer in 2007. Such costs have been capitalized and amortized using an effective yield method, over the life of the facility.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Issuer is externally managed by the Investment Manager pursuant to the Investment Management Agreement. As compensation for the performance of its obligations under the Investment Management Agreement, the Investment Manager is entitled to receive from the Issuer a base management fee (the “Base Management Fee”), a subordinated management fee (the “Subordinated Management Fee”) and an incentive management fee (the “Incentive Management Fee”). The Base Management Fee is payable in arrears quarterly (subject to availability of funds and to the satisfaction of payment obligations on the debt obligations of the Issuer (the “Priority of Payments”) in an amount equal to 0.25% per annum of the Fee Basis Amount at the beginning of the Collection Period. The Subordinated Management Fee is payable in arrears quarterly (subject to availability of funds and to the Priority of Payments) in an amount equal to 0.25% per annum of the Fee Basis Amount at the beginning of the Collection Period. The Incentive Management Fee equals 20% of the remaining interest proceeds and principal proceeds, if any, after the Subordinated Notes have realized the incentive management fee target return of 12.0%, in accordance with the Priority of Payments after making the prior distributions on the relevant payment date. For the years ended February 28, 2014 and 2013, and February 29, 2012, no Incentive Management Fee’s have been paid.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Issuer bears its own organizational and offering expenses, all expenses related to its investment program and expenses incurred in connection with its operations including, but not limited to, external legal, administrative, trustee, accounting, tax and audit expenses, costs related to trading, acquiring, monitoring or disposing of investments of the Issuer, and interest and other borrowing expenses, expenses of preparing and distributing reports, financial statements, and litigation or other extraordinary expenses. The Issuer has retained the Trustee to provide trustee services. Additionally, the Trustee performs loan administration, debt covenant compliance calculations, and monitoring and reporting services. For the years ended February 28, 2014 and 2013, and February 29, 2012, the Issuer paid $0.1 million, $0.1 million and $0.1 million, respectively, for trustee services provided and is included in other expenses in the Statement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Issuer has issued rated and unrated notes to finance its operations. Interest on debt is calculated by the Trustee for the Issuer. Interest is accrued and generally paid quarterly. For the years ended February 28, 2014 and 2013, and February 29, 2012, $5.7 million, $8.8 million and $7.9 million of</w:t>
      </w:r>
    </w:p>
    <w:p>
      <w:pPr>
        <w:sectPr>
          <w:pgSz w:w="11900" w:h="16935" w:orient="portrait"/>
          <w:cols w:equalWidth="0" w:num="1">
            <w:col w:w="11420"/>
          </w:cols>
          <w:pgMar w:left="240" w:top="368" w:right="239" w:bottom="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payments to the Subordinated Notes were included in interest expense in the Statement of Operations,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the ordinary course of its business, the Issuer manages a variety of risks, including market risk and credit risk. Market risk is the risk of potential adverse changes to the value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because of changes in market conditions such as interest rate movements and volatility in investment prices.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Issuer is also exposed to credit risk related to maintaining all of its cash and cash equivalents, including those in reserve accounts, at a major financial institution.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Issuer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noted above, the Issuer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Issuer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Issuer has the ability to access.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firstLine="332"/>
        <w:spacing w:after="0" w:line="277" w:lineRule="auto"/>
        <w:tabs>
          <w:tab w:leader="none" w:pos="612"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consensus pricing information or broker quotes which include a disclaimer that the broker would not be held to such a price in an actual transaction. The non-binding nature of consensus pricing and/or quotes accompanied by disclaimer would result in classification as Level 3 asset, assuming no additional corroborating evidence.</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to using the above inputs in investment valuations, the Issuer continues to employ the valuation policy that is consistent with ASC 820 and the 1940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fair value measurements of investments, by major class, as of February 28, 2014, according to the fair value hierarchy:</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Fair Value Measurements</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10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138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spacing w:after="0"/>
              <w:rPr>
                <w:sz w:val="12"/>
                <w:szCs w:val="12"/>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297,872,178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2,618,899</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300,491,077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297,872,178</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2,618,899</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300,491,077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fair value measurements of investments, by major class, as of February 28, 2013, according to the fair value hierarchy:</w:t>
      </w:r>
    </w:p>
    <w:p>
      <w:pPr>
        <w:sectPr>
          <w:pgSz w:w="11900" w:h="16838" w:orient="portrait"/>
          <w:cols w:equalWidth="0" w:num="1">
            <w:col w:w="11420"/>
          </w:cols>
          <w:pgMar w:left="240" w:top="125" w:right="239" w:bottom="0" w:gutter="0" w:footer="0" w:header="0"/>
        </w:sectPr>
      </w:pPr>
    </w:p>
    <w:bookmarkStart w:id="92" w:name="page93"/>
    <w:bookmarkEnd w:id="92"/>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Fair Value Measurements</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138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spacing w:after="0"/>
              <w:rPr>
                <w:sz w:val="12"/>
                <w:szCs w:val="12"/>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358,237,074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4,256,932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362,494,006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10,850,000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10,850,000</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5,410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1,070,563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1,075,973</w:t>
            </w:r>
          </w:p>
        </w:tc>
        <w:tc>
          <w:tcPr>
            <w:tcW w:w="100" w:type="dxa"/>
            <w:vAlign w:val="bottom"/>
            <w:shd w:val="clear" w:color="auto" w:fill="CCEEFF"/>
          </w:tcPr>
          <w:p>
            <w:pPr>
              <w:spacing w:after="0"/>
              <w:rPr>
                <w:sz w:val="18"/>
                <w:szCs w:val="18"/>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5,410</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358,237,074</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16,177,495</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374,419,979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Transfers into or out of Level 1, 2 or 3 are recognized at the reporting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balances for investments that use Level 3 inputs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Term Loans</w:t>
            </w:r>
          </w:p>
        </w:tc>
        <w:tc>
          <w:tcPr>
            <w:tcW w:w="160" w:type="dxa"/>
            <w:vAlign w:val="bottom"/>
          </w:tcPr>
          <w:p>
            <w:pPr>
              <w:spacing w:after="0"/>
              <w:rPr>
                <w:sz w:val="14"/>
                <w:szCs w:val="14"/>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Structured Finance</w:t>
            </w:r>
          </w:p>
        </w:tc>
        <w:tc>
          <w:tcPr>
            <w:tcW w:w="160" w:type="dxa"/>
            <w:vAlign w:val="bottom"/>
          </w:tcPr>
          <w:p>
            <w:pPr>
              <w:spacing w:after="0"/>
              <w:rPr>
                <w:sz w:val="14"/>
                <w:szCs w:val="14"/>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Equity Interest</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4,256,932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(45,982)</w:t>
            </w: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2,189,036</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(394,438)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34,872</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203,167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Sales and redemptions</w:t>
            </w: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(408,133)</w:t>
            </w:r>
          </w:p>
        </w:tc>
        <w:tc>
          <w:tcPr>
            <w:tcW w:w="16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(13,846,450)</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(181,476)</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from investments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604,247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(494,649)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transfers in and/or out of Level 3(1)</w:t>
            </w: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(1,321,184)</w:t>
            </w: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2014</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2,618,899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328"/>
        <w:spacing w:after="0" w:line="277" w:lineRule="auto"/>
        <w:tabs>
          <w:tab w:leader="none" w:pos="6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Issuer’s investment in Tectum Holdings Inc. was transferred into Level 2 during the year ended February, 28, 2014, as the reliability of market quotes became available for this investment and have been subsequently used for valuation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balances for investments that use Level 3 inputs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Term Loans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Structured Finance</w:t>
            </w:r>
          </w:p>
        </w:tc>
        <w:tc>
          <w:tcPr>
            <w:tcW w:w="20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Equity Interest</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Securities</w:t>
            </w: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29, 2012</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14,507,600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(102,541)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(126,657)</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4,018,668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219,455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Sales and redemptions</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(74,141)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(4,000,000)</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from investments</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249,602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transfers in and/or out of Level 3(2)</w:t>
            </w:r>
          </w:p>
        </w:tc>
        <w:tc>
          <w:tcPr>
            <w:tcW w:w="2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388,325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2013</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4,256,932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328"/>
        <w:spacing w:after="0" w:line="312" w:lineRule="auto"/>
        <w:tabs>
          <w:tab w:leader="none" w:pos="66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Issuer’s investment in PATS Aircraft, LLC was transferred into Level 3 during the year ended February, 28, 2013 due to changes in liquidity. These changes impacted the Investment Manager’s ability to obtain observable market information. Accordingly, the determination of fair value for this investment required significant management judgment and estimation, resulting in a Level 3 classification for the year ended February 28, 2013.</w:t>
      </w:r>
    </w:p>
    <w:p>
      <w:pPr>
        <w:spacing w:after="0" w:line="1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Transfers into or out of Level 3 are recognized at the reporting date.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net unrealized loss on level 3 investments held as of February 28, 2014 and February 28, 2013, was $0.02 million and $1.8 million, respectively, and is included in net unrealized appreciation on investments in the Statements of Operations.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2013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820" w:type="dxa"/>
            <w:vAlign w:val="bottom"/>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300" w:type="dxa"/>
            <w:vAlign w:val="bottom"/>
          </w:tcPr>
          <w:p>
            <w:pPr>
              <w:spacing w:after="0"/>
              <w:rPr>
                <w:sz w:val="14"/>
                <w:szCs w:val="14"/>
                <w:color w:val="auto"/>
              </w:rPr>
            </w:pPr>
          </w:p>
        </w:tc>
        <w:tc>
          <w:tcPr>
            <w:tcW w:w="2100" w:type="dxa"/>
            <w:vAlign w:val="bottom"/>
            <w:gridSpan w:val="2"/>
          </w:tcPr>
          <w:p>
            <w:pPr>
              <w:ind w:left="280"/>
              <w:spacing w:after="0"/>
              <w:rPr>
                <w:sz w:val="20"/>
                <w:szCs w:val="20"/>
                <w:color w:val="auto"/>
              </w:rPr>
            </w:pPr>
            <w:r>
              <w:rPr>
                <w:rFonts w:ascii="Arial" w:cs="Arial" w:eastAsia="Arial" w:hAnsi="Arial"/>
                <w:sz w:val="14"/>
                <w:szCs w:val="14"/>
                <w:b w:val="1"/>
                <w:bCs w:val="1"/>
                <w:color w:val="auto"/>
              </w:rPr>
              <w:t>Unobservable Input</w:t>
            </w:r>
          </w:p>
        </w:tc>
        <w:tc>
          <w:tcPr>
            <w:tcW w:w="1700" w:type="dxa"/>
            <w:vAlign w:val="bottom"/>
            <w:gridSpan w:val="2"/>
          </w:tcPr>
          <w:p>
            <w:pPr>
              <w:ind w:left="60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4,256,932</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Yield Analysis</w:t>
            </w:r>
          </w:p>
        </w:tc>
        <w:tc>
          <w:tcPr>
            <w:tcW w:w="2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Market Yield</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7.7%-17.0%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10,850,000</w:t>
            </w: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Yield Analysis</w:t>
            </w:r>
          </w:p>
        </w:tc>
        <w:tc>
          <w:tcPr>
            <w:tcW w:w="2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Market Yield</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8.9%-10.7%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1,070,563</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w:t>
            </w:r>
          </w:p>
        </w:tc>
        <w:tc>
          <w:tcPr>
            <w:tcW w:w="2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EBITDA Multiples</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5.5x-8.0x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Significant unobservable inputs used in the fair value measurement of the Issuer’s term loans and structured finance securities include comparable market yields. For investments utilizing a yield analysis valuation technique, a significant increase (decrease) in the market yield, in isolation, would result in a significantly lower (higher) fair value measurement.</w:t>
      </w:r>
    </w:p>
    <w:p>
      <w:pPr>
        <w:sectPr>
          <w:pgSz w:w="11900" w:h="16850" w:orient="portrait"/>
          <w:cols w:equalWidth="0" w:num="1">
            <w:col w:w="11420"/>
          </w:cols>
          <w:pgMar w:left="240" w:top="118" w:right="239" w:bottom="0" w:gutter="0" w:footer="0" w:header="0"/>
        </w:sectPr>
      </w:pPr>
    </w:p>
    <w:bookmarkStart w:id="93" w:name="page94"/>
    <w:bookmarkEnd w:id="9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Generally, a change in the assumption for comparable yields is accompanied by a directionally opposite change in the assumption used for pricing.</w:t>
      </w:r>
    </w:p>
    <w:p>
      <w:pPr>
        <w:spacing w:after="0" w:line="237"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Significant unobservable inputs used in the fair value measurement of the Issuer’s equity interests include EBITDA multiples. For investments utilizing EBITDA multiples, a significant increase (decrease) in the EBITDA multiple, in isolation, would result in a significant higher (lower) fair value measurement.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Financing</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January 22, 2008, the Issuer issued $400.0 million of notes, consisting of Class A Floating Rate Senior Notes, Class B Floating Rate Senior Notes, Class C Deferrable Floating Rate Notes, Class D Deferrable Floating Rate Notes, Class E Deferrable Floating Rate Notes (collectively the “Secured Notes”), and Subordinated Notes. The notes were issued pursuant to the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Secured Notes are limited recourse obligations of the Issuer. The Subordinated Notes are unsecured, limited recourse debt obligations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11"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On October 17, 2013, the Issuer issued $284.9 million of notes (the “2013-1 CLO Notes”), consisting of Class X Floating Rate Senior Notes, Class A-1 Floating Rate Senior Notes, Class A-2 Floating Rate Senior Notes, Class B Floating Rate Senior Notes, Class C Deferrable Floating Rate Notes, Class D Deferrable Floating Rate Notes, Class E Deferrable Floating Rate Notes, and Class F Deferrable Floating Rate Notes. The 2013-1 CLO Notes were issued pursuant to the Indenture with the same Trustee. Proceeds of the issuance of the 2013-1 CLO Notes were used along with existing assets held by the Trustee to redeem all of the Secured Notes issued in 2008. The Subordinated Notes were not included in the refinancing transaction.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2013-1 CLO Notes are limited recourse obligations of the Issuer. The Subordinated Notes are unsecured, limited recourse debt obligations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11"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relative order of seniority of payment of each class of securities is, as follows: first, Class X Notes, second, Class A-1 Notes, third, Class A-2 Notes, fourth, Class B Notes, fifth, Class C Notes, sixth, Class D Notes, seventh, Class E Notes, eighth, Class F Notes, and ninth, the Subordinated Notes, with (a) each class of securities (other than the Subordinated Notes) in such list being senior to each other class of securities that follows such class of securities in such list and (b) each class of securities (other than the Class X Notes) in such list being subordinate to each other class of securities that precedes such class of securities in such list. The Subordinated Notes are subordinated to the 2013-1 CLO Notes and are entitled to periodic payments from interest proceeds available in accordance with the Priority of Payments.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certain information for each outstanding class of notes issued, pursuant to the Indenture on October 17, 2013,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Debt Security</w:t>
            </w:r>
          </w:p>
        </w:tc>
        <w:tc>
          <w:tcPr>
            <w:tcW w:w="200" w:type="dxa"/>
            <w:vAlign w:val="bottom"/>
          </w:tcPr>
          <w:p>
            <w:pPr>
              <w:spacing w:after="0"/>
              <w:rPr>
                <w:sz w:val="14"/>
                <w:szCs w:val="14"/>
                <w:color w:val="auto"/>
              </w:rPr>
            </w:pPr>
          </w:p>
        </w:tc>
        <w:tc>
          <w:tcPr>
            <w:tcW w:w="19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Interest Rate</w:t>
            </w:r>
          </w:p>
        </w:tc>
        <w:tc>
          <w:tcPr>
            <w:tcW w:w="1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Principal</w:t>
            </w:r>
          </w:p>
        </w:tc>
        <w:tc>
          <w:tcPr>
            <w:tcW w:w="300" w:type="dxa"/>
            <w:vAlign w:val="bottom"/>
          </w:tcPr>
          <w:p>
            <w:pPr>
              <w:spacing w:after="0"/>
              <w:rPr>
                <w:sz w:val="14"/>
                <w:szCs w:val="14"/>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3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X Floating Rate Senior Notes</w:t>
            </w: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LIBOR + 1.05%</w:t>
            </w: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20, 2023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Class A-1 Floating Rate Senior Notes</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LIBOR + 1.30%</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October 20, 2023</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170,000,000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170,000,000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Class A-2 Floating Rate Senior Notes</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LIBOR + 1.50%</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October 20, 2023</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20,000,000</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Class B Floating Rate Senior Notes</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LIBOR + 2.00%</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October 20, 2023</w:t>
            </w: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44,800,000</w:t>
            </w:r>
          </w:p>
        </w:tc>
        <w:tc>
          <w:tcPr>
            <w:tcW w:w="3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44,800,000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Class C Deferrable Floating Rate Notes</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LIBOR + 2.90%</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October 20, 2023</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16,000,000</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Class D Deferrable Floating Rate Notes</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LIBOR + 3.50%</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October 20, 2023</w:t>
            </w: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14,000,000</w:t>
            </w:r>
          </w:p>
        </w:tc>
        <w:tc>
          <w:tcPr>
            <w:tcW w:w="3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Class E Deferrable Floating Rate Notes</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LIBOR + 4.50%</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October 20, 2023</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13,100,000</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Class F Deferrable Floating Rate Notes</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LIBOR + 5.75%</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October 20, 2023</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4,500,000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October 20, 2023</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30,000,000</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314,900,000</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314,066,666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certain information for each outstanding class of notes issued, pursuant to the Indenture on January 22, 2008,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 Security</w:t>
            </w:r>
          </w:p>
        </w:tc>
        <w:tc>
          <w:tcPr>
            <w:tcW w:w="19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Interest Rate</w:t>
            </w:r>
          </w:p>
        </w:tc>
        <w:tc>
          <w:tcPr>
            <w:tcW w:w="1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Principal</w:t>
            </w:r>
          </w:p>
        </w:tc>
        <w:tc>
          <w:tcPr>
            <w:tcW w:w="30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Floating Rate Senior Notes</w:t>
            </w: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LIBOR + 0.75%</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21, 2020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296,000,000</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296,000,000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Class B Floating Rate Senior Notes</w:t>
            </w:r>
          </w:p>
        </w:tc>
        <w:tc>
          <w:tcPr>
            <w:tcW w:w="1940" w:type="dxa"/>
            <w:vAlign w:val="bottom"/>
            <w:gridSpan w:val="2"/>
          </w:tcPr>
          <w:p>
            <w:pPr>
              <w:spacing w:after="0"/>
              <w:rPr>
                <w:sz w:val="20"/>
                <w:szCs w:val="20"/>
                <w:color w:val="auto"/>
              </w:rPr>
            </w:pPr>
            <w:r>
              <w:rPr>
                <w:rFonts w:ascii="Arial" w:cs="Arial" w:eastAsia="Arial" w:hAnsi="Arial"/>
                <w:sz w:val="18"/>
                <w:szCs w:val="18"/>
                <w:color w:val="auto"/>
              </w:rPr>
              <w:t>LIBOR + 2.50%</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January 21, 2020</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22,000,000</w:t>
            </w:r>
          </w:p>
        </w:tc>
        <w:tc>
          <w:tcPr>
            <w:tcW w:w="3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Deferrable Floating Rate Notes</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+ 3.75%</w:t>
            </w:r>
          </w:p>
        </w:tc>
        <w:tc>
          <w:tcPr>
            <w:tcW w:w="1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January 21, 2020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14,000,000</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Class D Deferrable Floating Rate Notes</w:t>
            </w:r>
          </w:p>
        </w:tc>
        <w:tc>
          <w:tcPr>
            <w:tcW w:w="1940" w:type="dxa"/>
            <w:vAlign w:val="bottom"/>
            <w:gridSpan w:val="2"/>
          </w:tcPr>
          <w:p>
            <w:pPr>
              <w:spacing w:after="0"/>
              <w:rPr>
                <w:sz w:val="20"/>
                <w:szCs w:val="20"/>
                <w:color w:val="auto"/>
              </w:rPr>
            </w:pPr>
            <w:r>
              <w:rPr>
                <w:rFonts w:ascii="Arial" w:cs="Arial" w:eastAsia="Arial" w:hAnsi="Arial"/>
                <w:sz w:val="18"/>
                <w:szCs w:val="18"/>
                <w:color w:val="auto"/>
              </w:rPr>
              <w:t>LIBOR + 4.70%</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January 21, 2020</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16,000,000</w:t>
            </w:r>
          </w:p>
        </w:tc>
        <w:tc>
          <w:tcPr>
            <w:tcW w:w="3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E Deferrable Floating Rate Notes</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+ 6.45%</w:t>
            </w:r>
          </w:p>
        </w:tc>
        <w:tc>
          <w:tcPr>
            <w:tcW w:w="1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January 21, 2020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22,000,000</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17,960,044</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January 21, 2020</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30,000,000</w:t>
            </w:r>
          </w:p>
        </w:tc>
        <w:tc>
          <w:tcPr>
            <w:tcW w:w="3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341" w:right="239" w:bottom="0" w:gutter="0" w:footer="0" w:header="0"/>
        </w:sectPr>
      </w:pPr>
    </w:p>
    <w:bookmarkStart w:id="94" w:name="page95"/>
    <w:bookmarkEnd w:id="94"/>
    <w:p>
      <w:pPr>
        <w:ind w:left="7860"/>
        <w:spacing w:after="0"/>
        <w:tabs>
          <w:tab w:leader="none" w:pos="8440" w:val="left"/>
          <w:tab w:leader="none" w:pos="9540" w:val="left"/>
          <w:tab w:leader="none" w:pos="10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400,000,000</w:t>
        <w:tab/>
        <w:t>$</w:t>
      </w:r>
      <w:r>
        <w:rPr>
          <w:sz w:val="20"/>
          <w:szCs w:val="20"/>
          <w:color w:val="auto"/>
        </w:rPr>
        <w:tab/>
      </w:r>
      <w:r>
        <w:rPr>
          <w:rFonts w:ascii="Arial" w:cs="Arial" w:eastAsia="Arial" w:hAnsi="Arial"/>
          <w:sz w:val="16"/>
          <w:szCs w:val="16"/>
          <w:color w:val="auto"/>
        </w:rPr>
        <w:t>395,960,044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each outstanding class of notes issued, pursuant to the Indenture, at fair value at February 28,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Debt Security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February 28, 2014</w:t>
            </w:r>
          </w:p>
        </w:tc>
      </w:tr>
      <w:tr>
        <w:trPr>
          <w:trHeight w:val="210"/>
        </w:trPr>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X Floating Rate Senior Notes</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1,664,666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Class A-1 Floating Rate 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168,878,000</w:t>
            </w:r>
          </w:p>
        </w:tc>
        <w:tc>
          <w:tcPr>
            <w:tcW w:w="12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A-2 Floating Rate Senior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20,000,000</w:t>
            </w: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Class B Floating Rate 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44,679,040</w:t>
            </w: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Deferrable Floating Rate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15,944,000</w:t>
            </w: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Class D Deferrable Floating Rate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13,766,200</w:t>
            </w: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E Deferrable Floating Rate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12,481,680</w:t>
            </w: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Class F Deferrable Floating Rate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4,398,300</w:t>
            </w:r>
          </w:p>
        </w:tc>
        <w:tc>
          <w:tcPr>
            <w:tcW w:w="12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19,569,596</w:t>
            </w:r>
          </w:p>
        </w:tc>
      </w:tr>
      <w:tr>
        <w:trPr>
          <w:trHeight w:val="210"/>
        </w:trPr>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301,381,482</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These notes are fair valued based on a discounted cash flow model, specifically using Intex cash flow models, to form the basis for the valuation and would be classified as level 3 liabilities within the fair value hierarchy.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each outstanding class of notes issued, pursuant to the Indenture, at fair value at February 28,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gridSpan w:val="2"/>
          </w:tcPr>
          <w:p>
            <w:pPr>
              <w:spacing w:after="0"/>
              <w:rPr>
                <w:sz w:val="20"/>
                <w:szCs w:val="20"/>
                <w:color w:val="auto"/>
              </w:rPr>
            </w:pPr>
            <w:r>
              <w:rPr>
                <w:rFonts w:ascii="Arial" w:cs="Arial" w:eastAsia="Arial" w:hAnsi="Arial"/>
                <w:sz w:val="14"/>
                <w:szCs w:val="14"/>
                <w:b w:val="1"/>
                <w:bCs w:val="1"/>
                <w:color w:val="auto"/>
              </w:rPr>
              <w:t>Debt Security</w:t>
            </w: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February 28, 2013</w:t>
            </w:r>
          </w:p>
        </w:tc>
      </w:tr>
      <w:tr>
        <w:trPr>
          <w:trHeight w:val="210"/>
        </w:trPr>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Floating Rate Senior Notes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292,879,007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Class B Floating Rate Senior Notes</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22,900,917</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Deferrable Floating Rate Notes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14,592,983</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Class D Deferrable Floating Rate Notes</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16,414,949</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E Deferrable Floating Rate Notes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17,999,348</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25,516,959</w:t>
            </w:r>
          </w:p>
        </w:tc>
      </w:tr>
      <w:tr>
        <w:trPr>
          <w:trHeight w:val="210"/>
        </w:trPr>
        <w:tc>
          <w:tcPr>
            <w:tcW w:w="7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390,304,163</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weighted average interest rate for the years ended February 28, 2014, February 28, 2013 and February 29, 2012: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 Security</w:t>
            </w:r>
          </w:p>
        </w:tc>
        <w:tc>
          <w:tcPr>
            <w:tcW w:w="18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Interest Rate</w:t>
            </w:r>
          </w:p>
        </w:tc>
        <w:tc>
          <w:tcPr>
            <w:tcW w:w="336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w w:val="93"/>
              </w:rPr>
              <w:t>Weighted Average Interest Rate</w:t>
            </w: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February 28, 2014</w:t>
            </w:r>
          </w:p>
        </w:tc>
        <w:tc>
          <w:tcPr>
            <w:tcW w:w="17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February 28, 2013</w:t>
            </w:r>
          </w:p>
        </w:tc>
        <w:tc>
          <w:tcPr>
            <w:tcW w:w="13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February 29, 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2013-1 CLO Notes</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X Floating Rate Senior Notes</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LIBOR + 1.05%</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1.29%</w:t>
            </w:r>
          </w:p>
        </w:tc>
        <w:tc>
          <w:tcPr>
            <w:tcW w:w="1720" w:type="dxa"/>
            <w:vAlign w:val="bottom"/>
            <w:gridSpan w:val="3"/>
          </w:tcPr>
          <w:p>
            <w:pPr>
              <w:ind w:left="106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A-1 Floating Rate Senior Notes</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LIBOR + 1.30%</w:t>
            </w:r>
          </w:p>
        </w:tc>
        <w:tc>
          <w:tcPr>
            <w:tcW w:w="16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1.54%</w:t>
            </w:r>
          </w:p>
        </w:tc>
        <w:tc>
          <w:tcPr>
            <w:tcW w:w="172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A-2 Floating Rate Senior Notes</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LIBOR + 1.50%</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1.74%</w:t>
            </w:r>
          </w:p>
        </w:tc>
        <w:tc>
          <w:tcPr>
            <w:tcW w:w="1720" w:type="dxa"/>
            <w:vAlign w:val="bottom"/>
            <w:gridSpan w:val="3"/>
          </w:tcPr>
          <w:p>
            <w:pPr>
              <w:ind w:left="106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LIBOR + 2.00%</w:t>
            </w:r>
          </w:p>
        </w:tc>
        <w:tc>
          <w:tcPr>
            <w:tcW w:w="16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2.24%</w:t>
            </w:r>
          </w:p>
        </w:tc>
        <w:tc>
          <w:tcPr>
            <w:tcW w:w="172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LIBOR + 2.90%</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3.14%</w:t>
            </w:r>
          </w:p>
        </w:tc>
        <w:tc>
          <w:tcPr>
            <w:tcW w:w="1720" w:type="dxa"/>
            <w:vAlign w:val="bottom"/>
            <w:gridSpan w:val="3"/>
          </w:tcPr>
          <w:p>
            <w:pPr>
              <w:ind w:left="106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LIBOR + 3.50%</w:t>
            </w:r>
          </w:p>
        </w:tc>
        <w:tc>
          <w:tcPr>
            <w:tcW w:w="16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3.74%</w:t>
            </w:r>
          </w:p>
        </w:tc>
        <w:tc>
          <w:tcPr>
            <w:tcW w:w="172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LIBOR + 4.50%</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4.74%</w:t>
            </w:r>
          </w:p>
        </w:tc>
        <w:tc>
          <w:tcPr>
            <w:tcW w:w="1720" w:type="dxa"/>
            <w:vAlign w:val="bottom"/>
            <w:gridSpan w:val="3"/>
          </w:tcPr>
          <w:p>
            <w:pPr>
              <w:ind w:left="106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Deferrable Floating Rate Notes</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LIBOR + 5.75%</w:t>
            </w:r>
          </w:p>
        </w:tc>
        <w:tc>
          <w:tcPr>
            <w:tcW w:w="16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5.99%</w:t>
            </w:r>
          </w:p>
        </w:tc>
        <w:tc>
          <w:tcPr>
            <w:tcW w:w="172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880" w:type="dxa"/>
            <w:vAlign w:val="bottom"/>
            <w:gridSpan w:val="2"/>
          </w:tcPr>
          <w:p>
            <w:pPr>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720" w:type="dxa"/>
            <w:vAlign w:val="bottom"/>
            <w:gridSpan w:val="3"/>
          </w:tcPr>
          <w:p>
            <w:pPr>
              <w:ind w:left="106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Secured Notes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A Floating Rate Senior Notes</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LIBOR + 0.75%</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1.03%</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w w:val="90"/>
              </w:rPr>
              <w:t>1.12%</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LIBOR + 2.50%</w:t>
            </w:r>
          </w:p>
        </w:tc>
        <w:tc>
          <w:tcPr>
            <w:tcW w:w="16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2.78%</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0"/>
              </w:rPr>
              <w:t>2.87%</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LIBOR + 3.75%</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4.03%</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w w:val="90"/>
              </w:rPr>
              <w:t>4.12%</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LIBOR + 4.70%</w:t>
            </w:r>
          </w:p>
        </w:tc>
        <w:tc>
          <w:tcPr>
            <w:tcW w:w="16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4.98%</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5.10%</w:t>
            </w: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0"/>
              </w:rPr>
              <w:t>5.07%</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LIBOR + 6.45%</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6.73%</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20"/>
                <w:szCs w:val="20"/>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w w:val="90"/>
              </w:rPr>
              <w:t>6.82%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Indenture provides that payments on the Subordinated Notes shall rank subordinate in priority of payment to payments due on all classes of 2013-1 CLO Notes and subordinate in priority of payment to the payment of fees and expenses. Distributions on the Subordinated Notes are limited to the assets of the Issuer remaining after payment of all of the liabilities of the Issuer that rank senior in priority of payment to the Subordinated Notes. To the extent that the proceeds from the collateral are not sufficient to make distributions on the Subordinated Notes the Issuer will have no further obligation in respect of the Subordinated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sectPr>
          <w:pgSz w:w="11900" w:h="16838" w:orient="portrait"/>
          <w:cols w:equalWidth="0" w:num="1">
            <w:col w:w="11420"/>
          </w:cols>
          <w:pgMar w:left="240" w:top="125" w:right="239" w:bottom="185" w:gutter="0" w:footer="0" w:header="0"/>
        </w:sectPr>
      </w:pPr>
    </w:p>
    <w:bookmarkStart w:id="95" w:name="page96"/>
    <w:bookmarkEnd w:id="95"/>
    <w:p>
      <w:pPr>
        <w:ind w:right="280" w:firstLine="648"/>
        <w:spacing w:after="0" w:line="277" w:lineRule="auto"/>
        <w:rPr>
          <w:sz w:val="20"/>
          <w:szCs w:val="20"/>
          <w:color w:val="auto"/>
        </w:rPr>
      </w:pPr>
      <w:r>
        <w:rPr>
          <w:rFonts w:ascii="Arial" w:cs="Arial" w:eastAsia="Arial" w:hAnsi="Arial"/>
          <w:sz w:val="18"/>
          <w:szCs w:val="18"/>
          <w:color w:val="auto"/>
        </w:rPr>
        <w:t>Interest proceeds and, after the 2013-1 CLO Notes have been paid in full, principal proceeds, in each case will be distributed to the holders of the Subordinated Notes in accordance with the Indenture.</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Distributions, if any, on the Subordinated Notes will be payable quarterly on the 20th day of each January, April, July and October of each calendar year or, if any such day is not a business day, on the next succeeding business day (each, a “Payment Date”), commencing on the first Payment Date, and on January 21, 2020 (or if any such day is not a business day, the next succeeding business day) (the “Stated Redemption Date”) (if not redeemed prior to such date) sequentially in order of seniority. At the Stated Redemption Date, the Subordinated Notes will be redeemed after payment in full of all of the 2013-1 CLO Notes and the payment of all administrative and other fees and expenses. The failure to pay interest proceeds or principal proceeds to the holders of the Subordinated Notes will not be an event of default under the Indenture.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of 2009, the Issuer defaulted on its Class E overcollateralization ratio of 105.10%, at which point, $4.0 million of interest proceeds were used to repay the Class E Notes through November 2009. Interest on the Class C, Class D, and Class E Notes was deferred and repaid in January of 2010 upon the Issuer’s return to compliance. Distributions to the Subordinated Notes resumed in April of 2010.</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February 28, 2014, the remaining unamortized discount on the Class X, Class A-1 Notes, Class A-2 Notes, Class B Notes, Class C Notes, Class D Notes, Class E Notes, and Class F Notes were $0.0 million, $1.7 million, $0.2 million, $1.1 million, $0.7 million, $0.9 million, $1.7 million and $0.6 million, respectively.</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remaining unamortized deferred debt financing costs, on the Secured Notes, of $1.6 million, and unamortized discount on the Secured Notes of $1.8 million, were recognized as additional amortization expense when the related notes were extinguished and recorded within loss on extinguishment of debt in the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Under the current laws, the Issuer is not subject to net income taxation in the United States or the Cayman Islands. Accordingly, no provision for income taxes has been made in the accompanying financial statements.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Pursuant to ASC Topic 740,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the Issuer adopted the provisions of FASB relating to accounting for uncertainty in income taxes which clarifies the accounting for income taxes by prescribing the minimum recognition threshold a tax position must meet before being recognized in the financial statements and applies to all open tax years as of the effective date. The Investment Manager has analyzed such tax positions for uncertain tax positions for tax years that may be open (2011 — 2014). The Issuer identifies its major tax jurisdictions as U.S. Federal, state and foreign jurisdictions where the Issuer makes investments. As of February 28, 2014 and 2013, there was no impact to the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the Issuer’s accounting for uncertainty in income taxes. The Issuer does not have any unrecognized tax benefits or liabilities for the years ended February 28, 2014 and 2013, and February 29, 2012. Also, the Issuer recognizes interest and, if applicable, penalties for any uncertain tax positions, as a component of income tax expense. No interest or penalty expense was recorded by the Issuer for the years ended February 28, 2014 and 2013, and February 29,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the ordinary course of its business, the Issuer may enter into contracts or agreements that contain indemnifications or warranties. Future events could occur that lead to the execution of these provisions against the Issuer. Based on its history and experience, the Investment Manager feels that the likelihood of such an event is remote.</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the ordinary course of business, the Issuer may directly or indirectly be a defendant or plaintiff in legal actions with respect to bankruptcy, insolvency or other types of proceedings. Such lawsuits may involve claims that could adversely affect the value of certain financial instruments owned by the Issuer. As of February 28, 2014 and 2013, the Issuer is not subject to any material legal proceedings.</w:t>
      </w:r>
    </w:p>
    <w:p>
      <w:pPr>
        <w:spacing w:after="0" w:line="181"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The terms of Collateralized Debt Investments may require the Issuer to provide funding for any unfunded portion of a Collateralized Debt Investment at the request of the borrower. At February 28, 2014 and 2013, the Issuer had no unfunded commitments.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Related-Party Transactions</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 the ordinary course of business and as permitted per the terms of the Indenture, the Issuer may acquire or sell investments to or from related parties at the fair value at such time. For the years ended February 28, 2014 and 2013, and February 29, 2012, the Issuer bought no investments from related parties and sold investments fair valued at $0.3 million, $0.0 million and $15.6 million, respectively, to the Investment Manager.</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Subordinated Notes are wholly owned by the Investment Manager. The Subordinated Notes do not have a stated coupon rates, but are entitled to residual cash flows from the CLO’s investments after all of the other tranches of debt and certain other fees and expenses are paid. For the years ended February 28, 2014 and 2013, and February 29, 2012, $5.7 million, $8.8 million, and $7.9 million of payments to the Subordinated Notes were included in interest expense in the Statement of Operations,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Capital</w:t>
      </w:r>
    </w:p>
    <w:p>
      <w:pPr>
        <w:spacing w:after="0" w:line="229"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Capital contributions and distributions shall be made at such time and in such amounts as determined by the Investment Manager and the Indenture.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125" w:right="259" w:bottom="0" w:gutter="0" w:footer="0" w:header="0"/>
        </w:sectPr>
      </w:pPr>
    </w:p>
    <w:bookmarkStart w:id="96" w:name="page97"/>
    <w:bookmarkEnd w:id="9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The majority holder of the Subordinated Notes has various control rights over the CLO, including the ability to call the CLO prior to its legal maturity, replace the Investment Manager under certain circumstances, and refinance any of the outstanding debt tranches. The voting structure of the Subordinated Notes may require either majority or unanimous approval depending upon the issue.</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authorized share capital of the Issuer consists of 50,000 ordinary shares, 250 of which are owned by Maples Finance Limited and are held under the terms of a declaration of trust.</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February 28, 2014 and February 28, 2013, net assets were $(3.3) million and $0.8 million, respectively. These amounts include accumulated gains of $0.8 million and accumulated losses of $(6.0) million, respectively, which includes cumulative net investment income or loss, cumulative amounts of gains and losses realized from investment transactions, net unrealized appreciation or depreciation of investments, as well as the cumulative effect of accounting mismatches between investments accounted for at fair value and amortized cost or accrual-basis assets and liabilities as discussed in Significant Accounting Policies, above. The Issuer’s investments continue to generate sufficient liquidity to satisfy its obligations on periodic payment dates as well as comply with all performance criteria as of the Statements of Assets and Liabilities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financial highlights for the years ended February 28, 2014 and 2013 and February 29, 2012:</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February 28,</w:t>
            </w:r>
          </w:p>
        </w:tc>
        <w:tc>
          <w:tcPr>
            <w:tcW w:w="18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February 28,</w:t>
            </w:r>
          </w:p>
        </w:tc>
        <w:tc>
          <w:tcPr>
            <w:tcW w:w="20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February 29,</w:t>
            </w:r>
          </w:p>
        </w:tc>
      </w:tr>
      <w:tr>
        <w:trPr>
          <w:trHeight w:val="171"/>
        </w:trPr>
        <w:tc>
          <w:tcPr>
            <w:tcW w:w="5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Average subordinated notes’ capital balance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28,471,910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27,165,497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20,808,673</w:t>
            </w:r>
          </w:p>
        </w:tc>
        <w:tc>
          <w:tcPr>
            <w:tcW w:w="16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Ratio and supplemental data:</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Return (2)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investment income (3)</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11.38%</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(3)</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65.27%</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Base management fee (3)</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 (3)</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0" w:hanging="332"/>
        <w:spacing w:after="0" w:line="277" w:lineRule="auto"/>
        <w:tabs>
          <w:tab w:leader="none" w:pos="3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Subordinated notes’ capital balance is calculated based on the sum of the subordinated notes outstanding amount and total net assets, net of ordinary equity.</w:t>
      </w:r>
    </w:p>
    <w:p>
      <w:pPr>
        <w:spacing w:after="0" w:line="170" w:lineRule="exact"/>
        <w:rPr>
          <w:rFonts w:ascii="Arial" w:cs="Arial" w:eastAsia="Arial" w:hAnsi="Arial"/>
          <w:sz w:val="18"/>
          <w:szCs w:val="18"/>
          <w:color w:val="auto"/>
        </w:rPr>
      </w:pPr>
    </w:p>
    <w:p>
      <w:pPr>
        <w:ind w:left="340" w:right="20" w:hanging="332"/>
        <w:spacing w:after="0" w:line="264" w:lineRule="auto"/>
        <w:tabs>
          <w:tab w:leader="none" w:pos="3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Total return is calculated based on a time-weighted rate of return methodology. Quarterly rates of return are compounded to derive the total return reflected above. Total return is calculated for the subordinated notes’ capital taken as a whole and assumes the purchase of the subordinated notes’ capital on the first day of the period and the sale of the last day of the period.</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Calculated based on the average subordinated notes’ capital balance.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Investment Manager has evaluated events or transactions that have occurred since February 28, 2014 through May 27, 2014, the date the financial statements were available for issuance. The Investment Manager has determined that there are no material events that would require the disclosure in the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Saratoga Investment Corp.;</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440" w:firstLine="656"/>
        <w:spacing w:after="0" w:line="277" w:lineRule="auto"/>
        <w:tabs>
          <w:tab w:leader="none" w:pos="12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ind w:left="660" w:right="360" w:firstLine="645"/>
        <w:spacing w:after="0" w:line="286" w:lineRule="auto"/>
        <w:tabs>
          <w:tab w:leader="none" w:pos="1954" w:val="left"/>
        </w:tabs>
        <w:numPr>
          <w:ilvl w:val="1"/>
          <w:numId w:val="8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0" w:firstLine="645"/>
        <w:spacing w:after="0" w:line="342" w:lineRule="auto"/>
        <w:tabs>
          <w:tab w:leader="none" w:pos="1967"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60" w:firstLine="645"/>
        <w:spacing w:after="0" w:line="264" w:lineRule="auto"/>
        <w:tabs>
          <w:tab w:leader="none" w:pos="1964"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560" w:firstLine="656"/>
        <w:spacing w:after="0" w:line="342" w:lineRule="auto"/>
        <w:tabs>
          <w:tab w:leader="none" w:pos="1296"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660" w:right="240" w:firstLine="645"/>
        <w:spacing w:after="0" w:line="308" w:lineRule="auto"/>
        <w:tabs>
          <w:tab w:leader="none" w:pos="1954"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64"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27, 2014</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CHRISTIAN L. OBERBECK</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Henri J. Steenkamp, certify that:</w:t>
      </w:r>
    </w:p>
    <w:p>
      <w:pPr>
        <w:spacing w:after="0" w:line="225"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Saratoga Investment Corp.;</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440" w:firstLine="656"/>
        <w:spacing w:after="0" w:line="277" w:lineRule="auto"/>
        <w:tabs>
          <w:tab w:leader="none" w:pos="12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ind w:left="660" w:right="360" w:firstLine="645"/>
        <w:spacing w:after="0" w:line="286" w:lineRule="auto"/>
        <w:tabs>
          <w:tab w:leader="none" w:pos="1954"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0" w:firstLine="645"/>
        <w:spacing w:after="0" w:line="342" w:lineRule="auto"/>
        <w:tabs>
          <w:tab w:leader="none" w:pos="1967"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60" w:firstLine="645"/>
        <w:spacing w:after="0" w:line="264" w:lineRule="auto"/>
        <w:tabs>
          <w:tab w:leader="none" w:pos="196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560" w:firstLine="656"/>
        <w:spacing w:after="0" w:line="342" w:lineRule="auto"/>
        <w:tabs>
          <w:tab w:leader="none" w:pos="1296"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660" w:right="240" w:firstLine="645"/>
        <w:spacing w:after="0" w:line="308" w:lineRule="auto"/>
        <w:tabs>
          <w:tab w:leader="none" w:pos="1954"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6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27, 2014</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HENRI J. STEENKAMP</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-130810</wp:posOffset>
            </wp:positionV>
            <wp:extent cx="35674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Interim Chief Financial Officer and Interim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Annual Report on Form 10-K of Saratoga Investment Corp. (the “Company”) for the annual period ended February 28, 2014, as filed with the Securities Exchange Commission on the date hereof (the “Report”), I, Christian L. Oberbeck, Chief Executive Officer of the Company, and I, Henri J. Steenkamp, Interim Chief Financial Officer of the Company, each certify, pursuant to Section 906 of the Sarbanes-Oxley Act of 2002, that to our knowledge:</w:t>
      </w:r>
    </w:p>
    <w:p>
      <w:pPr>
        <w:spacing w:after="0" w:line="187" w:lineRule="exact"/>
        <w:rPr>
          <w:sz w:val="20"/>
          <w:szCs w:val="20"/>
          <w:color w:val="auto"/>
        </w:rPr>
      </w:pPr>
    </w:p>
    <w:p>
      <w:pPr>
        <w:ind w:left="840" w:hanging="184"/>
        <w:spacing w:after="0"/>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Date: May 27, 2014</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CHRISTIAN L. OBERBECK</w:t>
            </w:r>
          </w:p>
        </w:tc>
        <w:tc>
          <w:tcPr>
            <w:tcW w:w="40" w:type="dxa"/>
            <w:vAlign w:val="bottom"/>
          </w:tcPr>
          <w:p>
            <w:pPr>
              <w:spacing w:after="0"/>
              <w:rPr>
                <w:sz w:val="20"/>
                <w:szCs w:val="20"/>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Christian L. Oberbeck</w:t>
            </w:r>
          </w:p>
        </w:tc>
        <w:tc>
          <w:tcPr>
            <w:tcW w:w="4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40" w:type="dxa"/>
            <w:vAlign w:val="bottom"/>
          </w:tcPr>
          <w:p>
            <w:pPr>
              <w:spacing w:after="0"/>
              <w:rPr>
                <w:sz w:val="20"/>
                <w:szCs w:val="20"/>
                <w:color w:val="auto"/>
              </w:rPr>
            </w:pPr>
          </w:p>
        </w:tc>
      </w:tr>
      <w:tr>
        <w:trPr>
          <w:trHeight w:val="432"/>
        </w:trPr>
        <w:tc>
          <w:tcPr>
            <w:tcW w:w="5780" w:type="dxa"/>
            <w:vAlign w:val="bottom"/>
          </w:tcPr>
          <w:p>
            <w:pPr>
              <w:spacing w:after="0"/>
              <w:rPr>
                <w:sz w:val="24"/>
                <w:szCs w:val="24"/>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HENRI J. STEENKAMP</w:t>
            </w:r>
          </w:p>
        </w:tc>
        <w:tc>
          <w:tcPr>
            <w:tcW w:w="40" w:type="dxa"/>
            <w:vAlign w:val="bottom"/>
          </w:tcPr>
          <w:p>
            <w:pPr>
              <w:spacing w:after="0"/>
              <w:rPr>
                <w:sz w:val="24"/>
                <w:szCs w:val="24"/>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Henri J. Steenkamp</w:t>
            </w:r>
          </w:p>
        </w:tc>
        <w:tc>
          <w:tcPr>
            <w:tcW w:w="40" w:type="dxa"/>
            <w:vAlign w:val="bottom"/>
          </w:tcPr>
          <w:p>
            <w:pPr>
              <w:spacing w:after="0"/>
              <w:rPr>
                <w:sz w:val="16"/>
                <w:szCs w:val="16"/>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i w:val="1"/>
                <w:iCs w:val="1"/>
                <w:color w:val="auto"/>
              </w:rPr>
              <w:t>Interim Chief Financial Officer and Interim Chief Compliance Officer</w:t>
            </w:r>
          </w:p>
        </w:tc>
        <w:tc>
          <w:tcPr>
            <w:tcW w:w="40" w:type="dxa"/>
            <w:vAlign w:val="bottom"/>
          </w:tcPr>
          <w:p>
            <w:pPr>
              <w:spacing w:after="0"/>
              <w:rPr>
                <w:sz w:val="20"/>
                <w:szCs w:val="20"/>
                <w:color w:val="auto"/>
              </w:rPr>
            </w:pPr>
          </w:p>
        </w:tc>
      </w:tr>
      <w:tr>
        <w:trPr>
          <w:trHeight w:val="348"/>
        </w:trPr>
        <w:tc>
          <w:tcPr>
            <w:tcW w:w="578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o"/>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lvl w:ilvl="1">
      <w:lvlJc w:val="left"/>
      <w:lvlText w:val="%2"/>
      <w:numFmt w:val="upperLetter"/>
      <w:start w:val="1"/>
    </w:lvl>
    <w:lvl w:ilvl="2">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1)"/>
      <w:numFmt w:val="decimal"/>
      <w:start w:val="2"/>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1)"/>
      <w:numFmt w:val="decimal"/>
      <w:start w:val="1"/>
    </w:lvl>
    <w:lvl w:ilvl="1">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1)"/>
      <w:numFmt w:val="decimal"/>
      <w:start w:val="1"/>
    </w:lvl>
    <w:lvl w:ilvl="1">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235BA861"/>
    <w:multiLevelType w:val="hybridMultilevel"/>
    <w:lvl w:ilvl="0">
      <w:lvlJc w:val="left"/>
      <w:lvlText w:val="(%1)"/>
      <w:numFmt w:val="decimal"/>
      <w:start w:val="4"/>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1)"/>
      <w:numFmt w:val="decimal"/>
      <w:start w:val="2"/>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lvl w:ilvl="1">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2"/>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5"/>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Letter"/>
      <w:start w:val="7"/>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decimal"/>
      <w:start w:val="5"/>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decimal"/>
      <w:start w:val="2"/>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2019-12-07T14:06:00Z</dcterms:created>
  <dcterms:modified xsi:type="dcterms:W3CDTF">2019-12-07T14:06:00Z</dcterms:modified>
</cp:coreProperties>
</file>