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257175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9"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22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November 30, 2015</w:t>
      </w:r>
    </w:p>
    <w:p>
      <w:pPr>
        <w:spacing w:after="0" w:line="243"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22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001-33376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240665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45" w:lineRule="exact"/>
        <w:rPr>
          <w:sz w:val="24"/>
          <w:szCs w:val="24"/>
          <w:color w:val="auto"/>
        </w:rPr>
      </w:pPr>
    </w:p>
    <w:p>
      <w:pPr>
        <w:jc w:val="center"/>
        <w:ind w:right="20"/>
        <w:spacing w:after="0"/>
        <w:rPr>
          <w:sz w:val="20"/>
          <w:szCs w:val="20"/>
          <w:color w:val="auto"/>
        </w:rPr>
      </w:pPr>
      <w:r>
        <w:rPr>
          <w:rFonts w:ascii="Arial" w:cs="Arial" w:eastAsia="Arial" w:hAnsi="Arial"/>
          <w:sz w:val="43"/>
          <w:szCs w:val="43"/>
          <w:b w:val="1"/>
          <w:bCs w:val="1"/>
          <w:color w:val="auto"/>
        </w:rPr>
        <w:t>SARATOGA INVESTMENT CORP.</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227965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720" w:type="dxa"/>
        <w:tblCellMar>
          <w:top w:w="0" w:type="dxa"/>
          <w:left w:w="0" w:type="dxa"/>
          <w:bottom w:w="0" w:type="dxa"/>
          <w:right w:w="0" w:type="dxa"/>
        </w:tblCellMar>
      </w:tblPr>
      <w:tr>
        <w:trPr>
          <w:trHeight w:val="212"/>
        </w:trPr>
        <w:tc>
          <w:tcPr>
            <w:tcW w:w="2360" w:type="dxa"/>
            <w:vAlign w:val="bottom"/>
          </w:tcPr>
          <w:p>
            <w:pPr>
              <w:jc w:val="center"/>
              <w:spacing w:after="0"/>
              <w:rPr>
                <w:sz w:val="20"/>
                <w:szCs w:val="20"/>
                <w:color w:val="auto"/>
              </w:rPr>
            </w:pPr>
            <w:r>
              <w:rPr>
                <w:rFonts w:ascii="Arial" w:cs="Arial" w:eastAsia="Arial" w:hAnsi="Arial"/>
                <w:sz w:val="18"/>
                <w:szCs w:val="18"/>
                <w:b w:val="1"/>
                <w:bCs w:val="1"/>
                <w:color w:val="auto"/>
                <w:w w:val="98"/>
              </w:rPr>
              <w:t>Maryland</w:t>
            </w:r>
          </w:p>
        </w:tc>
        <w:tc>
          <w:tcPr>
            <w:tcW w:w="5140" w:type="dxa"/>
            <w:vAlign w:val="bottom"/>
          </w:tcPr>
          <w:p>
            <w:pPr>
              <w:jc w:val="right"/>
              <w:ind w:right="59"/>
              <w:spacing w:after="0"/>
              <w:rPr>
                <w:sz w:val="20"/>
                <w:szCs w:val="20"/>
                <w:color w:val="auto"/>
              </w:rPr>
            </w:pPr>
            <w:r>
              <w:rPr>
                <w:rFonts w:ascii="Arial" w:cs="Arial" w:eastAsia="Arial" w:hAnsi="Arial"/>
                <w:sz w:val="18"/>
                <w:szCs w:val="18"/>
                <w:b w:val="1"/>
                <w:bCs w:val="1"/>
                <w:color w:val="auto"/>
              </w:rPr>
              <w:t>20-8700615</w:t>
            </w:r>
          </w:p>
        </w:tc>
      </w:tr>
      <w:tr>
        <w:trPr>
          <w:trHeight w:val="149"/>
        </w:trPr>
        <w:tc>
          <w:tcPr>
            <w:tcW w:w="2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5140" w:type="dxa"/>
            <w:vAlign w:val="bottom"/>
          </w:tcPr>
          <w:p>
            <w:pPr>
              <w:jc w:val="center"/>
              <w:ind w:left="3939"/>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2360" w:type="dxa"/>
            <w:vAlign w:val="bottom"/>
          </w:tcPr>
          <w:p>
            <w:pPr>
              <w:jc w:val="center"/>
              <w:spacing w:after="0"/>
              <w:rPr>
                <w:sz w:val="20"/>
                <w:szCs w:val="20"/>
                <w:color w:val="auto"/>
              </w:rPr>
            </w:pPr>
            <w:r>
              <w:rPr>
                <w:rFonts w:ascii="Arial" w:cs="Arial" w:eastAsia="Arial" w:hAnsi="Arial"/>
                <w:sz w:val="14"/>
                <w:szCs w:val="14"/>
                <w:b w:val="1"/>
                <w:bCs w:val="1"/>
                <w:color w:val="auto"/>
                <w:w w:val="94"/>
              </w:rPr>
              <w:t>incorporation or organization)</w:t>
            </w:r>
          </w:p>
        </w:tc>
        <w:tc>
          <w:tcPr>
            <w:tcW w:w="5140" w:type="dxa"/>
            <w:vAlign w:val="bottom"/>
          </w:tcPr>
          <w:p>
            <w:pPr>
              <w:jc w:val="center"/>
              <w:ind w:left="3919"/>
              <w:spacing w:after="0"/>
              <w:rPr>
                <w:sz w:val="20"/>
                <w:szCs w:val="20"/>
                <w:color w:val="auto"/>
              </w:rPr>
            </w:pPr>
            <w:r>
              <w:rPr>
                <w:rFonts w:ascii="Arial" w:cs="Arial" w:eastAsia="Arial" w:hAnsi="Arial"/>
                <w:sz w:val="14"/>
                <w:szCs w:val="14"/>
                <w:b w:val="1"/>
                <w:bCs w:val="1"/>
                <w:color w:val="auto"/>
                <w:w w:val="96"/>
              </w:rPr>
              <w:t>Identification No.)</w:t>
            </w:r>
          </w:p>
        </w:tc>
      </w:tr>
      <w:tr>
        <w:trPr>
          <w:trHeight w:val="426"/>
        </w:trPr>
        <w:tc>
          <w:tcPr>
            <w:tcW w:w="2360" w:type="dxa"/>
            <w:vAlign w:val="bottom"/>
          </w:tcPr>
          <w:p>
            <w:pPr>
              <w:jc w:val="center"/>
              <w:spacing w:after="0"/>
              <w:rPr>
                <w:sz w:val="20"/>
                <w:szCs w:val="20"/>
                <w:color w:val="auto"/>
              </w:rPr>
            </w:pPr>
            <w:r>
              <w:rPr>
                <w:rFonts w:ascii="Arial" w:cs="Arial" w:eastAsia="Arial" w:hAnsi="Arial"/>
                <w:sz w:val="18"/>
                <w:szCs w:val="18"/>
                <w:b w:val="1"/>
                <w:bCs w:val="1"/>
                <w:color w:val="auto"/>
                <w:w w:val="88"/>
              </w:rPr>
              <w:t>535 Madison Avenue</w:t>
            </w:r>
          </w:p>
        </w:tc>
        <w:tc>
          <w:tcPr>
            <w:tcW w:w="5140" w:type="dxa"/>
            <w:vAlign w:val="bottom"/>
          </w:tcPr>
          <w:p>
            <w:pPr>
              <w:spacing w:after="0"/>
              <w:rPr>
                <w:sz w:val="24"/>
                <w:szCs w:val="24"/>
                <w:color w:val="auto"/>
              </w:rPr>
            </w:pPr>
          </w:p>
        </w:tc>
      </w:tr>
      <w:tr>
        <w:trPr>
          <w:trHeight w:val="212"/>
        </w:trPr>
        <w:tc>
          <w:tcPr>
            <w:tcW w:w="2360" w:type="dxa"/>
            <w:vAlign w:val="bottom"/>
          </w:tcPr>
          <w:p>
            <w:pPr>
              <w:jc w:val="center"/>
              <w:spacing w:after="0"/>
              <w:rPr>
                <w:sz w:val="20"/>
                <w:szCs w:val="20"/>
                <w:color w:val="auto"/>
              </w:rPr>
            </w:pPr>
            <w:r>
              <w:rPr>
                <w:rFonts w:ascii="Arial" w:cs="Arial" w:eastAsia="Arial" w:hAnsi="Arial"/>
                <w:sz w:val="18"/>
                <w:szCs w:val="18"/>
                <w:b w:val="1"/>
                <w:bCs w:val="1"/>
                <w:color w:val="auto"/>
                <w:w w:val="93"/>
              </w:rPr>
              <w:t>New York, New York</w:t>
            </w:r>
          </w:p>
        </w:tc>
        <w:tc>
          <w:tcPr>
            <w:tcW w:w="5140" w:type="dxa"/>
            <w:vAlign w:val="bottom"/>
          </w:tcPr>
          <w:p>
            <w:pPr>
              <w:jc w:val="right"/>
              <w:ind w:right="259"/>
              <w:spacing w:after="0"/>
              <w:rPr>
                <w:sz w:val="20"/>
                <w:szCs w:val="20"/>
                <w:color w:val="auto"/>
              </w:rPr>
            </w:pPr>
            <w:r>
              <w:rPr>
                <w:rFonts w:ascii="Arial" w:cs="Arial" w:eastAsia="Arial" w:hAnsi="Arial"/>
                <w:sz w:val="18"/>
                <w:szCs w:val="18"/>
                <w:b w:val="1"/>
                <w:bCs w:val="1"/>
                <w:color w:val="auto"/>
              </w:rPr>
              <w:t>10022</w:t>
            </w:r>
          </w:p>
        </w:tc>
      </w:tr>
      <w:tr>
        <w:trPr>
          <w:trHeight w:val="186"/>
        </w:trPr>
        <w:tc>
          <w:tcPr>
            <w:tcW w:w="2360" w:type="dxa"/>
            <w:vAlign w:val="bottom"/>
          </w:tcPr>
          <w:p>
            <w:pPr>
              <w:jc w:val="center"/>
              <w:spacing w:after="0"/>
              <w:rPr>
                <w:sz w:val="20"/>
                <w:szCs w:val="20"/>
                <w:color w:val="auto"/>
              </w:rPr>
            </w:pPr>
            <w:r>
              <w:rPr>
                <w:rFonts w:ascii="Arial" w:cs="Arial" w:eastAsia="Arial" w:hAnsi="Arial"/>
                <w:sz w:val="14"/>
                <w:szCs w:val="14"/>
                <w:b w:val="1"/>
                <w:bCs w:val="1"/>
                <w:color w:val="auto"/>
                <w:w w:val="92"/>
              </w:rPr>
              <w:t>(Address of principal executive office)</w:t>
            </w:r>
          </w:p>
        </w:tc>
        <w:tc>
          <w:tcPr>
            <w:tcW w:w="5140" w:type="dxa"/>
            <w:vAlign w:val="bottom"/>
          </w:tcPr>
          <w:p>
            <w:pPr>
              <w:jc w:val="center"/>
              <w:ind w:left="3919"/>
              <w:spacing w:after="0"/>
              <w:rPr>
                <w:sz w:val="20"/>
                <w:szCs w:val="20"/>
                <w:color w:val="auto"/>
              </w:rPr>
            </w:pPr>
            <w:r>
              <w:rPr>
                <w:rFonts w:ascii="Arial" w:cs="Arial" w:eastAsia="Arial" w:hAnsi="Arial"/>
                <w:sz w:val="14"/>
                <w:szCs w:val="14"/>
                <w:b w:val="1"/>
                <w:bCs w:val="1"/>
                <w:color w:val="auto"/>
                <w:w w:val="95"/>
              </w:rPr>
              <w:t>(Zip Code)</w:t>
            </w:r>
          </w:p>
        </w:tc>
      </w:tr>
      <w:tr>
        <w:trPr>
          <w:trHeight w:val="394"/>
        </w:trPr>
        <w:tc>
          <w:tcPr>
            <w:tcW w:w="2360" w:type="dxa"/>
            <w:vAlign w:val="bottom"/>
          </w:tcPr>
          <w:p>
            <w:pPr>
              <w:spacing w:after="0"/>
              <w:rPr>
                <w:sz w:val="24"/>
                <w:szCs w:val="24"/>
                <w:color w:val="auto"/>
              </w:rPr>
            </w:pPr>
          </w:p>
        </w:tc>
        <w:tc>
          <w:tcPr>
            <w:tcW w:w="5140" w:type="dxa"/>
            <w:vAlign w:val="bottom"/>
          </w:tcPr>
          <w:p>
            <w:pPr>
              <w:jc w:val="center"/>
              <w:ind w:right="1779"/>
              <w:spacing w:after="0"/>
              <w:rPr>
                <w:sz w:val="20"/>
                <w:szCs w:val="20"/>
                <w:color w:val="auto"/>
              </w:rPr>
            </w:pPr>
            <w:r>
              <w:rPr>
                <w:rFonts w:ascii="Arial" w:cs="Arial" w:eastAsia="Arial" w:hAnsi="Arial"/>
                <w:sz w:val="18"/>
                <w:szCs w:val="18"/>
                <w:b w:val="1"/>
                <w:bCs w:val="1"/>
                <w:color w:val="auto"/>
                <w:w w:val="90"/>
              </w:rPr>
              <w:t>(212) 906-7800</w:t>
            </w:r>
          </w:p>
        </w:tc>
      </w:tr>
      <w:tr>
        <w:trPr>
          <w:trHeight w:val="186"/>
        </w:trPr>
        <w:tc>
          <w:tcPr>
            <w:tcW w:w="2360" w:type="dxa"/>
            <w:vAlign w:val="bottom"/>
          </w:tcPr>
          <w:p>
            <w:pPr>
              <w:spacing w:after="0"/>
              <w:rPr>
                <w:sz w:val="16"/>
                <w:szCs w:val="16"/>
                <w:color w:val="auto"/>
              </w:rPr>
            </w:pPr>
          </w:p>
        </w:tc>
        <w:tc>
          <w:tcPr>
            <w:tcW w:w="5140" w:type="dxa"/>
            <w:vAlign w:val="bottom"/>
          </w:tcPr>
          <w:p>
            <w:pPr>
              <w:jc w:val="center"/>
              <w:ind w:right="1799"/>
              <w:spacing w:after="0"/>
              <w:rPr>
                <w:sz w:val="20"/>
                <w:szCs w:val="20"/>
                <w:color w:val="auto"/>
              </w:rPr>
            </w:pPr>
            <w:r>
              <w:rPr>
                <w:rFonts w:ascii="Arial" w:cs="Arial" w:eastAsia="Arial" w:hAnsi="Arial"/>
                <w:sz w:val="14"/>
                <w:szCs w:val="14"/>
                <w:b w:val="1"/>
                <w:bCs w:val="1"/>
                <w:color w:val="auto"/>
                <w:w w:val="91"/>
              </w:rPr>
              <w:t>(Registrant’s telephone number, including area code)</w:t>
            </w:r>
          </w:p>
        </w:tc>
      </w:tr>
      <w:tr>
        <w:trPr>
          <w:trHeight w:val="394"/>
        </w:trPr>
        <w:tc>
          <w:tcPr>
            <w:tcW w:w="2360" w:type="dxa"/>
            <w:vAlign w:val="bottom"/>
          </w:tcPr>
          <w:p>
            <w:pPr>
              <w:spacing w:after="0"/>
              <w:rPr>
                <w:sz w:val="24"/>
                <w:szCs w:val="24"/>
                <w:color w:val="auto"/>
              </w:rPr>
            </w:pPr>
          </w:p>
        </w:tc>
        <w:tc>
          <w:tcPr>
            <w:tcW w:w="5140" w:type="dxa"/>
            <w:vAlign w:val="bottom"/>
          </w:tcPr>
          <w:p>
            <w:pPr>
              <w:jc w:val="center"/>
              <w:ind w:right="1779"/>
              <w:spacing w:after="0"/>
              <w:rPr>
                <w:sz w:val="20"/>
                <w:szCs w:val="20"/>
                <w:color w:val="auto"/>
              </w:rPr>
            </w:pPr>
            <w:r>
              <w:rPr>
                <w:rFonts w:ascii="Arial" w:cs="Arial" w:eastAsia="Arial" w:hAnsi="Arial"/>
                <w:sz w:val="18"/>
                <w:szCs w:val="18"/>
                <w:b w:val="1"/>
                <w:bCs w:val="1"/>
                <w:color w:val="auto"/>
                <w:w w:val="90"/>
              </w:rPr>
              <w:t>Not applicable</w:t>
            </w:r>
          </w:p>
        </w:tc>
      </w:tr>
      <w:tr>
        <w:trPr>
          <w:trHeight w:val="186"/>
        </w:trPr>
        <w:tc>
          <w:tcPr>
            <w:tcW w:w="7500" w:type="dxa"/>
            <w:vAlign w:val="bottom"/>
            <w:gridSpan w:val="2"/>
          </w:tcPr>
          <w:p>
            <w:pPr>
              <w:jc w:val="center"/>
              <w:ind w:left="400"/>
              <w:spacing w:after="0"/>
              <w:rPr>
                <w:sz w:val="20"/>
                <w:szCs w:val="20"/>
                <w:color w:val="auto"/>
              </w:rPr>
            </w:pPr>
            <w:r>
              <w:rPr>
                <w:rFonts w:ascii="Arial" w:cs="Arial" w:eastAsia="Arial" w:hAnsi="Arial"/>
                <w:sz w:val="14"/>
                <w:szCs w:val="14"/>
                <w:b w:val="1"/>
                <w:bCs w:val="1"/>
                <w:color w:val="auto"/>
                <w:w w:val="93"/>
              </w:rPr>
              <w:t>(Former Name, Former Address and Former Fiscal Year, if Changed Since Last Report)</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213360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31" w:lineRule="exact"/>
        <w:rPr>
          <w:sz w:val="24"/>
          <w:szCs w:val="24"/>
          <w:color w:val="auto"/>
        </w:rPr>
      </w:pPr>
    </w:p>
    <w:p>
      <w:pPr>
        <w:ind w:right="20" w:firstLine="456"/>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ind w:right="40" w:firstLine="456"/>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ind w:left="460"/>
        <w:spacing w:after="0"/>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w:t>
      </w:r>
    </w:p>
    <w:p>
      <w:pPr>
        <w:spacing w:after="0" w:line="46" w:lineRule="exact"/>
        <w:rPr>
          <w:sz w:val="24"/>
          <w:szCs w:val="24"/>
          <w:color w:val="auto"/>
        </w:rPr>
      </w:pPr>
    </w:p>
    <w:p>
      <w:pPr>
        <w:spacing w:after="0"/>
        <w:rPr>
          <w:sz w:val="20"/>
          <w:szCs w:val="20"/>
          <w:color w:val="auto"/>
        </w:rPr>
      </w:pPr>
      <w:r>
        <w:rPr>
          <w:rFonts w:ascii="Arial" w:cs="Arial" w:eastAsia="Arial" w:hAnsi="Arial"/>
          <w:sz w:val="17"/>
          <w:szCs w:val="17"/>
          <w:color w:val="auto"/>
        </w:rPr>
        <w:t>See the definitions of “large accelerated filer,” “accelerated filer” and “smaller reporting company” in Rule 12b-2 of the Exchange Act. (check one):</w:t>
      </w:r>
    </w:p>
    <w:p>
      <w:pPr>
        <w:sectPr>
          <w:pgSz w:w="11900" w:h="16838" w:orient="portrait"/>
          <w:cols w:equalWidth="0" w:num="1">
            <w:col w:w="11420"/>
          </w:cols>
          <w:pgMar w:left="240" w:top="230" w:right="239" w:bottom="1440" w:gutter="0" w:footer="0" w:header="0"/>
        </w:sectPr>
      </w:pPr>
    </w:p>
    <w:p>
      <w:pPr>
        <w:spacing w:after="0" w:line="249" w:lineRule="exact"/>
        <w:rPr>
          <w:sz w:val="24"/>
          <w:szCs w:val="24"/>
          <w:color w:val="auto"/>
        </w:rPr>
      </w:pPr>
    </w:p>
    <w:p>
      <w:pPr>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197"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29"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197"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63" w:lineRule="exact"/>
        <w:rPr>
          <w:sz w:val="24"/>
          <w:szCs w:val="24"/>
          <w:color w:val="auto"/>
        </w:rPr>
      </w:pPr>
    </w:p>
    <w:p>
      <w:pPr>
        <w:sectPr>
          <w:pgSz w:w="11900" w:h="16838" w:orient="portrait"/>
          <w:cols w:equalWidth="0" w:num="4">
            <w:col w:w="1700" w:space="340"/>
            <w:col w:w="6000" w:space="720"/>
            <w:col w:w="1780" w:space="720"/>
            <w:col w:w="160"/>
          </w:cols>
          <w:pgMar w:left="240" w:top="230" w:right="239" w:bottom="1440" w:gutter="0" w:footer="0" w:header="0"/>
          <w:type w:val="continuous"/>
        </w:sectPr>
      </w:pPr>
    </w:p>
    <w:p>
      <w:pPr>
        <w:spacing w:after="0" w:line="33"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56" w:lineRule="exact"/>
        <w:rPr>
          <w:sz w:val="24"/>
          <w:szCs w:val="24"/>
          <w:color w:val="auto"/>
        </w:rPr>
      </w:pPr>
    </w:p>
    <w:p>
      <w:pPr>
        <w:sectPr>
          <w:pgSz w:w="11900" w:h="16838" w:orient="portrait"/>
          <w:cols w:equalWidth="0" w:num="4">
            <w:col w:w="1620" w:space="420"/>
            <w:col w:w="6000" w:space="720"/>
            <w:col w:w="2060" w:space="440"/>
            <w:col w:w="160"/>
          </w:cols>
          <w:pgMar w:left="240" w:top="230" w:right="239" w:bottom="1440" w:gutter="0" w:footer="0" w:header="0"/>
          <w:type w:val="continuous"/>
        </w:sectPr>
      </w:pPr>
    </w:p>
    <w:p>
      <w:pPr>
        <w:spacing w:after="0" w:line="48" w:lineRule="exact"/>
        <w:rPr>
          <w:sz w:val="24"/>
          <w:szCs w:val="24"/>
          <w:color w:val="auto"/>
        </w:rPr>
      </w:pPr>
    </w:p>
    <w:p>
      <w:pPr>
        <w:ind w:left="460"/>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rPr>
          <w:sz w:val="20"/>
          <w:szCs w:val="20"/>
          <w:color w:val="auto"/>
        </w:rPr>
      </w:pPr>
      <w:r>
        <w:rPr>
          <w:rFonts w:ascii="Arial" w:cs="Arial" w:eastAsia="Arial" w:hAnsi="Arial"/>
          <w:sz w:val="15"/>
          <w:szCs w:val="15"/>
          <w:color w:val="auto"/>
        </w:rPr>
        <w:t>Yes</w:t>
      </w:r>
    </w:p>
    <w:p>
      <w:pPr>
        <w:spacing w:after="0" w:line="20" w:lineRule="exact"/>
        <w:rPr>
          <w:sz w:val="24"/>
          <w:szCs w:val="24"/>
          <w:color w:val="auto"/>
        </w:rPr>
      </w:pPr>
      <w:r>
        <w:rPr>
          <w:sz w:val="24"/>
          <w:szCs w:val="24"/>
          <w:color w:val="auto"/>
        </w:rPr>
        <w:br w:type="column"/>
      </w:r>
    </w:p>
    <w:p>
      <w:pPr>
        <w:spacing w:after="0" w:line="157"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03"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p>
      <w:pPr>
        <w:spacing w:after="0" w:line="209" w:lineRule="exact"/>
        <w:rPr>
          <w:sz w:val="24"/>
          <w:szCs w:val="24"/>
          <w:color w:val="auto"/>
        </w:rPr>
      </w:pPr>
    </w:p>
    <w:p>
      <w:pPr>
        <w:sectPr>
          <w:pgSz w:w="11900" w:h="16838" w:orient="portrait"/>
          <w:cols w:equalWidth="0" w:num="4">
            <w:col w:w="8640" w:space="180"/>
            <w:col w:w="260" w:space="80"/>
            <w:col w:w="160" w:space="180"/>
            <w:col w:w="1920"/>
          </w:cols>
          <w:pgMar w:left="240" w:top="230" w:right="239" w:bottom="1440" w:gutter="0" w:footer="0" w:header="0"/>
          <w:type w:val="continuous"/>
        </w:sectPr>
      </w:pPr>
    </w:p>
    <w:p>
      <w:pPr>
        <w:spacing w:after="0" w:line="48" w:lineRule="exact"/>
        <w:rPr>
          <w:sz w:val="24"/>
          <w:szCs w:val="24"/>
          <w:color w:val="auto"/>
        </w:rPr>
      </w:pPr>
    </w:p>
    <w:p>
      <w:pPr>
        <w:ind w:left="460"/>
        <w:spacing w:after="0"/>
        <w:rPr>
          <w:sz w:val="20"/>
          <w:szCs w:val="20"/>
          <w:color w:val="auto"/>
        </w:rPr>
      </w:pPr>
      <w:r>
        <w:rPr>
          <w:rFonts w:ascii="Arial" w:cs="Arial" w:eastAsia="Arial" w:hAnsi="Arial"/>
          <w:sz w:val="16"/>
          <w:szCs w:val="16"/>
          <w:color w:val="auto"/>
        </w:rPr>
        <w:t>The number of shares of the registrant’s common stock, $0.001 par value, outstanding as of January 13, 2016 was 5,695,144.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175260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218440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248920</wp:posOffset>
            </wp:positionV>
            <wp:extent cx="151765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00" w:type="dxa"/>
            <w:vAlign w:val="bottom"/>
            <w:gridSpan w:val="5"/>
            <w:vMerge w:val="restart"/>
          </w:tcPr>
          <w:p>
            <w:pPr>
              <w:spacing w:after="0"/>
              <w:rPr>
                <w:sz w:val="20"/>
                <w:szCs w:val="20"/>
                <w:color w:val="auto"/>
              </w:rPr>
            </w:pPr>
            <w:r>
              <w:rPr>
                <w:rFonts w:ascii="Arial" w:cs="Arial" w:eastAsia="Arial" w:hAnsi="Arial"/>
                <w:sz w:val="18"/>
                <w:szCs w:val="18"/>
                <w:b w:val="1"/>
                <w:bCs w:val="1"/>
                <w:color w:val="auto"/>
              </w:rPr>
              <w:t>PART I</w:t>
            </w:r>
          </w:p>
        </w:tc>
        <w:tc>
          <w:tcPr>
            <w:tcW w:w="2400" w:type="dxa"/>
            <w:vAlign w:val="bottom"/>
            <w:gridSpan w:val="8"/>
            <w:vMerge w:val="restart"/>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FINANCIAL INFORMATION</w:t>
              </w:r>
            </w:hyperlink>
          </w:p>
        </w:tc>
        <w:tc>
          <w:tcPr>
            <w:tcW w:w="7620" w:type="dxa"/>
            <w:vAlign w:val="bottom"/>
            <w:gridSpan w:val="10"/>
            <w:vMerge w:val="restart"/>
          </w:tcPr>
          <w:p>
            <w:pPr>
              <w:spacing w:after="0"/>
              <w:rPr>
                <w:sz w:val="14"/>
                <w:szCs w:val="14"/>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74"/>
        </w:trPr>
        <w:tc>
          <w:tcPr>
            <w:tcW w:w="1000" w:type="dxa"/>
            <w:vAlign w:val="bottom"/>
            <w:gridSpan w:val="5"/>
            <w:vMerge w:val="continue"/>
          </w:tcPr>
          <w:p>
            <w:pPr>
              <w:spacing w:after="0"/>
              <w:rPr>
                <w:sz w:val="14"/>
                <w:szCs w:val="14"/>
                <w:color w:val="auto"/>
              </w:rPr>
            </w:pPr>
          </w:p>
        </w:tc>
        <w:tc>
          <w:tcPr>
            <w:tcW w:w="2400" w:type="dxa"/>
            <w:vAlign w:val="bottom"/>
            <w:tcBorders>
              <w:bottom w:val="single" w:sz="8" w:color="0000EE"/>
            </w:tcBorders>
            <w:gridSpan w:val="8"/>
            <w:vMerge w:val="continue"/>
          </w:tcPr>
          <w:p>
            <w:pPr>
              <w:spacing w:after="0"/>
              <w:rPr>
                <w:sz w:val="14"/>
                <w:szCs w:val="14"/>
                <w:color w:val="auto"/>
              </w:rPr>
            </w:pPr>
          </w:p>
        </w:tc>
        <w:tc>
          <w:tcPr>
            <w:tcW w:w="7620" w:type="dxa"/>
            <w:vAlign w:val="bottom"/>
            <w:gridSpan w:val="10"/>
            <w:vMerge w:val="continue"/>
          </w:tcPr>
          <w:p>
            <w:pPr>
              <w:spacing w:after="0"/>
              <w:rPr>
                <w:sz w:val="14"/>
                <w:szCs w:val="14"/>
                <w:color w:val="auto"/>
              </w:rPr>
            </w:pPr>
          </w:p>
        </w:tc>
        <w:tc>
          <w:tcPr>
            <w:tcW w:w="30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8"/>
                <w:szCs w:val="18"/>
                <w:b w:val="1"/>
                <w:bCs w:val="1"/>
                <w:color w:val="auto"/>
              </w:rPr>
              <w:t>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4"/>
        </w:trPr>
        <w:tc>
          <w:tcPr>
            <w:tcW w:w="520" w:type="dxa"/>
            <w:vAlign w:val="bottom"/>
            <w:tcBorders>
              <w:bottom w:val="single" w:sz="8" w:color="0000EE"/>
            </w:tcBorders>
          </w:tcPr>
          <w:p>
            <w:pPr>
              <w:spacing w:after="0"/>
              <w:rPr>
                <w:rFonts w:ascii="Arial" w:cs="Arial" w:eastAsia="Arial" w:hAnsi="Arial"/>
                <w:sz w:val="18"/>
                <w:szCs w:val="18"/>
                <w:color w:val="0000EE"/>
                <w:w w:val="90"/>
              </w:rPr>
            </w:pPr>
            <w:hyperlink w:anchor="page3">
              <w:r>
                <w:rPr>
                  <w:rFonts w:ascii="Arial" w:cs="Arial" w:eastAsia="Arial" w:hAnsi="Arial"/>
                  <w:sz w:val="18"/>
                  <w:szCs w:val="18"/>
                  <w:color w:val="0000EE"/>
                  <w:w w:val="90"/>
                </w:rPr>
                <w:t>Item 1.</w:t>
              </w:r>
            </w:hyperlink>
          </w:p>
        </w:tc>
        <w:tc>
          <w:tcPr>
            <w:tcW w:w="480" w:type="dxa"/>
            <w:vAlign w:val="bottom"/>
            <w:gridSpan w:val="4"/>
          </w:tcPr>
          <w:p>
            <w:pPr>
              <w:spacing w:after="0"/>
              <w:rPr>
                <w:sz w:val="24"/>
                <w:szCs w:val="24"/>
                <w:color w:val="auto"/>
              </w:rPr>
            </w:pPr>
          </w:p>
        </w:tc>
        <w:tc>
          <w:tcPr>
            <w:tcW w:w="1520" w:type="dxa"/>
            <w:vAlign w:val="bottom"/>
            <w:tcBorders>
              <w:bottom w:val="single" w:sz="8" w:color="0000EE"/>
            </w:tcBorders>
            <w:gridSpan w:val="4"/>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Financial Statements</w:t>
              </w:r>
            </w:hyperlink>
          </w:p>
        </w:tc>
        <w:tc>
          <w:tcPr>
            <w:tcW w:w="8500" w:type="dxa"/>
            <w:vAlign w:val="bottom"/>
            <w:gridSpan w:val="14"/>
          </w:tcPr>
          <w:p>
            <w:pPr>
              <w:spacing w:after="0"/>
              <w:rPr>
                <w:sz w:val="24"/>
                <w:szCs w:val="24"/>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304"/>
        </w:trPr>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20" w:type="dxa"/>
            <w:vAlign w:val="bottom"/>
            <w:gridSpan w:val="18"/>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Consolidated Statements of Assets and Liabilities as of November 30, 2015 (unaudited) and February 28, 2015</w:t>
              </w:r>
            </w:hyperlink>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0" w:type="dxa"/>
            <w:vAlign w:val="bottom"/>
            <w:tcBorders>
              <w:bottom w:val="single" w:sz="8" w:color="0000EE"/>
            </w:tcBorders>
            <w:gridSpan w:val="16"/>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Consolidated Statements of Operations for the three and nine months ended November 30, 2015 and November 30, 2014 (unaudited)</w:t>
              </w:r>
            </w:hyperlink>
          </w:p>
        </w:tc>
        <w:tc>
          <w:tcPr>
            <w:tcW w:w="420" w:type="dxa"/>
            <w:vAlign w:val="bottom"/>
            <w:gridSpan w:val="2"/>
          </w:tcPr>
          <w:p>
            <w:pPr>
              <w:spacing w:after="0"/>
              <w:rPr>
                <w:sz w:val="24"/>
                <w:szCs w:val="24"/>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304"/>
        </w:trPr>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20" w:type="dxa"/>
            <w:vAlign w:val="bottom"/>
            <w:gridSpan w:val="18"/>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Consolidated Schedules of Investments as of November 30, 2015 (unaudited) and February 28, 2015</w:t>
              </w:r>
            </w:hyperlink>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20" w:type="dxa"/>
            <w:vAlign w:val="bottom"/>
            <w:gridSpan w:val="18"/>
          </w:tcPr>
          <w:p>
            <w:pPr>
              <w:spacing w:after="0"/>
              <w:rPr>
                <w:rFonts w:ascii="Arial" w:cs="Arial" w:eastAsia="Arial" w:hAnsi="Arial"/>
                <w:sz w:val="18"/>
                <w:szCs w:val="18"/>
                <w:color w:val="0000EE"/>
                <w:w w:val="92"/>
              </w:rPr>
            </w:pPr>
            <w:hyperlink w:anchor="page11">
              <w:r>
                <w:rPr>
                  <w:rFonts w:ascii="Arial" w:cs="Arial" w:eastAsia="Arial" w:hAnsi="Arial"/>
                  <w:sz w:val="18"/>
                  <w:szCs w:val="18"/>
                  <w:color w:val="0000EE"/>
                  <w:w w:val="92"/>
                </w:rPr>
                <w:t>Consolidated Statements of Changes in Net Assets for the nine months ended November 30, 2015 and November 30, 2014 (unaudited)</w:t>
              </w:r>
            </w:hyperlink>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304"/>
        </w:trPr>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720" w:type="dxa"/>
            <w:vAlign w:val="bottom"/>
            <w:tcBorders>
              <w:top w:val="single" w:sz="8" w:color="0000EE"/>
            </w:tcBorders>
            <w:gridSpan w:val="17"/>
          </w:tcPr>
          <w:p>
            <w:pPr>
              <w:spacing w:after="0"/>
              <w:rPr>
                <w:rFonts w:ascii="Arial" w:cs="Arial" w:eastAsia="Arial" w:hAnsi="Arial"/>
                <w:sz w:val="18"/>
                <w:szCs w:val="18"/>
                <w:color w:val="0000EE"/>
                <w:w w:val="97"/>
              </w:rPr>
            </w:pPr>
            <w:hyperlink w:anchor="page12">
              <w:r>
                <w:rPr>
                  <w:rFonts w:ascii="Arial" w:cs="Arial" w:eastAsia="Arial" w:hAnsi="Arial"/>
                  <w:sz w:val="18"/>
                  <w:szCs w:val="18"/>
                  <w:color w:val="0000EE"/>
                  <w:w w:val="97"/>
                </w:rPr>
                <w:t>Consolidated Statements of Cash Flows for the nine months ended November 30, 2015 and November 30, 2014 (unaudited)</w:t>
              </w:r>
            </w:hyperlink>
          </w:p>
        </w:tc>
        <w:tc>
          <w:tcPr>
            <w:tcW w:w="30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940" w:type="dxa"/>
            <w:vAlign w:val="bottom"/>
            <w:tcBorders>
              <w:top w:val="single" w:sz="8" w:color="0000EE"/>
            </w:tcBorders>
            <w:gridSpan w:val="15"/>
          </w:tcPr>
          <w:p>
            <w:pPr>
              <w:spacing w:after="0"/>
              <w:rPr>
                <w:rFonts w:ascii="Arial" w:cs="Arial" w:eastAsia="Arial" w:hAnsi="Arial"/>
                <w:sz w:val="18"/>
                <w:szCs w:val="18"/>
                <w:color w:val="0000EE"/>
              </w:rPr>
            </w:pPr>
            <w:hyperlink w:anchor="page13">
              <w:r>
                <w:rPr>
                  <w:rFonts w:ascii="Arial" w:cs="Arial" w:eastAsia="Arial" w:hAnsi="Arial"/>
                  <w:sz w:val="18"/>
                  <w:szCs w:val="18"/>
                  <w:color w:val="0000EE"/>
                </w:rPr>
                <w:t>Notes to Consolidated Financial Statements as of November 30, 2015 (unaudited)</w:t>
              </w:r>
            </w:hyperlink>
          </w:p>
        </w:tc>
        <w:tc>
          <w:tcPr>
            <w:tcW w:w="1080" w:type="dxa"/>
            <w:vAlign w:val="bottom"/>
            <w:gridSpan w:val="3"/>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560" w:type="dxa"/>
            <w:vAlign w:val="bottom"/>
            <w:gridSpan w:val="6"/>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40" w:type="dxa"/>
            <w:vAlign w:val="bottom"/>
            <w:gridSpan w:val="2"/>
          </w:tcPr>
          <w:p>
            <w:pPr>
              <w:spacing w:after="0"/>
              <w:rPr>
                <w:rFonts w:ascii="Arial" w:cs="Arial" w:eastAsia="Arial" w:hAnsi="Arial"/>
                <w:sz w:val="18"/>
                <w:szCs w:val="18"/>
                <w:color w:val="0000EE"/>
                <w:w w:val="94"/>
              </w:rPr>
            </w:pPr>
            <w:hyperlink w:anchor="page41">
              <w:r>
                <w:rPr>
                  <w:rFonts w:ascii="Arial" w:cs="Arial" w:eastAsia="Arial" w:hAnsi="Arial"/>
                  <w:sz w:val="18"/>
                  <w:szCs w:val="18"/>
                  <w:color w:val="0000EE"/>
                  <w:w w:val="94"/>
                </w:rPr>
                <w:t>Item 2.</w:t>
              </w:r>
            </w:hyperlink>
          </w:p>
        </w:tc>
        <w:tc>
          <w:tcPr>
            <w:tcW w:w="460" w:type="dxa"/>
            <w:vAlign w:val="bottom"/>
            <w:gridSpan w:val="3"/>
          </w:tcPr>
          <w:p>
            <w:pPr>
              <w:spacing w:after="0"/>
              <w:rPr>
                <w:sz w:val="24"/>
                <w:szCs w:val="24"/>
                <w:color w:val="auto"/>
              </w:rPr>
            </w:pPr>
          </w:p>
        </w:tc>
        <w:tc>
          <w:tcPr>
            <w:tcW w:w="10020" w:type="dxa"/>
            <w:vAlign w:val="bottom"/>
            <w:gridSpan w:val="18"/>
          </w:tcPr>
          <w:p>
            <w:pPr>
              <w:spacing w:after="0"/>
              <w:rPr>
                <w:rFonts w:ascii="Arial" w:cs="Arial" w:eastAsia="Arial" w:hAnsi="Arial"/>
                <w:sz w:val="18"/>
                <w:szCs w:val="18"/>
                <w:color w:val="0000EE"/>
              </w:rPr>
            </w:pPr>
            <w:hyperlink w:anchor="page41">
              <w:r>
                <w:rPr>
                  <w:rFonts w:ascii="Arial" w:cs="Arial" w:eastAsia="Arial" w:hAnsi="Arial"/>
                  <w:sz w:val="18"/>
                  <w:szCs w:val="18"/>
                  <w:color w:val="0000EE"/>
                </w:rPr>
                <w:t>Management’s Discussion and Analysis of Financial Condition and Results of Operations</w:t>
              </w:r>
            </w:hyperlink>
          </w:p>
        </w:tc>
        <w:tc>
          <w:tcPr>
            <w:tcW w:w="300" w:type="dxa"/>
            <w:vAlign w:val="bottom"/>
          </w:tcPr>
          <w:p>
            <w:pPr>
              <w:jc w:val="right"/>
              <w:spacing w:after="0"/>
              <w:rPr>
                <w:sz w:val="20"/>
                <w:szCs w:val="20"/>
                <w:color w:val="auto"/>
              </w:rPr>
            </w:pPr>
            <w:r>
              <w:rPr>
                <w:rFonts w:ascii="Arial" w:cs="Arial" w:eastAsia="Arial" w:hAnsi="Arial"/>
                <w:sz w:val="18"/>
                <w:szCs w:val="18"/>
                <w:color w:val="auto"/>
              </w:rPr>
              <w:t>36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4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94"/>
              </w:rPr>
            </w:pPr>
            <w:hyperlink w:anchor="page63">
              <w:r>
                <w:rPr>
                  <w:rFonts w:ascii="Arial" w:cs="Arial" w:eastAsia="Arial" w:hAnsi="Arial"/>
                  <w:sz w:val="18"/>
                  <w:szCs w:val="18"/>
                  <w:color w:val="0000EE"/>
                  <w:w w:val="94"/>
                </w:rPr>
                <w:t>Item 3.</w:t>
              </w:r>
            </w:hyperlink>
          </w:p>
        </w:tc>
        <w:tc>
          <w:tcPr>
            <w:tcW w:w="460" w:type="dxa"/>
            <w:vAlign w:val="bottom"/>
            <w:gridSpan w:val="3"/>
          </w:tcPr>
          <w:p>
            <w:pPr>
              <w:spacing w:after="0"/>
              <w:rPr>
                <w:sz w:val="24"/>
                <w:szCs w:val="24"/>
                <w:color w:val="auto"/>
              </w:rPr>
            </w:pPr>
          </w:p>
        </w:tc>
        <w:tc>
          <w:tcPr>
            <w:tcW w:w="4380" w:type="dxa"/>
            <w:vAlign w:val="bottom"/>
            <w:tcBorders>
              <w:top w:val="single" w:sz="8" w:color="0000EE"/>
              <w:bottom w:val="single" w:sz="8" w:color="0000EE"/>
            </w:tcBorders>
            <w:gridSpan w:val="10"/>
          </w:tcPr>
          <w:p>
            <w:pPr>
              <w:spacing w:after="0"/>
              <w:rPr>
                <w:rFonts w:ascii="Arial" w:cs="Arial" w:eastAsia="Arial" w:hAnsi="Arial"/>
                <w:sz w:val="18"/>
                <w:szCs w:val="18"/>
                <w:color w:val="0000EE"/>
                <w:w w:val="92"/>
              </w:rPr>
            </w:pPr>
            <w:hyperlink w:anchor="page63">
              <w:r>
                <w:rPr>
                  <w:rFonts w:ascii="Arial" w:cs="Arial" w:eastAsia="Arial" w:hAnsi="Arial"/>
                  <w:sz w:val="18"/>
                  <w:szCs w:val="18"/>
                  <w:color w:val="0000EE"/>
                  <w:w w:val="92"/>
                </w:rPr>
                <w:t>Quantitative and Qualitative Disclosures About Market Risk</w:t>
              </w:r>
            </w:hyperlink>
          </w:p>
        </w:tc>
        <w:tc>
          <w:tcPr>
            <w:tcW w:w="2080" w:type="dxa"/>
            <w:vAlign w:val="bottom"/>
            <w:tcBorders>
              <w:top w:val="single" w:sz="8" w:color="0000EE"/>
            </w:tcBorders>
            <w:gridSpan w:val="2"/>
          </w:tcPr>
          <w:p>
            <w:pPr>
              <w:spacing w:after="0"/>
              <w:rPr>
                <w:sz w:val="24"/>
                <w:szCs w:val="24"/>
                <w:color w:val="auto"/>
              </w:rPr>
            </w:pPr>
          </w:p>
        </w:tc>
        <w:tc>
          <w:tcPr>
            <w:tcW w:w="3560" w:type="dxa"/>
            <w:vAlign w:val="bottom"/>
            <w:gridSpan w:val="6"/>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58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20" w:type="dxa"/>
            <w:vAlign w:val="bottom"/>
            <w:tcBorders>
              <w:bottom w:val="single" w:sz="8" w:color="0000EE"/>
            </w:tcBorders>
          </w:tcPr>
          <w:p>
            <w:pPr>
              <w:spacing w:after="0"/>
              <w:rPr>
                <w:rFonts w:ascii="Arial" w:cs="Arial" w:eastAsia="Arial" w:hAnsi="Arial"/>
                <w:sz w:val="18"/>
                <w:szCs w:val="18"/>
                <w:color w:val="0000EE"/>
                <w:w w:val="90"/>
              </w:rPr>
            </w:pPr>
            <w:hyperlink w:anchor="page63">
              <w:r>
                <w:rPr>
                  <w:rFonts w:ascii="Arial" w:cs="Arial" w:eastAsia="Arial" w:hAnsi="Arial"/>
                  <w:sz w:val="18"/>
                  <w:szCs w:val="18"/>
                  <w:color w:val="0000EE"/>
                  <w:w w:val="90"/>
                </w:rPr>
                <w:t>Item 4.</w:t>
              </w:r>
            </w:hyperlink>
          </w:p>
        </w:tc>
        <w:tc>
          <w:tcPr>
            <w:tcW w:w="480" w:type="dxa"/>
            <w:vAlign w:val="bottom"/>
            <w:gridSpan w:val="4"/>
          </w:tcPr>
          <w:p>
            <w:pPr>
              <w:spacing w:after="0"/>
              <w:rPr>
                <w:sz w:val="24"/>
                <w:szCs w:val="24"/>
                <w:color w:val="auto"/>
              </w:rPr>
            </w:pPr>
          </w:p>
        </w:tc>
        <w:tc>
          <w:tcPr>
            <w:tcW w:w="1780" w:type="dxa"/>
            <w:vAlign w:val="bottom"/>
            <w:tcBorders>
              <w:bottom w:val="single" w:sz="8" w:color="0000EE"/>
            </w:tcBorders>
            <w:gridSpan w:val="5"/>
          </w:tcPr>
          <w:p>
            <w:pPr>
              <w:spacing w:after="0"/>
              <w:rPr>
                <w:rFonts w:ascii="Arial" w:cs="Arial" w:eastAsia="Arial" w:hAnsi="Arial"/>
                <w:sz w:val="18"/>
                <w:szCs w:val="18"/>
                <w:color w:val="0000EE"/>
                <w:w w:val="88"/>
              </w:rPr>
            </w:pPr>
            <w:hyperlink w:anchor="page63">
              <w:r>
                <w:rPr>
                  <w:rFonts w:ascii="Arial" w:cs="Arial" w:eastAsia="Arial" w:hAnsi="Arial"/>
                  <w:sz w:val="18"/>
                  <w:szCs w:val="18"/>
                  <w:color w:val="0000EE"/>
                  <w:w w:val="88"/>
                </w:rPr>
                <w:t>Controls and Procedures</w:t>
              </w:r>
            </w:hyperlink>
          </w:p>
        </w:tc>
        <w:tc>
          <w:tcPr>
            <w:tcW w:w="8240" w:type="dxa"/>
            <w:vAlign w:val="bottom"/>
            <w:gridSpan w:val="13"/>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58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000" w:type="dxa"/>
            <w:vAlign w:val="bottom"/>
            <w:gridSpan w:val="5"/>
          </w:tcPr>
          <w:p>
            <w:pPr>
              <w:spacing w:after="0"/>
              <w:rPr>
                <w:sz w:val="20"/>
                <w:szCs w:val="20"/>
                <w:color w:val="auto"/>
              </w:rPr>
            </w:pPr>
            <w:r>
              <w:rPr>
                <w:rFonts w:ascii="Arial" w:cs="Arial" w:eastAsia="Arial" w:hAnsi="Arial"/>
                <w:sz w:val="18"/>
                <w:szCs w:val="18"/>
                <w:b w:val="1"/>
                <w:bCs w:val="1"/>
                <w:color w:val="auto"/>
              </w:rPr>
              <w:t>PART II</w:t>
            </w:r>
          </w:p>
        </w:tc>
        <w:tc>
          <w:tcPr>
            <w:tcW w:w="10020" w:type="dxa"/>
            <w:vAlign w:val="bottom"/>
            <w:gridSpan w:val="18"/>
          </w:tcPr>
          <w:p>
            <w:pPr>
              <w:spacing w:after="0"/>
              <w:rPr>
                <w:rFonts w:ascii="Arial" w:cs="Arial" w:eastAsia="Arial" w:hAnsi="Arial"/>
                <w:sz w:val="18"/>
                <w:szCs w:val="18"/>
                <w:b w:val="1"/>
                <w:bCs w:val="1"/>
                <w:color w:val="0000EE"/>
              </w:rPr>
            </w:pPr>
            <w:hyperlink w:anchor="page64">
              <w:r>
                <w:rPr>
                  <w:rFonts w:ascii="Arial" w:cs="Arial" w:eastAsia="Arial" w:hAnsi="Arial"/>
                  <w:sz w:val="18"/>
                  <w:szCs w:val="18"/>
                  <w:b w:val="1"/>
                  <w:bCs w:val="1"/>
                  <w:color w:val="0000EE"/>
                </w:rPr>
                <w:t>OTHER INFORMATION</w:t>
              </w:r>
            </w:hyperlink>
          </w:p>
        </w:tc>
        <w:tc>
          <w:tcPr>
            <w:tcW w:w="300" w:type="dxa"/>
            <w:vAlign w:val="bottom"/>
          </w:tcPr>
          <w:p>
            <w:pPr>
              <w:jc w:val="right"/>
              <w:spacing w:after="0"/>
              <w:rPr>
                <w:sz w:val="20"/>
                <w:szCs w:val="20"/>
                <w:color w:val="auto"/>
              </w:rPr>
            </w:pPr>
            <w:r>
              <w:rPr>
                <w:rFonts w:ascii="Arial" w:cs="Arial" w:eastAsia="Arial" w:hAnsi="Arial"/>
                <w:sz w:val="18"/>
                <w:szCs w:val="18"/>
                <w:b w:val="1"/>
                <w:bCs w:val="1"/>
                <w:color w:val="auto"/>
              </w:rPr>
              <w:t>59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40" w:type="dxa"/>
            <w:vAlign w:val="bottom"/>
            <w:gridSpan w:val="2"/>
          </w:tcPr>
          <w:p>
            <w:pPr>
              <w:spacing w:after="0"/>
              <w:rPr>
                <w:rFonts w:ascii="Arial" w:cs="Arial" w:eastAsia="Arial" w:hAnsi="Arial"/>
                <w:sz w:val="18"/>
                <w:szCs w:val="18"/>
                <w:color w:val="0000EE"/>
                <w:w w:val="94"/>
              </w:rPr>
            </w:pPr>
            <w:hyperlink w:anchor="page64">
              <w:r>
                <w:rPr>
                  <w:rFonts w:ascii="Arial" w:cs="Arial" w:eastAsia="Arial" w:hAnsi="Arial"/>
                  <w:sz w:val="18"/>
                  <w:szCs w:val="18"/>
                  <w:color w:val="0000EE"/>
                  <w:w w:val="94"/>
                </w:rPr>
                <w:t>Item 1.</w:t>
              </w:r>
            </w:hyperlink>
          </w:p>
        </w:tc>
        <w:tc>
          <w:tcPr>
            <w:tcW w:w="460" w:type="dxa"/>
            <w:vAlign w:val="bottom"/>
            <w:gridSpan w:val="3"/>
          </w:tcPr>
          <w:p>
            <w:pPr>
              <w:spacing w:after="0"/>
              <w:rPr>
                <w:sz w:val="24"/>
                <w:szCs w:val="24"/>
                <w:color w:val="auto"/>
              </w:rPr>
            </w:pPr>
          </w:p>
        </w:tc>
        <w:tc>
          <w:tcPr>
            <w:tcW w:w="2020" w:type="dxa"/>
            <w:vAlign w:val="bottom"/>
            <w:tcBorders>
              <w:top w:val="single" w:sz="8" w:color="0000EE"/>
            </w:tcBorders>
            <w:gridSpan w:val="6"/>
          </w:tcPr>
          <w:p>
            <w:pPr>
              <w:spacing w:after="0"/>
              <w:rPr>
                <w:rFonts w:ascii="Arial" w:cs="Arial" w:eastAsia="Arial" w:hAnsi="Arial"/>
                <w:sz w:val="18"/>
                <w:szCs w:val="18"/>
                <w:color w:val="0000EE"/>
              </w:rPr>
            </w:pPr>
            <w:hyperlink w:anchor="page64">
              <w:r>
                <w:rPr>
                  <w:rFonts w:ascii="Arial" w:cs="Arial" w:eastAsia="Arial" w:hAnsi="Arial"/>
                  <w:sz w:val="18"/>
                  <w:szCs w:val="18"/>
                  <w:color w:val="0000EE"/>
                </w:rPr>
                <w:t>Legal Proceedings</w:t>
              </w:r>
            </w:hyperlink>
          </w:p>
        </w:tc>
        <w:tc>
          <w:tcPr>
            <w:tcW w:w="8000" w:type="dxa"/>
            <w:vAlign w:val="bottom"/>
            <w:gridSpan w:val="12"/>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59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4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960" w:type="dxa"/>
            <w:vAlign w:val="bottom"/>
            <w:gridSpan w:val="4"/>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5660" w:type="dxa"/>
            <w:vAlign w:val="bottom"/>
            <w:gridSpan w:val="9"/>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00" w:type="dxa"/>
            <w:vAlign w:val="bottom"/>
            <w:gridSpan w:val="5"/>
          </w:tcPr>
          <w:p>
            <w:pPr>
              <w:spacing w:after="0"/>
              <w:rPr>
                <w:rFonts w:ascii="Arial" w:cs="Arial" w:eastAsia="Arial" w:hAnsi="Arial"/>
                <w:sz w:val="18"/>
                <w:szCs w:val="18"/>
                <w:color w:val="0000EE"/>
              </w:rPr>
            </w:pPr>
            <w:hyperlink w:anchor="page64">
              <w:r>
                <w:rPr>
                  <w:rFonts w:ascii="Arial" w:cs="Arial" w:eastAsia="Arial" w:hAnsi="Arial"/>
                  <w:sz w:val="18"/>
                  <w:szCs w:val="18"/>
                  <w:color w:val="0000EE"/>
                </w:rPr>
                <w:t>Item 1A.</w:t>
              </w:r>
            </w:hyperlink>
          </w:p>
        </w:tc>
        <w:tc>
          <w:tcPr>
            <w:tcW w:w="10020" w:type="dxa"/>
            <w:vAlign w:val="bottom"/>
            <w:gridSpan w:val="18"/>
          </w:tcPr>
          <w:p>
            <w:pPr>
              <w:spacing w:after="0"/>
              <w:rPr>
                <w:rFonts w:ascii="Arial" w:cs="Arial" w:eastAsia="Arial" w:hAnsi="Arial"/>
                <w:sz w:val="18"/>
                <w:szCs w:val="18"/>
                <w:color w:val="0000EE"/>
              </w:rPr>
            </w:pPr>
            <w:hyperlink w:anchor="page64">
              <w:r>
                <w:rPr>
                  <w:rFonts w:ascii="Arial" w:cs="Arial" w:eastAsia="Arial" w:hAnsi="Arial"/>
                  <w:sz w:val="18"/>
                  <w:szCs w:val="18"/>
                  <w:color w:val="0000EE"/>
                </w:rPr>
                <w:t>Risk Factors</w:t>
              </w:r>
            </w:hyperlink>
          </w:p>
        </w:tc>
        <w:tc>
          <w:tcPr>
            <w:tcW w:w="300" w:type="dxa"/>
            <w:vAlign w:val="bottom"/>
          </w:tcPr>
          <w:p>
            <w:pPr>
              <w:jc w:val="right"/>
              <w:spacing w:after="0"/>
              <w:rPr>
                <w:sz w:val="20"/>
                <w:szCs w:val="20"/>
                <w:color w:val="auto"/>
              </w:rPr>
            </w:pPr>
            <w:r>
              <w:rPr>
                <w:rFonts w:ascii="Arial" w:cs="Arial" w:eastAsia="Arial" w:hAnsi="Arial"/>
                <w:sz w:val="18"/>
                <w:szCs w:val="18"/>
                <w:color w:val="auto"/>
              </w:rPr>
              <w:t>59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40" w:type="dxa"/>
            <w:vAlign w:val="bottom"/>
            <w:gridSpan w:val="3"/>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60" w:type="dxa"/>
            <w:vAlign w:val="bottom"/>
            <w:gridSpan w:val="4"/>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5660" w:type="dxa"/>
            <w:vAlign w:val="bottom"/>
            <w:gridSpan w:val="9"/>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40" w:type="dxa"/>
            <w:vAlign w:val="bottom"/>
            <w:tcBorders>
              <w:bottom w:val="single" w:sz="8" w:color="0000EE"/>
            </w:tcBorders>
            <w:gridSpan w:val="2"/>
          </w:tcPr>
          <w:p>
            <w:pPr>
              <w:spacing w:after="0"/>
              <w:rPr>
                <w:rFonts w:ascii="Arial" w:cs="Arial" w:eastAsia="Arial" w:hAnsi="Arial"/>
                <w:sz w:val="18"/>
                <w:szCs w:val="18"/>
                <w:color w:val="0000EE"/>
                <w:w w:val="94"/>
              </w:rPr>
            </w:pPr>
            <w:hyperlink w:anchor="page64">
              <w:r>
                <w:rPr>
                  <w:rFonts w:ascii="Arial" w:cs="Arial" w:eastAsia="Arial" w:hAnsi="Arial"/>
                  <w:sz w:val="18"/>
                  <w:szCs w:val="18"/>
                  <w:color w:val="0000EE"/>
                  <w:w w:val="94"/>
                </w:rPr>
                <w:t>Item 2.</w:t>
              </w:r>
            </w:hyperlink>
          </w:p>
        </w:tc>
        <w:tc>
          <w:tcPr>
            <w:tcW w:w="100" w:type="dxa"/>
            <w:vAlign w:val="bottom"/>
          </w:tcPr>
          <w:p>
            <w:pPr>
              <w:spacing w:after="0"/>
              <w:rPr>
                <w:sz w:val="24"/>
                <w:szCs w:val="24"/>
                <w:color w:val="auto"/>
              </w:rPr>
            </w:pPr>
          </w:p>
        </w:tc>
        <w:tc>
          <w:tcPr>
            <w:tcW w:w="360" w:type="dxa"/>
            <w:vAlign w:val="bottom"/>
            <w:gridSpan w:val="2"/>
          </w:tcPr>
          <w:p>
            <w:pPr>
              <w:spacing w:after="0"/>
              <w:rPr>
                <w:sz w:val="24"/>
                <w:szCs w:val="24"/>
                <w:color w:val="auto"/>
              </w:rPr>
            </w:pPr>
          </w:p>
        </w:tc>
        <w:tc>
          <w:tcPr>
            <w:tcW w:w="4360" w:type="dxa"/>
            <w:vAlign w:val="bottom"/>
            <w:tcBorders>
              <w:bottom w:val="single" w:sz="8" w:color="0000EE"/>
            </w:tcBorders>
            <w:gridSpan w:val="9"/>
          </w:tcPr>
          <w:p>
            <w:pPr>
              <w:spacing w:after="0"/>
              <w:rPr>
                <w:rFonts w:ascii="Arial" w:cs="Arial" w:eastAsia="Arial" w:hAnsi="Arial"/>
                <w:sz w:val="18"/>
                <w:szCs w:val="18"/>
                <w:color w:val="0000EE"/>
                <w:w w:val="89"/>
              </w:rPr>
            </w:pPr>
            <w:hyperlink w:anchor="page64">
              <w:r>
                <w:rPr>
                  <w:rFonts w:ascii="Arial" w:cs="Arial" w:eastAsia="Arial" w:hAnsi="Arial"/>
                  <w:sz w:val="18"/>
                  <w:szCs w:val="18"/>
                  <w:color w:val="0000EE"/>
                  <w:w w:val="89"/>
                </w:rPr>
                <w:t>Unregistered Sales of Equity Securities and Use of Proceeds</w:t>
              </w:r>
            </w:hyperlink>
          </w:p>
        </w:tc>
        <w:tc>
          <w:tcPr>
            <w:tcW w:w="5660" w:type="dxa"/>
            <w:vAlign w:val="bottom"/>
            <w:gridSpan w:val="9"/>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59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40" w:type="dxa"/>
            <w:vAlign w:val="bottom"/>
            <w:tcBorders>
              <w:bottom w:val="single" w:sz="8" w:color="0000EE"/>
            </w:tcBorders>
            <w:gridSpan w:val="2"/>
          </w:tcPr>
          <w:p>
            <w:pPr>
              <w:spacing w:after="0"/>
              <w:rPr>
                <w:rFonts w:ascii="Arial" w:cs="Arial" w:eastAsia="Arial" w:hAnsi="Arial"/>
                <w:sz w:val="18"/>
                <w:szCs w:val="18"/>
                <w:color w:val="0000EE"/>
                <w:w w:val="94"/>
              </w:rPr>
            </w:pPr>
            <w:hyperlink w:anchor="page64">
              <w:r>
                <w:rPr>
                  <w:rFonts w:ascii="Arial" w:cs="Arial" w:eastAsia="Arial" w:hAnsi="Arial"/>
                  <w:sz w:val="18"/>
                  <w:szCs w:val="18"/>
                  <w:color w:val="0000EE"/>
                  <w:w w:val="94"/>
                </w:rPr>
                <w:t>Item 3.</w:t>
              </w:r>
            </w:hyperlink>
          </w:p>
        </w:tc>
        <w:tc>
          <w:tcPr>
            <w:tcW w:w="460" w:type="dxa"/>
            <w:vAlign w:val="bottom"/>
            <w:gridSpan w:val="3"/>
          </w:tcPr>
          <w:p>
            <w:pPr>
              <w:spacing w:after="0"/>
              <w:rPr>
                <w:sz w:val="24"/>
                <w:szCs w:val="24"/>
                <w:color w:val="auto"/>
              </w:rPr>
            </w:pPr>
          </w:p>
        </w:tc>
        <w:tc>
          <w:tcPr>
            <w:tcW w:w="2300" w:type="dxa"/>
            <w:vAlign w:val="bottom"/>
            <w:tcBorders>
              <w:bottom w:val="single" w:sz="8" w:color="0000EE"/>
            </w:tcBorders>
            <w:gridSpan w:val="7"/>
          </w:tcPr>
          <w:p>
            <w:pPr>
              <w:spacing w:after="0"/>
              <w:rPr>
                <w:rFonts w:ascii="Arial" w:cs="Arial" w:eastAsia="Arial" w:hAnsi="Arial"/>
                <w:sz w:val="18"/>
                <w:szCs w:val="18"/>
                <w:color w:val="0000EE"/>
                <w:w w:val="90"/>
              </w:rPr>
            </w:pPr>
            <w:hyperlink w:anchor="page64">
              <w:r>
                <w:rPr>
                  <w:rFonts w:ascii="Arial" w:cs="Arial" w:eastAsia="Arial" w:hAnsi="Arial"/>
                  <w:sz w:val="18"/>
                  <w:szCs w:val="18"/>
                  <w:color w:val="0000EE"/>
                  <w:w w:val="90"/>
                </w:rPr>
                <w:t>Defaults upon Senior Securities</w:t>
              </w:r>
            </w:hyperlink>
          </w:p>
        </w:tc>
        <w:tc>
          <w:tcPr>
            <w:tcW w:w="7720" w:type="dxa"/>
            <w:vAlign w:val="bottom"/>
            <w:gridSpan w:val="11"/>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59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40" w:type="dxa"/>
            <w:vAlign w:val="bottom"/>
            <w:tcBorders>
              <w:bottom w:val="single" w:sz="8" w:color="0000EE"/>
            </w:tcBorders>
            <w:gridSpan w:val="2"/>
          </w:tcPr>
          <w:p>
            <w:pPr>
              <w:spacing w:after="0"/>
              <w:rPr>
                <w:rFonts w:ascii="Arial" w:cs="Arial" w:eastAsia="Arial" w:hAnsi="Arial"/>
                <w:sz w:val="18"/>
                <w:szCs w:val="18"/>
                <w:color w:val="0000EE"/>
                <w:w w:val="94"/>
              </w:rPr>
            </w:pPr>
            <w:hyperlink w:anchor="page64">
              <w:r>
                <w:rPr>
                  <w:rFonts w:ascii="Arial" w:cs="Arial" w:eastAsia="Arial" w:hAnsi="Arial"/>
                  <w:sz w:val="18"/>
                  <w:szCs w:val="18"/>
                  <w:color w:val="0000EE"/>
                  <w:w w:val="94"/>
                </w:rPr>
                <w:t>Item 4.</w:t>
              </w:r>
            </w:hyperlink>
          </w:p>
        </w:tc>
        <w:tc>
          <w:tcPr>
            <w:tcW w:w="460" w:type="dxa"/>
            <w:vAlign w:val="bottom"/>
            <w:gridSpan w:val="3"/>
          </w:tcPr>
          <w:p>
            <w:pPr>
              <w:spacing w:after="0"/>
              <w:rPr>
                <w:sz w:val="24"/>
                <w:szCs w:val="24"/>
                <w:color w:val="auto"/>
              </w:rPr>
            </w:pPr>
          </w:p>
        </w:tc>
        <w:tc>
          <w:tcPr>
            <w:tcW w:w="1780" w:type="dxa"/>
            <w:vAlign w:val="bottom"/>
            <w:tcBorders>
              <w:bottom w:val="single" w:sz="8" w:color="0000EE"/>
            </w:tcBorders>
            <w:gridSpan w:val="5"/>
          </w:tcPr>
          <w:p>
            <w:pPr>
              <w:spacing w:after="0"/>
              <w:rPr>
                <w:rFonts w:ascii="Arial" w:cs="Arial" w:eastAsia="Arial" w:hAnsi="Arial"/>
                <w:sz w:val="18"/>
                <w:szCs w:val="18"/>
                <w:color w:val="0000EE"/>
                <w:w w:val="91"/>
              </w:rPr>
            </w:pPr>
            <w:hyperlink w:anchor="page64">
              <w:r>
                <w:rPr>
                  <w:rFonts w:ascii="Arial" w:cs="Arial" w:eastAsia="Arial" w:hAnsi="Arial"/>
                  <w:sz w:val="18"/>
                  <w:szCs w:val="18"/>
                  <w:color w:val="0000EE"/>
                  <w:w w:val="91"/>
                </w:rPr>
                <w:t>Mine Safety Disclosures</w:t>
              </w:r>
            </w:hyperlink>
          </w:p>
        </w:tc>
        <w:tc>
          <w:tcPr>
            <w:tcW w:w="8240" w:type="dxa"/>
            <w:vAlign w:val="bottom"/>
            <w:gridSpan w:val="13"/>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59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40" w:type="dxa"/>
            <w:vAlign w:val="bottom"/>
            <w:gridSpan w:val="2"/>
          </w:tcPr>
          <w:p>
            <w:pPr>
              <w:spacing w:after="0"/>
              <w:rPr>
                <w:rFonts w:ascii="Arial" w:cs="Arial" w:eastAsia="Arial" w:hAnsi="Arial"/>
                <w:sz w:val="18"/>
                <w:szCs w:val="18"/>
                <w:color w:val="0000EE"/>
                <w:w w:val="94"/>
              </w:rPr>
            </w:pPr>
            <w:hyperlink w:anchor="page64">
              <w:r>
                <w:rPr>
                  <w:rFonts w:ascii="Arial" w:cs="Arial" w:eastAsia="Arial" w:hAnsi="Arial"/>
                  <w:sz w:val="18"/>
                  <w:szCs w:val="18"/>
                  <w:color w:val="0000EE"/>
                  <w:w w:val="94"/>
                </w:rPr>
                <w:t>Item 5.</w:t>
              </w:r>
            </w:hyperlink>
          </w:p>
        </w:tc>
        <w:tc>
          <w:tcPr>
            <w:tcW w:w="460" w:type="dxa"/>
            <w:vAlign w:val="bottom"/>
            <w:gridSpan w:val="3"/>
          </w:tcPr>
          <w:p>
            <w:pPr>
              <w:spacing w:after="0"/>
              <w:rPr>
                <w:sz w:val="24"/>
                <w:szCs w:val="24"/>
                <w:color w:val="auto"/>
              </w:rPr>
            </w:pPr>
          </w:p>
        </w:tc>
        <w:tc>
          <w:tcPr>
            <w:tcW w:w="10020" w:type="dxa"/>
            <w:vAlign w:val="bottom"/>
            <w:gridSpan w:val="18"/>
          </w:tcPr>
          <w:p>
            <w:pPr>
              <w:spacing w:after="0"/>
              <w:rPr>
                <w:rFonts w:ascii="Arial" w:cs="Arial" w:eastAsia="Arial" w:hAnsi="Arial"/>
                <w:sz w:val="18"/>
                <w:szCs w:val="18"/>
                <w:color w:val="0000EE"/>
              </w:rPr>
            </w:pPr>
            <w:hyperlink w:anchor="page64">
              <w:r>
                <w:rPr>
                  <w:rFonts w:ascii="Arial" w:cs="Arial" w:eastAsia="Arial" w:hAnsi="Arial"/>
                  <w:sz w:val="18"/>
                  <w:szCs w:val="18"/>
                  <w:color w:val="0000EE"/>
                </w:rPr>
                <w:t>Other Information</w:t>
              </w:r>
            </w:hyperlink>
          </w:p>
        </w:tc>
        <w:tc>
          <w:tcPr>
            <w:tcW w:w="300" w:type="dxa"/>
            <w:vAlign w:val="bottom"/>
          </w:tcPr>
          <w:p>
            <w:pPr>
              <w:jc w:val="right"/>
              <w:spacing w:after="0"/>
              <w:rPr>
                <w:sz w:val="20"/>
                <w:szCs w:val="20"/>
                <w:color w:val="auto"/>
              </w:rPr>
            </w:pPr>
            <w:r>
              <w:rPr>
                <w:rFonts w:ascii="Arial" w:cs="Arial" w:eastAsia="Arial" w:hAnsi="Arial"/>
                <w:sz w:val="18"/>
                <w:szCs w:val="18"/>
                <w:color w:val="auto"/>
              </w:rPr>
              <w:t>59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40" w:type="dxa"/>
            <w:vAlign w:val="bottom"/>
            <w:tcBorders>
              <w:top w:val="single" w:sz="8" w:color="0000EE"/>
            </w:tcBorders>
            <w:gridSpan w:val="2"/>
          </w:tcPr>
          <w:p>
            <w:pPr>
              <w:spacing w:after="0"/>
              <w:rPr>
                <w:rFonts w:ascii="Arial" w:cs="Arial" w:eastAsia="Arial" w:hAnsi="Arial"/>
                <w:sz w:val="18"/>
                <w:szCs w:val="18"/>
                <w:color w:val="0000EE"/>
                <w:w w:val="94"/>
              </w:rPr>
            </w:pPr>
            <w:hyperlink w:anchor="page65">
              <w:r>
                <w:rPr>
                  <w:rFonts w:ascii="Arial" w:cs="Arial" w:eastAsia="Arial" w:hAnsi="Arial"/>
                  <w:sz w:val="18"/>
                  <w:szCs w:val="18"/>
                  <w:color w:val="0000EE"/>
                  <w:w w:val="94"/>
                </w:rPr>
                <w:t>Item 6.</w:t>
              </w:r>
            </w:hyperlink>
          </w:p>
        </w:tc>
        <w:tc>
          <w:tcPr>
            <w:tcW w:w="460" w:type="dxa"/>
            <w:vAlign w:val="bottom"/>
            <w:gridSpan w:val="3"/>
          </w:tcPr>
          <w:p>
            <w:pPr>
              <w:spacing w:after="0"/>
              <w:rPr>
                <w:sz w:val="24"/>
                <w:szCs w:val="24"/>
                <w:color w:val="auto"/>
              </w:rPr>
            </w:pPr>
          </w:p>
        </w:tc>
        <w:tc>
          <w:tcPr>
            <w:tcW w:w="1340" w:type="dxa"/>
            <w:vAlign w:val="bottom"/>
            <w:tcBorders>
              <w:top w:val="single" w:sz="8" w:color="0000EE"/>
            </w:tcBorders>
            <w:gridSpan w:val="3"/>
          </w:tcPr>
          <w:p>
            <w:pPr>
              <w:spacing w:after="0"/>
              <w:rPr>
                <w:rFonts w:ascii="Arial" w:cs="Arial" w:eastAsia="Arial" w:hAnsi="Arial"/>
                <w:sz w:val="18"/>
                <w:szCs w:val="18"/>
                <w:color w:val="0000EE"/>
              </w:rPr>
            </w:pPr>
            <w:hyperlink w:anchor="page65">
              <w:r>
                <w:rPr>
                  <w:rFonts w:ascii="Arial" w:cs="Arial" w:eastAsia="Arial" w:hAnsi="Arial"/>
                  <w:sz w:val="18"/>
                  <w:szCs w:val="18"/>
                  <w:color w:val="0000EE"/>
                </w:rPr>
                <w:t>Exhibits</w:t>
              </w:r>
            </w:hyperlink>
          </w:p>
        </w:tc>
        <w:tc>
          <w:tcPr>
            <w:tcW w:w="8680" w:type="dxa"/>
            <w:vAlign w:val="bottom"/>
            <w:gridSpan w:val="15"/>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60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40" w:type="dxa"/>
            <w:vAlign w:val="bottom"/>
            <w:gridSpan w:val="2"/>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00" w:type="dxa"/>
            <w:vAlign w:val="bottom"/>
            <w:gridSpan w:val="5"/>
          </w:tcPr>
          <w:p>
            <w:pPr>
              <w:spacing w:after="0"/>
              <w:rPr>
                <w:rFonts w:ascii="Arial" w:cs="Arial" w:eastAsia="Arial" w:hAnsi="Arial"/>
                <w:sz w:val="18"/>
                <w:szCs w:val="18"/>
                <w:color w:val="0000EE"/>
              </w:rPr>
            </w:pPr>
            <w:hyperlink w:anchor="page66">
              <w:r>
                <w:rPr>
                  <w:rFonts w:ascii="Arial" w:cs="Arial" w:eastAsia="Arial" w:hAnsi="Arial"/>
                  <w:sz w:val="18"/>
                  <w:szCs w:val="18"/>
                  <w:color w:val="0000EE"/>
                </w:rPr>
                <w:t>Signatures</w:t>
              </w:r>
            </w:hyperlink>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61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5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40" w:type="dxa"/>
            <w:vAlign w:val="bottom"/>
          </w:tcPr>
          <w:p>
            <w:pPr>
              <w:spacing w:after="0"/>
              <w:rPr>
                <w:sz w:val="24"/>
                <w:szCs w:val="24"/>
                <w:color w:val="auto"/>
              </w:rPr>
            </w:pPr>
          </w:p>
        </w:tc>
        <w:tc>
          <w:tcPr>
            <w:tcW w:w="5900" w:type="dxa"/>
            <w:vAlign w:val="bottom"/>
            <w:gridSpan w:val="11"/>
          </w:tcPr>
          <w:p>
            <w:pPr>
              <w:ind w:left="4660"/>
              <w:spacing w:after="0"/>
              <w:rPr>
                <w:sz w:val="20"/>
                <w:szCs w:val="20"/>
                <w:color w:val="auto"/>
              </w:rPr>
            </w:pPr>
            <w:r>
              <w:rPr>
                <w:rFonts w:ascii="Arial" w:cs="Arial" w:eastAsia="Arial" w:hAnsi="Arial"/>
                <w:sz w:val="18"/>
                <w:szCs w:val="18"/>
                <w:color w:val="auto"/>
              </w:rPr>
              <w:t>2</w:t>
            </w:r>
          </w:p>
        </w:tc>
        <w:tc>
          <w:tcPr>
            <w:tcW w:w="5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240" w:top="459" w:right="3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Saratoga Investment Corp.</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Assets and Liabilities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9"/>
              </w:rPr>
              <w:t>As of</w:t>
            </w:r>
          </w:p>
        </w:tc>
        <w:tc>
          <w:tcPr>
            <w:tcW w:w="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20" w:type="dxa"/>
            <w:vAlign w:val="bottom"/>
            <w:gridSpan w:val="4"/>
          </w:tcPr>
          <w:p>
            <w:pPr>
              <w:spacing w:after="0" w:line="142" w:lineRule="exact"/>
              <w:rPr>
                <w:sz w:val="20"/>
                <w:szCs w:val="20"/>
                <w:color w:val="auto"/>
              </w:rPr>
            </w:pPr>
            <w:r>
              <w:rPr>
                <w:rFonts w:ascii="Arial" w:cs="Arial" w:eastAsia="Arial" w:hAnsi="Arial"/>
                <w:sz w:val="14"/>
                <w:szCs w:val="14"/>
                <w:color w:val="auto"/>
              </w:rPr>
              <w:t>November 30, 2015</w:t>
            </w:r>
          </w:p>
        </w:tc>
        <w:tc>
          <w:tcPr>
            <w:tcW w:w="40" w:type="dxa"/>
            <w:vAlign w:val="bottom"/>
          </w:tcPr>
          <w:p>
            <w:pPr>
              <w:spacing w:after="0"/>
              <w:rPr>
                <w:sz w:val="12"/>
                <w:szCs w:val="12"/>
                <w:color w:val="auto"/>
              </w:rPr>
            </w:pPr>
          </w:p>
        </w:tc>
        <w:tc>
          <w:tcPr>
            <w:tcW w:w="1080" w:type="dxa"/>
            <w:vAlign w:val="bottom"/>
            <w:gridSpan w:val="2"/>
          </w:tcPr>
          <w:p>
            <w:pPr>
              <w:spacing w:after="0" w:line="142" w:lineRule="exact"/>
              <w:rPr>
                <w:sz w:val="20"/>
                <w:szCs w:val="20"/>
                <w:color w:val="auto"/>
              </w:rPr>
            </w:pPr>
            <w:r>
              <w:rPr>
                <w:rFonts w:ascii="Arial" w:cs="Arial" w:eastAsia="Arial" w:hAnsi="Arial"/>
                <w:sz w:val="14"/>
                <w:szCs w:val="14"/>
                <w:color w:val="auto"/>
                <w:w w:val="92"/>
              </w:rPr>
              <w:t>February 28, 2015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jc w:val="right"/>
              <w:ind w:right="151"/>
              <w:spacing w:after="0" w:line="142" w:lineRule="exact"/>
              <w:rPr>
                <w:sz w:val="20"/>
                <w:szCs w:val="20"/>
                <w:color w:val="auto"/>
              </w:rPr>
            </w:pPr>
            <w:r>
              <w:rPr>
                <w:rFonts w:ascii="Arial" w:cs="Arial" w:eastAsia="Arial" w:hAnsi="Arial"/>
                <w:sz w:val="14"/>
                <w:szCs w:val="14"/>
                <w:color w:val="auto"/>
              </w:rPr>
              <w:t>(unaudited)</w:t>
            </w:r>
          </w:p>
        </w:tc>
        <w:tc>
          <w:tcPr>
            <w:tcW w:w="380" w:type="dxa"/>
            <w:vAlign w:val="bottom"/>
            <w:gridSpan w:val="2"/>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spacing w:after="0"/>
              <w:rPr>
                <w:sz w:val="20"/>
                <w:szCs w:val="20"/>
                <w:color w:val="auto"/>
              </w:rPr>
            </w:pPr>
            <w:r>
              <w:rPr>
                <w:rFonts w:ascii="Arial" w:cs="Arial" w:eastAsia="Arial" w:hAnsi="Arial"/>
                <w:sz w:val="18"/>
                <w:szCs w:val="18"/>
                <w:color w:val="auto"/>
              </w:rPr>
              <w:t>Investments at fair value</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Non-control/non-affiliate investments (amortized cost of $225,051,428 and $222,505,383, respectively)</w:t>
            </w:r>
          </w:p>
        </w:tc>
        <w:tc>
          <w:tcPr>
            <w:tcW w:w="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225,261,956</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1"/>
              </w:rPr>
              <w:t>223,506,589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40" w:type="dxa"/>
            <w:vAlign w:val="bottom"/>
          </w:tcPr>
          <w:p>
            <w:pPr>
              <w:ind w:left="340"/>
              <w:spacing w:after="0"/>
              <w:rPr>
                <w:sz w:val="20"/>
                <w:szCs w:val="20"/>
                <w:color w:val="auto"/>
              </w:rPr>
            </w:pPr>
            <w:r>
              <w:rPr>
                <w:rFonts w:ascii="Arial" w:cs="Arial" w:eastAsia="Arial" w:hAnsi="Arial"/>
                <w:sz w:val="18"/>
                <w:szCs w:val="18"/>
                <w:color w:val="auto"/>
              </w:rPr>
              <w:t>Control investments (cost of $13,667,666 and $15,953,001, respectively)</w:t>
            </w:r>
          </w:p>
        </w:tc>
        <w:tc>
          <w:tcPr>
            <w:tcW w:w="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15,775,843</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17,031,146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investments at fair value (amortized cost of $238,719,094 and $238,458,384, respectively)</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241,037,799</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1"/>
              </w:rPr>
              <w:t>240,537,735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6,019,448</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1,888,158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reserve accounts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21,145,241</w:t>
            </w:r>
          </w:p>
        </w:tc>
        <w:tc>
          <w:tcPr>
            <w:tcW w:w="3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18,175,214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spacing w:after="0"/>
              <w:rPr>
                <w:sz w:val="20"/>
                <w:szCs w:val="20"/>
                <w:color w:val="auto"/>
              </w:rPr>
            </w:pPr>
            <w:r>
              <w:rPr>
                <w:rFonts w:ascii="Arial" w:cs="Arial" w:eastAsia="Arial" w:hAnsi="Arial"/>
                <w:sz w:val="18"/>
                <w:szCs w:val="18"/>
                <w:color w:val="auto"/>
              </w:rPr>
              <w:t>Interest receivable, (net of reserve of $537,847 and $309,498, respectively)</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2,973,737</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2,469,398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Management fee receivable</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170,256</w:t>
            </w:r>
          </w:p>
        </w:tc>
        <w:tc>
          <w:tcPr>
            <w:tcW w:w="3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171,913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40" w:type="dxa"/>
            <w:vAlign w:val="bottom"/>
          </w:tcPr>
          <w:p>
            <w:pPr>
              <w:spacing w:after="0"/>
              <w:rPr>
                <w:sz w:val="20"/>
                <w:szCs w:val="20"/>
                <w:color w:val="auto"/>
              </w:rPr>
            </w:pPr>
            <w:r>
              <w:rPr>
                <w:rFonts w:ascii="Arial" w:cs="Arial" w:eastAsia="Arial" w:hAnsi="Arial"/>
                <w:sz w:val="18"/>
                <w:szCs w:val="18"/>
                <w:color w:val="auto"/>
              </w:rPr>
              <w:t>Other assets</w:t>
            </w:r>
          </w:p>
        </w:tc>
        <w:tc>
          <w:tcPr>
            <w:tcW w:w="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396,659</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317,637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assets</w:t>
            </w:r>
          </w:p>
        </w:tc>
        <w:tc>
          <w:tcPr>
            <w:tcW w:w="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271,743,140</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1"/>
              </w:rPr>
              <w:t>263,560,055</w:t>
            </w:r>
          </w:p>
        </w:tc>
        <w:tc>
          <w:tcPr>
            <w:tcW w:w="0" w:type="dxa"/>
            <w:vAlign w:val="bottom"/>
          </w:tcPr>
          <w:p>
            <w:pPr>
              <w:spacing w:after="0"/>
              <w:rPr>
                <w:sz w:val="1"/>
                <w:szCs w:val="1"/>
                <w:color w:val="auto"/>
              </w:rPr>
            </w:pPr>
          </w:p>
        </w:tc>
      </w:tr>
      <w:tr>
        <w:trPr>
          <w:trHeight w:val="20"/>
        </w:trPr>
        <w:tc>
          <w:tcPr>
            <w:tcW w:w="8660" w:type="dxa"/>
            <w:vAlign w:val="bottom"/>
            <w:gridSpan w:val="2"/>
            <w:vMerge w:val="restart"/>
          </w:tcPr>
          <w:p>
            <w:pPr>
              <w:spacing w:after="0"/>
              <w:rPr>
                <w:sz w:val="20"/>
                <w:szCs w:val="20"/>
                <w:color w:val="auto"/>
              </w:rPr>
            </w:pPr>
            <w:r>
              <w:rPr>
                <w:rFonts w:ascii="Arial" w:cs="Arial" w:eastAsia="Arial" w:hAnsi="Arial"/>
                <w:sz w:val="18"/>
                <w:szCs w:val="18"/>
                <w:color w:val="auto"/>
              </w:rPr>
              <w:t>LIABILITIES</w:t>
            </w: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66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Revolving credit facility</w:t>
            </w:r>
          </w:p>
        </w:tc>
        <w:tc>
          <w:tcPr>
            <w:tcW w:w="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360" w:type="dxa"/>
            <w:vAlign w:val="bottom"/>
            <w:gridSpan w:val="3"/>
            <w:shd w:val="clear" w:color="auto" w:fill="CCEEFF"/>
          </w:tcPr>
          <w:p>
            <w:pPr>
              <w:jc w:val="right"/>
              <w:ind w:right="408"/>
              <w:spacing w:after="0"/>
              <w:rPr>
                <w:sz w:val="20"/>
                <w:szCs w:val="20"/>
                <w:color w:val="auto"/>
              </w:rPr>
            </w:pPr>
            <w:r>
              <w:rPr>
                <w:rFonts w:ascii="Arial" w:cs="Arial" w:eastAsia="Arial" w:hAnsi="Arial"/>
                <w:sz w:val="18"/>
                <w:szCs w:val="18"/>
                <w:color w:val="auto"/>
              </w:rPr>
              <w:t>—</w:t>
            </w:r>
          </w:p>
        </w:tc>
        <w:tc>
          <w:tcPr>
            <w:tcW w:w="1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spacing w:after="0"/>
              <w:rPr>
                <w:sz w:val="20"/>
                <w:szCs w:val="20"/>
                <w:color w:val="auto"/>
              </w:rPr>
            </w:pPr>
            <w:r>
              <w:rPr>
                <w:rFonts w:ascii="Arial" w:cs="Arial" w:eastAsia="Arial" w:hAnsi="Arial"/>
                <w:sz w:val="18"/>
                <w:szCs w:val="18"/>
                <w:color w:val="auto"/>
              </w:rPr>
              <w:t>Deferred debt financing costs, revolving credit facility</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3"/>
          </w:tcPr>
          <w:p>
            <w:pPr>
              <w:jc w:val="right"/>
              <w:ind w:right="248"/>
              <w:spacing w:after="0"/>
              <w:rPr>
                <w:sz w:val="20"/>
                <w:szCs w:val="20"/>
                <w:color w:val="auto"/>
              </w:rPr>
            </w:pPr>
            <w:r>
              <w:rPr>
                <w:rFonts w:ascii="Arial" w:cs="Arial" w:eastAsia="Arial" w:hAnsi="Arial"/>
                <w:sz w:val="18"/>
                <w:szCs w:val="18"/>
                <w:color w:val="auto"/>
              </w:rPr>
              <w:t>(535,533)</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(594,845)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SBA debentures payable</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79,000,000</w:t>
            </w:r>
          </w:p>
        </w:tc>
        <w:tc>
          <w:tcPr>
            <w:tcW w:w="3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spacing w:after="0"/>
              <w:rPr>
                <w:sz w:val="20"/>
                <w:szCs w:val="20"/>
                <w:color w:val="auto"/>
              </w:rPr>
            </w:pPr>
            <w:r>
              <w:rPr>
                <w:rFonts w:ascii="Arial" w:cs="Arial" w:eastAsia="Arial" w:hAnsi="Arial"/>
                <w:sz w:val="18"/>
                <w:szCs w:val="18"/>
                <w:color w:val="auto"/>
              </w:rPr>
              <w:t>Deferred debt financing costs, SBA debentures payable</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3"/>
          </w:tcPr>
          <w:p>
            <w:pPr>
              <w:jc w:val="right"/>
              <w:ind w:right="248"/>
              <w:spacing w:after="0"/>
              <w:rPr>
                <w:sz w:val="20"/>
                <w:szCs w:val="20"/>
                <w:color w:val="auto"/>
              </w:rPr>
            </w:pPr>
            <w:r>
              <w:rPr>
                <w:rFonts w:ascii="Arial" w:cs="Arial" w:eastAsia="Arial" w:hAnsi="Arial"/>
                <w:sz w:val="18"/>
                <w:szCs w:val="18"/>
                <w:color w:val="auto"/>
              </w:rPr>
              <w:t>(2,014,360)</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(2,340,894)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Notes payable</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61,374,525</w:t>
            </w:r>
          </w:p>
        </w:tc>
        <w:tc>
          <w:tcPr>
            <w:tcW w:w="3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48,300,000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spacing w:after="0"/>
              <w:rPr>
                <w:sz w:val="20"/>
                <w:szCs w:val="20"/>
                <w:color w:val="auto"/>
              </w:rPr>
            </w:pPr>
            <w:r>
              <w:rPr>
                <w:rFonts w:ascii="Arial" w:cs="Arial" w:eastAsia="Arial" w:hAnsi="Arial"/>
                <w:sz w:val="18"/>
                <w:szCs w:val="18"/>
                <w:color w:val="auto"/>
              </w:rPr>
              <w:t>Deferred debt financing costs, notes payable</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3"/>
          </w:tcPr>
          <w:p>
            <w:pPr>
              <w:jc w:val="right"/>
              <w:ind w:right="248"/>
              <w:spacing w:after="0"/>
              <w:rPr>
                <w:sz w:val="20"/>
                <w:szCs w:val="20"/>
                <w:color w:val="auto"/>
              </w:rPr>
            </w:pPr>
            <w:r>
              <w:rPr>
                <w:rFonts w:ascii="Arial" w:cs="Arial" w:eastAsia="Arial" w:hAnsi="Arial"/>
                <w:sz w:val="18"/>
                <w:szCs w:val="18"/>
                <w:color w:val="auto"/>
              </w:rPr>
              <w:t>(1,760,041)</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(1,847,564)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Dividend payable</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886,817</w:t>
            </w:r>
          </w:p>
        </w:tc>
        <w:tc>
          <w:tcPr>
            <w:tcW w:w="3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402,200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spacing w:after="0"/>
              <w:rPr>
                <w:sz w:val="20"/>
                <w:szCs w:val="20"/>
                <w:color w:val="auto"/>
              </w:rPr>
            </w:pPr>
            <w:r>
              <w:rPr>
                <w:rFonts w:ascii="Arial" w:cs="Arial" w:eastAsia="Arial" w:hAnsi="Arial"/>
                <w:sz w:val="18"/>
                <w:szCs w:val="18"/>
                <w:color w:val="auto"/>
              </w:rPr>
              <w:t>Base management and incentive fees payable</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5,657,867</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5,835,941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 and accrued expenses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648,275</w:t>
            </w:r>
          </w:p>
        </w:tc>
        <w:tc>
          <w:tcPr>
            <w:tcW w:w="3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835,189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spacing w:after="0"/>
              <w:rPr>
                <w:sz w:val="20"/>
                <w:szCs w:val="20"/>
                <w:color w:val="auto"/>
              </w:rPr>
            </w:pPr>
            <w:r>
              <w:rPr>
                <w:rFonts w:ascii="Arial" w:cs="Arial" w:eastAsia="Arial" w:hAnsi="Arial"/>
                <w:sz w:val="18"/>
                <w:szCs w:val="18"/>
                <w:color w:val="auto"/>
              </w:rPr>
              <w:t>Interest and debt fees payable</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850,362</w:t>
            </w: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1,405,466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Due to manager</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361,862</w:t>
            </w:r>
          </w:p>
        </w:tc>
        <w:tc>
          <w:tcPr>
            <w:tcW w:w="3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365,820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40" w:type="dxa"/>
            <w:vAlign w:val="bottom"/>
          </w:tcPr>
          <w:p>
            <w:pPr>
              <w:ind w:left="340"/>
              <w:spacing w:after="0"/>
              <w:rPr>
                <w:sz w:val="20"/>
                <w:szCs w:val="20"/>
                <w:color w:val="auto"/>
              </w:rPr>
            </w:pPr>
            <w:r>
              <w:rPr>
                <w:rFonts w:ascii="Arial" w:cs="Arial" w:eastAsia="Arial" w:hAnsi="Arial"/>
                <w:sz w:val="18"/>
                <w:szCs w:val="18"/>
                <w:color w:val="auto"/>
              </w:rPr>
              <w:t>Total liabilities</w:t>
            </w:r>
          </w:p>
        </w:tc>
        <w:tc>
          <w:tcPr>
            <w:tcW w:w="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144,469,774</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140,961,313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(See Note 7)</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8660" w:type="dxa"/>
            <w:vAlign w:val="bottom"/>
            <w:gridSpan w:val="2"/>
          </w:tcPr>
          <w:p>
            <w:pPr>
              <w:spacing w:after="0"/>
              <w:rPr>
                <w:sz w:val="20"/>
                <w:szCs w:val="20"/>
                <w:color w:val="auto"/>
              </w:rPr>
            </w:pPr>
            <w:r>
              <w:rPr>
                <w:rFonts w:ascii="Arial" w:cs="Arial" w:eastAsia="Arial" w:hAnsi="Arial"/>
                <w:sz w:val="18"/>
                <w:szCs w:val="18"/>
                <w:color w:val="auto"/>
              </w:rPr>
              <w:t>NET ASSETS</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6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2"/>
              </w:rPr>
              <w:t>Common stock, par value $.001, 100,000,000 common shares authorized, 5,634,115 and 5,401,899 common shares</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issued and outstanding, respectively</w:t>
            </w:r>
          </w:p>
        </w:tc>
        <w:tc>
          <w:tcPr>
            <w:tcW w:w="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5,634</w:t>
            </w:r>
          </w:p>
        </w:tc>
        <w:tc>
          <w:tcPr>
            <w:tcW w:w="360" w:type="dxa"/>
            <w:vAlign w:val="bottom"/>
            <w:shd w:val="clear" w:color="auto" w:fill="CCEEFF"/>
          </w:tcPr>
          <w:p>
            <w:pPr>
              <w:spacing w:after="0"/>
              <w:rPr>
                <w:sz w:val="20"/>
                <w:szCs w:val="20"/>
                <w:color w:val="auto"/>
              </w:rPr>
            </w:pPr>
          </w:p>
        </w:tc>
        <w:tc>
          <w:tcPr>
            <w:tcW w:w="1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spacing w:after="0"/>
              <w:rPr>
                <w:sz w:val="20"/>
                <w:szCs w:val="20"/>
                <w:color w:val="auto"/>
              </w:rPr>
            </w:pPr>
            <w:r>
              <w:rPr>
                <w:rFonts w:ascii="Arial" w:cs="Arial" w:eastAsia="Arial" w:hAnsi="Arial"/>
                <w:sz w:val="18"/>
                <w:szCs w:val="18"/>
                <w:color w:val="auto"/>
              </w:rPr>
              <w:t>Capital in excess of par value</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5"/>
              </w:rPr>
              <w:t>188,270,413</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w w:val="91"/>
              </w:rPr>
              <w:t>184,877,680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Distribution in excess of net investment income</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248"/>
              <w:spacing w:after="0"/>
              <w:rPr>
                <w:sz w:val="20"/>
                <w:szCs w:val="20"/>
                <w:color w:val="auto"/>
              </w:rPr>
            </w:pPr>
            <w:r>
              <w:rPr>
                <w:rFonts w:ascii="Arial" w:cs="Arial" w:eastAsia="Arial" w:hAnsi="Arial"/>
                <w:sz w:val="18"/>
                <w:szCs w:val="18"/>
                <w:color w:val="auto"/>
                <w:w w:val="99"/>
              </w:rPr>
              <w:t>(27,094,304)</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(23,905,603)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spacing w:after="0"/>
              <w:rPr>
                <w:sz w:val="20"/>
                <w:szCs w:val="20"/>
                <w:color w:val="auto"/>
              </w:rPr>
            </w:pPr>
            <w:r>
              <w:rPr>
                <w:rFonts w:ascii="Arial" w:cs="Arial" w:eastAsia="Arial" w:hAnsi="Arial"/>
                <w:sz w:val="18"/>
                <w:szCs w:val="18"/>
                <w:color w:val="auto"/>
              </w:rPr>
              <w:t>Accumulated net realized loss from investments and derivatives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3"/>
          </w:tcPr>
          <w:p>
            <w:pPr>
              <w:jc w:val="right"/>
              <w:ind w:right="248"/>
              <w:spacing w:after="0"/>
              <w:rPr>
                <w:sz w:val="20"/>
                <w:szCs w:val="20"/>
                <w:color w:val="auto"/>
              </w:rPr>
            </w:pPr>
            <w:r>
              <w:rPr>
                <w:rFonts w:ascii="Arial" w:cs="Arial" w:eastAsia="Arial" w:hAnsi="Arial"/>
                <w:sz w:val="18"/>
                <w:szCs w:val="18"/>
                <w:color w:val="auto"/>
                <w:w w:val="99"/>
              </w:rPr>
              <w:t>(36,227,082)</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(40,458,088)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Accumulated net unrealized appreciation on investments and derivatives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2,318,705</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2,079,351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40" w:type="dxa"/>
            <w:vAlign w:val="bottom"/>
          </w:tcPr>
          <w:p>
            <w:pPr>
              <w:ind w:left="340"/>
              <w:spacing w:after="0"/>
              <w:rPr>
                <w:sz w:val="20"/>
                <w:szCs w:val="20"/>
                <w:color w:val="auto"/>
              </w:rPr>
            </w:pPr>
            <w:r>
              <w:rPr>
                <w:rFonts w:ascii="Arial" w:cs="Arial" w:eastAsia="Arial" w:hAnsi="Arial"/>
                <w:sz w:val="18"/>
                <w:szCs w:val="18"/>
                <w:color w:val="auto"/>
              </w:rPr>
              <w:t>Total net assets</w:t>
            </w:r>
          </w:p>
        </w:tc>
        <w:tc>
          <w:tcPr>
            <w:tcW w:w="2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127,273,366</w:t>
            </w: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122,598,742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and net assets</w:t>
            </w:r>
          </w:p>
        </w:tc>
        <w:tc>
          <w:tcPr>
            <w:tcW w:w="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271,743,140</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1"/>
              </w:rPr>
              <w:t>263,560,055</w:t>
            </w:r>
          </w:p>
        </w:tc>
        <w:tc>
          <w:tcPr>
            <w:tcW w:w="0" w:type="dxa"/>
            <w:vAlign w:val="bottom"/>
          </w:tcPr>
          <w:p>
            <w:pPr>
              <w:spacing w:after="0"/>
              <w:rPr>
                <w:sz w:val="1"/>
                <w:szCs w:val="1"/>
                <w:color w:val="auto"/>
              </w:rPr>
            </w:pPr>
          </w:p>
        </w:tc>
      </w:tr>
      <w:tr>
        <w:trPr>
          <w:trHeight w:val="20"/>
        </w:trPr>
        <w:tc>
          <w:tcPr>
            <w:tcW w:w="8660" w:type="dxa"/>
            <w:vAlign w:val="bottom"/>
            <w:gridSpan w:val="2"/>
            <w:vMerge w:val="restart"/>
          </w:tcPr>
          <w:p>
            <w:pPr>
              <w:spacing w:after="0"/>
              <w:rPr>
                <w:sz w:val="20"/>
                <w:szCs w:val="20"/>
                <w:color w:val="auto"/>
              </w:rPr>
            </w:pPr>
            <w:r>
              <w:rPr>
                <w:rFonts w:ascii="Arial" w:cs="Arial" w:eastAsia="Arial" w:hAnsi="Arial"/>
                <w:sz w:val="18"/>
                <w:szCs w:val="18"/>
                <w:color w:val="auto"/>
              </w:rPr>
              <w:t>NET ASSET VALUE PER SHARE</w:t>
            </w: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660" w:type="dxa"/>
            <w:vAlign w:val="bottom"/>
            <w:gridSpan w:val="2"/>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22.59</w:t>
            </w:r>
          </w:p>
        </w:tc>
        <w:tc>
          <w:tcPr>
            <w:tcW w:w="20" w:type="dxa"/>
            <w:vAlign w:val="bottom"/>
            <w:tcBorders>
              <w:bottom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Saratoga Investment Corp.</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00" w:type="dxa"/>
            <w:vAlign w:val="bottom"/>
            <w:gridSpan w:val="6"/>
          </w:tcPr>
          <w:p>
            <w:pPr>
              <w:jc w:val="right"/>
              <w:ind w:right="340"/>
              <w:spacing w:after="0"/>
              <w:rPr>
                <w:sz w:val="20"/>
                <w:szCs w:val="20"/>
                <w:color w:val="auto"/>
              </w:rPr>
            </w:pPr>
            <w:r>
              <w:rPr>
                <w:rFonts w:ascii="Arial" w:cs="Arial" w:eastAsia="Arial" w:hAnsi="Arial"/>
                <w:sz w:val="14"/>
                <w:szCs w:val="14"/>
                <w:b w:val="1"/>
                <w:bCs w:val="1"/>
                <w:color w:val="auto"/>
                <w:w w:val="93"/>
              </w:rPr>
              <w:t>For the three months ended</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40" w:type="dxa"/>
            <w:vAlign w:val="bottom"/>
            <w:gridSpan w:val="6"/>
          </w:tcPr>
          <w:p>
            <w:pPr>
              <w:jc w:val="right"/>
              <w:ind w:right="360"/>
              <w:spacing w:after="0"/>
              <w:rPr>
                <w:sz w:val="20"/>
                <w:szCs w:val="20"/>
                <w:color w:val="auto"/>
              </w:rPr>
            </w:pPr>
            <w:r>
              <w:rPr>
                <w:rFonts w:ascii="Arial" w:cs="Arial" w:eastAsia="Arial" w:hAnsi="Arial"/>
                <w:sz w:val="14"/>
                <w:szCs w:val="14"/>
                <w:b w:val="1"/>
                <w:bCs w:val="1"/>
                <w:color w:val="auto"/>
                <w:w w:val="97"/>
              </w:rPr>
              <w:t>For the nine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00" w:type="dxa"/>
            <w:vAlign w:val="bottom"/>
            <w:gridSpan w:val="6"/>
          </w:tcPr>
          <w:p>
            <w:pPr>
              <w:jc w:val="right"/>
              <w:ind w:right="800"/>
              <w:spacing w:after="0"/>
              <w:rPr>
                <w:sz w:val="20"/>
                <w:szCs w:val="20"/>
                <w:color w:val="auto"/>
              </w:rPr>
            </w:pPr>
            <w:r>
              <w:rPr>
                <w:rFonts w:ascii="Arial" w:cs="Arial" w:eastAsia="Arial" w:hAnsi="Arial"/>
                <w:sz w:val="14"/>
                <w:szCs w:val="14"/>
                <w:b w:val="1"/>
                <w:bCs w:val="1"/>
                <w:color w:val="auto"/>
              </w:rPr>
              <w:t>November 30</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40" w:type="dxa"/>
            <w:vAlign w:val="bottom"/>
            <w:gridSpan w:val="6"/>
          </w:tcPr>
          <w:p>
            <w:pPr>
              <w:jc w:val="right"/>
              <w:ind w:right="760"/>
              <w:spacing w:after="0"/>
              <w:rPr>
                <w:sz w:val="20"/>
                <w:szCs w:val="20"/>
                <w:color w:val="auto"/>
              </w:rPr>
            </w:pPr>
            <w:r>
              <w:rPr>
                <w:rFonts w:ascii="Arial" w:cs="Arial" w:eastAsia="Arial" w:hAnsi="Arial"/>
                <w:sz w:val="14"/>
                <w:szCs w:val="14"/>
                <w:b w:val="1"/>
                <w:bCs w:val="1"/>
                <w:color w:val="auto"/>
              </w:rPr>
              <w:t>November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4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2015</w:t>
            </w:r>
          </w:p>
        </w:tc>
        <w:tc>
          <w:tcPr>
            <w:tcW w:w="16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191"/>
              <w:spacing w:after="0" w:line="142" w:lineRule="exact"/>
              <w:rPr>
                <w:sz w:val="20"/>
                <w:szCs w:val="20"/>
                <w:color w:val="auto"/>
              </w:rPr>
            </w:pPr>
            <w:r>
              <w:rPr>
                <w:rFonts w:ascii="Arial" w:cs="Arial" w:eastAsia="Arial" w:hAnsi="Arial"/>
                <w:sz w:val="14"/>
                <w:szCs w:val="14"/>
                <w:b w:val="1"/>
                <w:bCs w:val="1"/>
                <w:color w:val="auto"/>
              </w:rPr>
              <w:t>2014</w:t>
            </w:r>
          </w:p>
        </w:tc>
        <w:tc>
          <w:tcPr>
            <w:tcW w:w="2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rPr>
              <w:t>2015</w:t>
            </w:r>
          </w:p>
        </w:tc>
        <w:tc>
          <w:tcPr>
            <w:tcW w:w="20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8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INVESTMENT INCOME</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Interest from investments</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Non-control/Non-affiliate investments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5,435,083</w:t>
            </w:r>
          </w:p>
        </w:tc>
        <w:tc>
          <w:tcPr>
            <w:tcW w:w="16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5,038,877</w:t>
            </w:r>
          </w:p>
        </w:tc>
        <w:tc>
          <w:tcPr>
            <w:tcW w:w="2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16,961,744</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14,794,342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ind w:left="340"/>
              <w:spacing w:after="0"/>
              <w:rPr>
                <w:sz w:val="20"/>
                <w:szCs w:val="20"/>
                <w:color w:val="auto"/>
              </w:rPr>
            </w:pPr>
            <w:r>
              <w:rPr>
                <w:rFonts w:ascii="Arial" w:cs="Arial" w:eastAsia="Arial" w:hAnsi="Arial"/>
                <w:sz w:val="18"/>
                <w:szCs w:val="18"/>
                <w:color w:val="auto"/>
              </w:rPr>
              <w:t>Payment-in-kind interest income from Non-control/Non-affiliate investments</w:t>
            </w:r>
          </w:p>
        </w:tc>
        <w:tc>
          <w:tcPr>
            <w:tcW w:w="1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41,322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319,994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995,465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902,536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Control investments</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750,605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694,641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7"/>
              </w:rPr>
              <w:t>2,020,301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1,996,010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40" w:type="dxa"/>
            <w:vAlign w:val="bottom"/>
          </w:tcPr>
          <w:p>
            <w:pPr>
              <w:ind w:left="700"/>
              <w:spacing w:after="0"/>
              <w:rPr>
                <w:sz w:val="20"/>
                <w:szCs w:val="20"/>
                <w:color w:val="auto"/>
              </w:rPr>
            </w:pPr>
            <w:r>
              <w:rPr>
                <w:rFonts w:ascii="Arial" w:cs="Arial" w:eastAsia="Arial" w:hAnsi="Arial"/>
                <w:sz w:val="18"/>
                <w:szCs w:val="18"/>
                <w:color w:val="auto"/>
              </w:rPr>
              <w:t>Total interest income</w:t>
            </w: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6,227,010</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6,053,512</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19,977,510</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17,692,888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Interest from cash and cash equivalents</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1,024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2,774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Management fee income</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369,388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383,012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w w:val="97"/>
              </w:rPr>
              <w:t>1,121,286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1,150,505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Other income</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338,219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867,409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7"/>
              </w:rPr>
              <w:t>1,153,838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1,078,239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840" w:type="dxa"/>
            <w:vAlign w:val="bottom"/>
          </w:tcPr>
          <w:p>
            <w:pPr>
              <w:ind w:left="340"/>
              <w:spacing w:after="0"/>
              <w:rPr>
                <w:sz w:val="20"/>
                <w:szCs w:val="20"/>
                <w:color w:val="auto"/>
              </w:rPr>
            </w:pPr>
            <w:r>
              <w:rPr>
                <w:rFonts w:ascii="Arial" w:cs="Arial" w:eastAsia="Arial" w:hAnsi="Arial"/>
                <w:sz w:val="18"/>
                <w:szCs w:val="18"/>
                <w:color w:val="auto"/>
              </w:rPr>
              <w:t>Total investment income</w:t>
            </w: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6,935,924</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7,304,957</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22,255,408</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19,924,370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EXPENSES</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Interest and debt financing expenses</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2,129,105</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1,869,176</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w w:val="97"/>
              </w:rPr>
              <w:t>6,240,946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5,466,279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Base management fees</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1,091,405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1,087,734</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7"/>
              </w:rPr>
              <w:t>3,366,739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3,093,399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Professional fees</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347,639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225,776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w w:val="97"/>
              </w:rPr>
              <w:t>1,030,616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937,083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Administrator expenses</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325,000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250,000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850,000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Incentive management fees</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404,218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932,609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w w:val="97"/>
              </w:rPr>
              <w:t>2,160,772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2,079,976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Insurance</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85,262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83,388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259,895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252,002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Directors fees and expenses</w:t>
            </w:r>
          </w:p>
        </w:tc>
        <w:tc>
          <w:tcPr>
            <w:tcW w:w="1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51,000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51,000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153,000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159,761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General &amp; administrative</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351,875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176,293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738,244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400,487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Excise tax expense (credit)</w:t>
            </w:r>
          </w:p>
        </w:tc>
        <w:tc>
          <w:tcPr>
            <w:tcW w:w="100" w:type="dxa"/>
            <w:vAlign w:val="bottom"/>
          </w:tcPr>
          <w:p>
            <w:pPr>
              <w:spacing w:after="0"/>
              <w:rPr>
                <w:sz w:val="18"/>
                <w:szCs w:val="18"/>
                <w:color w:val="auto"/>
              </w:rPr>
            </w:pP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(123,338)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8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expenses</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4,785,504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4,675,976</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14,676,874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13,138,987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840" w:type="dxa"/>
            <w:vAlign w:val="bottom"/>
          </w:tcPr>
          <w:p>
            <w:pPr>
              <w:ind w:left="340"/>
              <w:spacing w:after="0"/>
              <w:rPr>
                <w:sz w:val="20"/>
                <w:szCs w:val="20"/>
                <w:color w:val="auto"/>
              </w:rPr>
            </w:pPr>
            <w:r>
              <w:rPr>
                <w:rFonts w:ascii="Arial" w:cs="Arial" w:eastAsia="Arial" w:hAnsi="Arial"/>
                <w:sz w:val="18"/>
                <w:szCs w:val="18"/>
                <w:color w:val="auto"/>
              </w:rPr>
              <w:t>NET INVESTMENT INCOME</w:t>
            </w: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2,150,420</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2,628,981</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7,578,534</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6,785,383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REALIZED AND UNREALIZED GAIN (LOSS) ON INVESTMENTS:</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Net realized gain from investments</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447,813</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2,761,558</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w w:val="97"/>
              </w:rPr>
              <w:t>4,231,006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3,203,399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Net unrealized appreciation/(depreciation) on investments</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823,093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9"/>
              </w:rPr>
              <w:t>(2,005,072)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239,354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3"/>
              </w:rPr>
              <w:t>(1,686,263)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840" w:type="dxa"/>
            <w:vAlign w:val="bottom"/>
          </w:tcPr>
          <w:p>
            <w:pPr>
              <w:ind w:left="340"/>
              <w:spacing w:after="0"/>
              <w:rPr>
                <w:sz w:val="20"/>
                <w:szCs w:val="20"/>
                <w:color w:val="auto"/>
              </w:rPr>
            </w:pPr>
            <w:r>
              <w:rPr>
                <w:rFonts w:ascii="Arial" w:cs="Arial" w:eastAsia="Arial" w:hAnsi="Arial"/>
                <w:sz w:val="18"/>
                <w:szCs w:val="18"/>
                <w:color w:val="auto"/>
              </w:rPr>
              <w:t>Net gain on investments</w:t>
            </w: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1,270,906</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756,486</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4,470,360</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1,517,136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NET INCREASE IN NET ASSETS RESULTING FROM OPERATIONS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3,421,326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3,385,467</w:t>
            </w:r>
          </w:p>
        </w:tc>
        <w:tc>
          <w:tcPr>
            <w:tcW w:w="2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12,048,894</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8,302,519</w:t>
            </w:r>
          </w:p>
        </w:tc>
        <w:tc>
          <w:tcPr>
            <w:tcW w:w="0" w:type="dxa"/>
            <w:vAlign w:val="bottom"/>
          </w:tcPr>
          <w:p>
            <w:pPr>
              <w:spacing w:after="0"/>
              <w:rPr>
                <w:sz w:val="1"/>
                <w:szCs w:val="1"/>
                <w:color w:val="auto"/>
              </w:rPr>
            </w:pPr>
          </w:p>
        </w:tc>
      </w:tr>
      <w:tr>
        <w:trPr>
          <w:trHeight w:val="20"/>
        </w:trPr>
        <w:tc>
          <w:tcPr>
            <w:tcW w:w="6860" w:type="dxa"/>
            <w:vAlign w:val="bottom"/>
            <w:gridSpan w:val="2"/>
            <w:vMerge w:val="restart"/>
          </w:tcPr>
          <w:p>
            <w:pPr>
              <w:spacing w:after="0"/>
              <w:rPr>
                <w:sz w:val="20"/>
                <w:szCs w:val="20"/>
                <w:color w:val="auto"/>
              </w:rPr>
            </w:pPr>
            <w:r>
              <w:rPr>
                <w:rFonts w:ascii="Arial" w:cs="Arial" w:eastAsia="Arial" w:hAnsi="Arial"/>
                <w:sz w:val="18"/>
                <w:szCs w:val="18"/>
                <w:color w:val="auto"/>
              </w:rPr>
              <w:t>WEIGHTED AVERAGE - BASIC AND DILUTED EARNINGS PER COMMON SHARE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860" w:type="dxa"/>
            <w:vAlign w:val="bottom"/>
            <w:gridSpan w:val="2"/>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0.61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0.63</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2.18</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1.54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COMMON STOCK OUTSTANDING - BASIC AND DILUTED</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5,632,011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5,379,616</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7"/>
              </w:rPr>
              <w:t>5,533,094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5,379,616</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Saratoga Investment Corp.</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November 30, 2015</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60" w:type="dxa"/>
            <w:vAlign w:val="bottom"/>
            <w:gridSpan w:val="2"/>
            <w:vMerge w:val="restart"/>
          </w:tcPr>
          <w:p>
            <w:pPr>
              <w:ind w:left="280"/>
              <w:spacing w:after="0"/>
              <w:rPr>
                <w:sz w:val="20"/>
                <w:szCs w:val="20"/>
                <w:color w:val="auto"/>
              </w:rPr>
            </w:pPr>
            <w:r>
              <w:rPr>
                <w:rFonts w:ascii="Arial" w:cs="Arial" w:eastAsia="Arial" w:hAnsi="Arial"/>
                <w:sz w:val="14"/>
                <w:szCs w:val="14"/>
                <w:b w:val="1"/>
                <w:bCs w:val="1"/>
                <w:color w:val="auto"/>
              </w:rPr>
              <w:t>Investment Interest Rate /</w:t>
            </w:r>
          </w:p>
        </w:tc>
        <w:tc>
          <w:tcPr>
            <w:tcW w:w="8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5"/>
              </w:rPr>
              <w:t>Principal/</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44"/>
        </w:trPr>
        <w:tc>
          <w:tcPr>
            <w:tcW w:w="38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Company</w:t>
            </w:r>
          </w:p>
        </w:tc>
        <w:tc>
          <w:tcPr>
            <w:tcW w:w="1660" w:type="dxa"/>
            <w:vAlign w:val="bottom"/>
            <w:gridSpan w:val="2"/>
            <w:vMerge w:val="restart"/>
          </w:tcPr>
          <w:p>
            <w:pPr>
              <w:ind w:left="520"/>
              <w:spacing w:after="0"/>
              <w:rPr>
                <w:sz w:val="20"/>
                <w:szCs w:val="20"/>
                <w:color w:val="auto"/>
              </w:rPr>
            </w:pPr>
            <w:r>
              <w:rPr>
                <w:rFonts w:ascii="Arial" w:cs="Arial" w:eastAsia="Arial" w:hAnsi="Arial"/>
                <w:sz w:val="14"/>
                <w:szCs w:val="14"/>
                <w:b w:val="1"/>
                <w:bCs w:val="1"/>
                <w:color w:val="auto"/>
              </w:rPr>
              <w:t>Industry</w:t>
            </w:r>
          </w:p>
        </w:tc>
        <w:tc>
          <w:tcPr>
            <w:tcW w:w="2260" w:type="dxa"/>
            <w:vAlign w:val="bottom"/>
            <w:gridSpan w:val="2"/>
            <w:vMerge w:val="continue"/>
          </w:tcPr>
          <w:p>
            <w:pPr>
              <w:spacing w:after="0"/>
              <w:rPr>
                <w:sz w:val="12"/>
                <w:szCs w:val="12"/>
                <w:color w:val="auto"/>
              </w:rPr>
            </w:pPr>
          </w:p>
        </w:tc>
        <w:tc>
          <w:tcPr>
            <w:tcW w:w="820" w:type="dxa"/>
            <w:vAlign w:val="bottom"/>
            <w:gridSpan w:val="3"/>
          </w:tcPr>
          <w:p>
            <w:pPr>
              <w:jc w:val="center"/>
              <w:ind w:right="80"/>
              <w:spacing w:after="0" w:line="145" w:lineRule="exact"/>
              <w:rPr>
                <w:sz w:val="20"/>
                <w:szCs w:val="20"/>
                <w:color w:val="auto"/>
              </w:rPr>
            </w:pPr>
            <w:r>
              <w:rPr>
                <w:rFonts w:ascii="Arial" w:cs="Arial" w:eastAsia="Arial" w:hAnsi="Arial"/>
                <w:sz w:val="14"/>
                <w:szCs w:val="14"/>
                <w:b w:val="1"/>
                <w:bCs w:val="1"/>
                <w:color w:val="auto"/>
                <w:w w:val="94"/>
              </w:rPr>
              <w:t>Number of</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rPr>
              <w:t>Cost</w:t>
            </w:r>
          </w:p>
        </w:tc>
        <w:tc>
          <w:tcPr>
            <w:tcW w:w="180" w:type="dxa"/>
            <w:vAlign w:val="bottom"/>
          </w:tcPr>
          <w:p>
            <w:pPr>
              <w:spacing w:after="0"/>
              <w:rPr>
                <w:sz w:val="12"/>
                <w:szCs w:val="12"/>
                <w:color w:val="auto"/>
              </w:rPr>
            </w:pPr>
          </w:p>
        </w:tc>
        <w:tc>
          <w:tcPr>
            <w:tcW w:w="10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Fair Value (c)</w:t>
            </w:r>
          </w:p>
        </w:tc>
        <w:tc>
          <w:tcPr>
            <w:tcW w:w="8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3880" w:type="dxa"/>
            <w:vAlign w:val="bottom"/>
            <w:gridSpan w:val="3"/>
            <w:vMerge w:val="continue"/>
          </w:tcPr>
          <w:p>
            <w:pPr>
              <w:spacing w:after="0"/>
              <w:rPr>
                <w:sz w:val="15"/>
                <w:szCs w:val="15"/>
                <w:color w:val="auto"/>
              </w:rPr>
            </w:pPr>
          </w:p>
        </w:tc>
        <w:tc>
          <w:tcPr>
            <w:tcW w:w="1660" w:type="dxa"/>
            <w:vAlign w:val="bottom"/>
            <w:gridSpan w:val="2"/>
            <w:vMerge w:val="continue"/>
          </w:tcPr>
          <w:p>
            <w:pPr>
              <w:spacing w:after="0"/>
              <w:rPr>
                <w:sz w:val="15"/>
                <w:szCs w:val="15"/>
                <w:color w:val="auto"/>
              </w:rPr>
            </w:pPr>
          </w:p>
        </w:tc>
        <w:tc>
          <w:tcPr>
            <w:tcW w:w="2260" w:type="dxa"/>
            <w:vAlign w:val="bottom"/>
            <w:gridSpan w:val="2"/>
          </w:tcPr>
          <w:p>
            <w:pPr>
              <w:ind w:left="800"/>
              <w:spacing w:after="0"/>
              <w:rPr>
                <w:sz w:val="20"/>
                <w:szCs w:val="20"/>
                <w:color w:val="auto"/>
              </w:rPr>
            </w:pPr>
            <w:r>
              <w:rPr>
                <w:rFonts w:ascii="Arial" w:cs="Arial" w:eastAsia="Arial" w:hAnsi="Arial"/>
                <w:sz w:val="14"/>
                <w:szCs w:val="14"/>
                <w:b w:val="1"/>
                <w:bCs w:val="1"/>
                <w:color w:val="auto"/>
              </w:rPr>
              <w:t>Maturity</w:t>
            </w:r>
          </w:p>
        </w:tc>
        <w:tc>
          <w:tcPr>
            <w:tcW w:w="80" w:type="dxa"/>
            <w:vAlign w:val="bottom"/>
          </w:tcPr>
          <w:p>
            <w:pPr>
              <w:spacing w:after="0"/>
              <w:rPr>
                <w:sz w:val="15"/>
                <w:szCs w:val="15"/>
                <w:color w:val="auto"/>
              </w:rPr>
            </w:pPr>
          </w:p>
        </w:tc>
        <w:tc>
          <w:tcPr>
            <w:tcW w:w="7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9"/>
              </w:rPr>
              <w:t>Shares</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gridSpan w:val="3"/>
            <w:vMerge w:val="continue"/>
          </w:tcPr>
          <w:p>
            <w:pPr>
              <w:spacing w:after="0"/>
              <w:rPr>
                <w:sz w:val="15"/>
                <w:szCs w:val="15"/>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85"/>
              </w:rPr>
              <w:t>Net Assets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80" w:type="dxa"/>
            <w:vAlign w:val="bottom"/>
            <w:shd w:val="clear" w:color="auto" w:fill="CCEEFF"/>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1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3860" w:type="dxa"/>
            <w:vAlign w:val="bottom"/>
            <w:gridSpan w:val="2"/>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Non-control/Non-affiliated investments - 177.0% (b)</w:t>
            </w:r>
          </w:p>
        </w:tc>
        <w:tc>
          <w:tcPr>
            <w:tcW w:w="1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80" w:type="dxa"/>
            <w:vAlign w:val="bottom"/>
            <w:tcBorders>
              <w:lef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gridSpan w:val="2"/>
          </w:tcPr>
          <w:p>
            <w:pPr>
              <w:spacing w:after="0" w:line="149" w:lineRule="exact"/>
              <w:rPr>
                <w:sz w:val="20"/>
                <w:szCs w:val="20"/>
                <w:color w:val="auto"/>
              </w:rPr>
            </w:pPr>
            <w:r>
              <w:rPr>
                <w:rFonts w:ascii="Arial" w:cs="Arial" w:eastAsia="Arial" w:hAnsi="Arial"/>
                <w:sz w:val="14"/>
                <w:szCs w:val="14"/>
                <w:color w:val="auto"/>
              </w:rPr>
              <w:t>National Truck Protection Co., Inc. (d), (g)</w:t>
            </w:r>
          </w:p>
        </w:tc>
        <w:tc>
          <w:tcPr>
            <w:tcW w:w="1660" w:type="dxa"/>
            <w:vAlign w:val="bottom"/>
            <w:gridSpan w:val="2"/>
          </w:tcPr>
          <w:p>
            <w:pPr>
              <w:spacing w:after="0" w:line="149" w:lineRule="exact"/>
              <w:rPr>
                <w:sz w:val="20"/>
                <w:szCs w:val="20"/>
                <w:color w:val="auto"/>
              </w:rPr>
            </w:pPr>
            <w:r>
              <w:rPr>
                <w:rFonts w:ascii="Arial" w:cs="Arial" w:eastAsia="Arial" w:hAnsi="Arial"/>
                <w:sz w:val="14"/>
                <w:szCs w:val="14"/>
                <w:color w:val="auto"/>
              </w:rPr>
              <w:t>Automotive Aftermarket</w:t>
            </w:r>
          </w:p>
        </w:tc>
        <w:tc>
          <w:tcPr>
            <w:tcW w:w="2260" w:type="dxa"/>
            <w:vAlign w:val="bottom"/>
            <w:gridSpan w:val="2"/>
          </w:tcPr>
          <w:p>
            <w:pPr>
              <w:spacing w:after="0" w:line="149" w:lineRule="exact"/>
              <w:rPr>
                <w:sz w:val="20"/>
                <w:szCs w:val="20"/>
                <w:color w:val="auto"/>
              </w:rPr>
            </w:pPr>
            <w:r>
              <w:rPr>
                <w:rFonts w:ascii="Arial" w:cs="Arial" w:eastAsia="Arial" w:hAnsi="Arial"/>
                <w:sz w:val="14"/>
                <w:szCs w:val="14"/>
                <w:color w:val="auto"/>
              </w:rPr>
              <w:t>Common Stock</w:t>
            </w:r>
          </w:p>
        </w:tc>
        <w:tc>
          <w:tcPr>
            <w:tcW w:w="80" w:type="dxa"/>
            <w:vAlign w:val="bottom"/>
          </w:tcPr>
          <w:p>
            <w:pPr>
              <w:spacing w:after="0"/>
              <w:rPr>
                <w:sz w:val="12"/>
                <w:szCs w:val="12"/>
                <w:color w:val="auto"/>
              </w:rPr>
            </w:pPr>
          </w:p>
        </w:tc>
        <w:tc>
          <w:tcPr>
            <w:tcW w:w="7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1,116</w:t>
            </w:r>
          </w:p>
        </w:tc>
        <w:tc>
          <w:tcPr>
            <w:tcW w:w="1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1,000,000</w:t>
            </w:r>
          </w:p>
        </w:tc>
        <w:tc>
          <w:tcPr>
            <w:tcW w:w="30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1,314,811</w:t>
            </w:r>
          </w:p>
        </w:tc>
        <w:tc>
          <w:tcPr>
            <w:tcW w:w="8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8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National Truck Protection Co., Inc. (d)</w:t>
            </w:r>
          </w:p>
        </w:tc>
        <w:tc>
          <w:tcPr>
            <w:tcW w:w="16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Automotive Aftermarket</w:t>
            </w:r>
          </w:p>
        </w:tc>
        <w:tc>
          <w:tcPr>
            <w:tcW w:w="22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First Lien Term Loan 15.50% Cash,</w:t>
            </w: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80" w:type="dxa"/>
            <w:vAlign w:val="bottom"/>
            <w:tcBorders>
              <w:lef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328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160" w:type="dxa"/>
            <w:vAlign w:val="bottom"/>
            <w:shd w:val="clear" w:color="auto" w:fill="CCEEFF"/>
          </w:tcPr>
          <w:p>
            <w:pPr>
              <w:spacing w:after="0"/>
              <w:rPr>
                <w:sz w:val="20"/>
                <w:szCs w:val="20"/>
                <w:color w:val="auto"/>
              </w:rPr>
            </w:pPr>
            <w:r>
              <w:rPr>
                <w:rFonts w:ascii="Arial" w:cs="Arial" w:eastAsia="Arial" w:hAnsi="Arial"/>
                <w:sz w:val="14"/>
                <w:szCs w:val="14"/>
                <w:color w:val="auto"/>
              </w:rPr>
              <w:t>9/13/2018</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7,326,770</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7,326,770</w:t>
            </w:r>
          </w:p>
        </w:tc>
        <w:tc>
          <w:tcPr>
            <w:tcW w:w="180" w:type="dxa"/>
            <w:vAlign w:val="bottom"/>
            <w:tcBorders>
              <w:lef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7,326,770</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5.8%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gridSpan w:val="2"/>
          </w:tcPr>
          <w:p>
            <w:pPr>
              <w:spacing w:after="0" w:line="149" w:lineRule="exact"/>
              <w:rPr>
                <w:sz w:val="20"/>
                <w:szCs w:val="20"/>
                <w:color w:val="auto"/>
              </w:rPr>
            </w:pPr>
            <w:r>
              <w:rPr>
                <w:rFonts w:ascii="Arial" w:cs="Arial" w:eastAsia="Arial" w:hAnsi="Arial"/>
                <w:sz w:val="14"/>
                <w:szCs w:val="14"/>
                <w:color w:val="auto"/>
              </w:rPr>
              <w:t>Take 5 Oil Change, L.L.C. (d), (g)</w:t>
            </w:r>
          </w:p>
        </w:tc>
        <w:tc>
          <w:tcPr>
            <w:tcW w:w="1660" w:type="dxa"/>
            <w:vAlign w:val="bottom"/>
            <w:gridSpan w:val="2"/>
          </w:tcPr>
          <w:p>
            <w:pPr>
              <w:spacing w:after="0" w:line="149" w:lineRule="exact"/>
              <w:rPr>
                <w:sz w:val="20"/>
                <w:szCs w:val="20"/>
                <w:color w:val="auto"/>
              </w:rPr>
            </w:pPr>
            <w:r>
              <w:rPr>
                <w:rFonts w:ascii="Arial" w:cs="Arial" w:eastAsia="Arial" w:hAnsi="Arial"/>
                <w:sz w:val="14"/>
                <w:szCs w:val="14"/>
                <w:color w:val="auto"/>
              </w:rPr>
              <w:t>Automotive Aftermarket</w:t>
            </w:r>
          </w:p>
        </w:tc>
        <w:tc>
          <w:tcPr>
            <w:tcW w:w="2260" w:type="dxa"/>
            <w:vAlign w:val="bottom"/>
            <w:gridSpan w:val="2"/>
          </w:tcPr>
          <w:p>
            <w:pPr>
              <w:spacing w:after="0" w:line="149" w:lineRule="exact"/>
              <w:rPr>
                <w:sz w:val="20"/>
                <w:szCs w:val="20"/>
                <w:color w:val="auto"/>
              </w:rPr>
            </w:pPr>
            <w:r>
              <w:rPr>
                <w:rFonts w:ascii="Arial" w:cs="Arial" w:eastAsia="Arial" w:hAnsi="Arial"/>
                <w:sz w:val="14"/>
                <w:szCs w:val="14"/>
                <w:color w:val="auto"/>
              </w:rPr>
              <w:t>Common Stock</w:t>
            </w:r>
          </w:p>
        </w:tc>
        <w:tc>
          <w:tcPr>
            <w:tcW w:w="80" w:type="dxa"/>
            <w:vAlign w:val="bottom"/>
          </w:tcPr>
          <w:p>
            <w:pPr>
              <w:spacing w:after="0"/>
              <w:rPr>
                <w:sz w:val="12"/>
                <w:szCs w:val="12"/>
                <w:color w:val="auto"/>
              </w:rPr>
            </w:pPr>
          </w:p>
        </w:tc>
        <w:tc>
          <w:tcPr>
            <w:tcW w:w="7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7,128</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480,535</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2,149,805</w:t>
            </w:r>
          </w:p>
        </w:tc>
        <w:tc>
          <w:tcPr>
            <w:tcW w:w="8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32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8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280" w:type="dxa"/>
            <w:vAlign w:val="bottom"/>
            <w:shd w:val="clear" w:color="auto" w:fill="CCEEFF"/>
          </w:tcPr>
          <w:p>
            <w:pPr>
              <w:spacing w:after="0"/>
              <w:rPr>
                <w:sz w:val="12"/>
                <w:szCs w:val="12"/>
                <w:color w:val="auto"/>
              </w:rPr>
            </w:pPr>
          </w:p>
        </w:tc>
        <w:tc>
          <w:tcPr>
            <w:tcW w:w="1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Total Automotive Aftermarket</w:t>
            </w: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8,807,305</w:t>
            </w:r>
          </w:p>
        </w:tc>
        <w:tc>
          <w:tcPr>
            <w:tcW w:w="180" w:type="dxa"/>
            <w:vAlign w:val="bottom"/>
            <w:tcBorders>
              <w:lef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96"/>
              </w:rPr>
              <w:t>10,791,386</w:t>
            </w:r>
          </w:p>
        </w:tc>
        <w:tc>
          <w:tcPr>
            <w:tcW w:w="8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8.5%</w:t>
            </w:r>
          </w:p>
        </w:tc>
        <w:tc>
          <w:tcPr>
            <w:tcW w:w="0" w:type="dxa"/>
            <w:vAlign w:val="bottom"/>
          </w:tcPr>
          <w:p>
            <w:pPr>
              <w:spacing w:after="0"/>
              <w:rPr>
                <w:sz w:val="1"/>
                <w:szCs w:val="1"/>
                <w:color w:val="auto"/>
              </w:rPr>
            </w:pPr>
          </w:p>
        </w:tc>
      </w:tr>
      <w:tr>
        <w:trPr>
          <w:trHeight w:val="20"/>
        </w:trPr>
        <w:tc>
          <w:tcPr>
            <w:tcW w:w="3880" w:type="dxa"/>
            <w:vAlign w:val="bottom"/>
            <w:gridSpan w:val="3"/>
            <w:vMerge w:val="restart"/>
          </w:tcPr>
          <w:p>
            <w:pPr>
              <w:spacing w:after="0"/>
              <w:rPr>
                <w:sz w:val="20"/>
                <w:szCs w:val="20"/>
                <w:color w:val="auto"/>
              </w:rPr>
            </w:pPr>
            <w:r>
              <w:rPr>
                <w:rFonts w:ascii="Arial" w:cs="Arial" w:eastAsia="Arial" w:hAnsi="Arial"/>
                <w:sz w:val="14"/>
                <w:szCs w:val="14"/>
                <w:color w:val="auto"/>
              </w:rPr>
              <w:t>Legacy Cabinets Holdings (d), (g)</w:t>
            </w:r>
          </w:p>
        </w:tc>
        <w:tc>
          <w:tcPr>
            <w:tcW w:w="1660" w:type="dxa"/>
            <w:vAlign w:val="bottom"/>
            <w:gridSpan w:val="2"/>
            <w:vMerge w:val="restart"/>
          </w:tcPr>
          <w:p>
            <w:pPr>
              <w:spacing w:after="0"/>
              <w:rPr>
                <w:sz w:val="20"/>
                <w:szCs w:val="20"/>
                <w:color w:val="auto"/>
              </w:rPr>
            </w:pPr>
            <w:r>
              <w:rPr>
                <w:rFonts w:ascii="Arial" w:cs="Arial" w:eastAsia="Arial" w:hAnsi="Arial"/>
                <w:sz w:val="14"/>
                <w:szCs w:val="14"/>
                <w:color w:val="auto"/>
              </w:rPr>
              <w:t>Building Products</w:t>
            </w:r>
          </w:p>
        </w:tc>
        <w:tc>
          <w:tcPr>
            <w:tcW w:w="2260" w:type="dxa"/>
            <w:vAlign w:val="bottom"/>
            <w:gridSpan w:val="2"/>
            <w:vMerge w:val="restart"/>
          </w:tcPr>
          <w:p>
            <w:pPr>
              <w:spacing w:after="0"/>
              <w:rPr>
                <w:sz w:val="20"/>
                <w:szCs w:val="20"/>
                <w:color w:val="auto"/>
              </w:rPr>
            </w:pPr>
            <w:r>
              <w:rPr>
                <w:rFonts w:ascii="Arial" w:cs="Arial" w:eastAsia="Arial" w:hAnsi="Arial"/>
                <w:sz w:val="14"/>
                <w:szCs w:val="14"/>
                <w:color w:val="auto"/>
              </w:rPr>
              <w:t>Common Stock Voting A-1</w:t>
            </w:r>
          </w:p>
        </w:tc>
        <w:tc>
          <w:tcPr>
            <w:tcW w:w="80" w:type="dxa"/>
            <w:vAlign w:val="bottom"/>
          </w:tcPr>
          <w:p>
            <w:pPr>
              <w:spacing w:after="0" w:line="20" w:lineRule="exact"/>
              <w:rPr>
                <w:sz w:val="1"/>
                <w:szCs w:val="1"/>
                <w:color w:val="auto"/>
              </w:rPr>
            </w:pPr>
          </w:p>
        </w:tc>
        <w:tc>
          <w:tcPr>
            <w:tcW w:w="740" w:type="dxa"/>
            <w:vAlign w:val="bottom"/>
            <w:gridSpan w:val="2"/>
            <w:vMerge w:val="restart"/>
          </w:tcPr>
          <w:p>
            <w:pPr>
              <w:jc w:val="right"/>
              <w:ind w:right="80"/>
              <w:spacing w:after="0"/>
              <w:rPr>
                <w:sz w:val="20"/>
                <w:szCs w:val="20"/>
                <w:color w:val="auto"/>
              </w:rPr>
            </w:pPr>
            <w:r>
              <w:rPr>
                <w:rFonts w:ascii="Arial" w:cs="Arial" w:eastAsia="Arial" w:hAnsi="Arial"/>
                <w:sz w:val="14"/>
                <w:szCs w:val="14"/>
                <w:color w:val="auto"/>
              </w:rPr>
              <w:t>2,535</w:t>
            </w: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880" w:type="dxa"/>
            <w:vAlign w:val="bottom"/>
            <w:gridSpan w:val="3"/>
            <w:vMerge w:val="continue"/>
          </w:tcPr>
          <w:p>
            <w:pPr>
              <w:spacing w:after="0"/>
              <w:rPr>
                <w:sz w:val="13"/>
                <w:szCs w:val="13"/>
                <w:color w:val="auto"/>
              </w:rPr>
            </w:pPr>
          </w:p>
        </w:tc>
        <w:tc>
          <w:tcPr>
            <w:tcW w:w="1660" w:type="dxa"/>
            <w:vAlign w:val="bottom"/>
            <w:gridSpan w:val="2"/>
            <w:vMerge w:val="continue"/>
          </w:tcPr>
          <w:p>
            <w:pPr>
              <w:spacing w:after="0"/>
              <w:rPr>
                <w:sz w:val="13"/>
                <w:szCs w:val="13"/>
                <w:color w:val="auto"/>
              </w:rPr>
            </w:pPr>
          </w:p>
        </w:tc>
        <w:tc>
          <w:tcPr>
            <w:tcW w:w="226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jc w:val="right"/>
              <w:spacing w:after="0" w:line="155" w:lineRule="exact"/>
              <w:rPr>
                <w:sz w:val="20"/>
                <w:szCs w:val="20"/>
                <w:color w:val="auto"/>
              </w:rPr>
            </w:pPr>
            <w:r>
              <w:rPr>
                <w:rFonts w:ascii="Arial" w:cs="Arial" w:eastAsia="Arial" w:hAnsi="Arial"/>
                <w:sz w:val="14"/>
                <w:szCs w:val="14"/>
                <w:color w:val="auto"/>
              </w:rPr>
              <w:t>220,900</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jc w:val="right"/>
              <w:spacing w:after="0" w:line="155" w:lineRule="exact"/>
              <w:rPr>
                <w:sz w:val="20"/>
                <w:szCs w:val="20"/>
                <w:color w:val="auto"/>
              </w:rPr>
            </w:pPr>
            <w:r>
              <w:rPr>
                <w:rFonts w:ascii="Arial" w:cs="Arial" w:eastAsia="Arial" w:hAnsi="Arial"/>
                <w:sz w:val="14"/>
                <w:szCs w:val="14"/>
                <w:color w:val="auto"/>
              </w:rPr>
              <w:t>2,470,814</w:t>
            </w:r>
          </w:p>
        </w:tc>
        <w:tc>
          <w:tcPr>
            <w:tcW w:w="180" w:type="dxa"/>
            <w:vAlign w:val="bottom"/>
            <w:vMerge w:val="continue"/>
          </w:tcPr>
          <w:p>
            <w:pPr>
              <w:spacing w:after="0"/>
              <w:rPr>
                <w:sz w:val="13"/>
                <w:szCs w:val="13"/>
                <w:color w:val="auto"/>
              </w:rPr>
            </w:pPr>
          </w:p>
        </w:tc>
        <w:tc>
          <w:tcPr>
            <w:tcW w:w="80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Legacy Cabinets Holdings (d), (g)</w:t>
            </w:r>
          </w:p>
        </w:tc>
        <w:tc>
          <w:tcPr>
            <w:tcW w:w="16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Building Products</w:t>
            </w:r>
          </w:p>
        </w:tc>
        <w:tc>
          <w:tcPr>
            <w:tcW w:w="22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Common Stock Voting B-1</w:t>
            </w: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1,600</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139,424</w:t>
            </w:r>
          </w:p>
        </w:tc>
        <w:tc>
          <w:tcPr>
            <w:tcW w:w="180" w:type="dxa"/>
            <w:vAlign w:val="bottom"/>
            <w:tcBorders>
              <w:lef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1,559,488</w:t>
            </w:r>
          </w:p>
        </w:tc>
        <w:tc>
          <w:tcPr>
            <w:tcW w:w="8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860" w:type="dxa"/>
            <w:vAlign w:val="bottom"/>
            <w:gridSpan w:val="2"/>
          </w:tcPr>
          <w:p>
            <w:pPr>
              <w:spacing w:after="0" w:line="130" w:lineRule="exact"/>
              <w:rPr>
                <w:sz w:val="20"/>
                <w:szCs w:val="20"/>
                <w:color w:val="auto"/>
              </w:rPr>
            </w:pPr>
            <w:r>
              <w:rPr>
                <w:rFonts w:ascii="Arial" w:cs="Arial" w:eastAsia="Arial" w:hAnsi="Arial"/>
                <w:sz w:val="14"/>
                <w:szCs w:val="14"/>
                <w:color w:val="auto"/>
              </w:rPr>
              <w:t>Polar Holding Company, Ltd. (a), (i)</w:t>
            </w:r>
          </w:p>
        </w:tc>
        <w:tc>
          <w:tcPr>
            <w:tcW w:w="1660" w:type="dxa"/>
            <w:vAlign w:val="bottom"/>
            <w:gridSpan w:val="2"/>
          </w:tcPr>
          <w:p>
            <w:pPr>
              <w:spacing w:after="0" w:line="130" w:lineRule="exact"/>
              <w:rPr>
                <w:sz w:val="20"/>
                <w:szCs w:val="20"/>
                <w:color w:val="auto"/>
              </w:rPr>
            </w:pPr>
            <w:r>
              <w:rPr>
                <w:rFonts w:ascii="Arial" w:cs="Arial" w:eastAsia="Arial" w:hAnsi="Arial"/>
                <w:sz w:val="14"/>
                <w:szCs w:val="14"/>
                <w:color w:val="auto"/>
              </w:rPr>
              <w:t>Building Products</w:t>
            </w:r>
          </w:p>
        </w:tc>
        <w:tc>
          <w:tcPr>
            <w:tcW w:w="2260" w:type="dxa"/>
            <w:vAlign w:val="bottom"/>
            <w:gridSpan w:val="2"/>
          </w:tcPr>
          <w:p>
            <w:pPr>
              <w:spacing w:after="0" w:line="130" w:lineRule="exact"/>
              <w:rPr>
                <w:sz w:val="20"/>
                <w:szCs w:val="20"/>
                <w:color w:val="auto"/>
              </w:rPr>
            </w:pPr>
            <w:r>
              <w:rPr>
                <w:rFonts w:ascii="Arial" w:cs="Arial" w:eastAsia="Arial" w:hAnsi="Arial"/>
                <w:sz w:val="14"/>
                <w:szCs w:val="14"/>
                <w:color w:val="auto"/>
              </w:rPr>
              <w:t>First Lien Term Loan 10.00% Cash,</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60" w:type="dxa"/>
            <w:vAlign w:val="bottom"/>
          </w:tcPr>
          <w:p>
            <w:pPr>
              <w:spacing w:after="0"/>
              <w:rPr>
                <w:sz w:val="20"/>
                <w:szCs w:val="20"/>
                <w:color w:val="auto"/>
              </w:rPr>
            </w:pPr>
            <w:r>
              <w:rPr>
                <w:rFonts w:ascii="Arial" w:cs="Arial" w:eastAsia="Arial" w:hAnsi="Arial"/>
                <w:sz w:val="14"/>
                <w:szCs w:val="14"/>
                <w:color w:val="auto"/>
              </w:rPr>
              <w:t>8/13/2016</w:t>
            </w:r>
          </w:p>
        </w:tc>
        <w:tc>
          <w:tcPr>
            <w:tcW w:w="10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tcPr>
          <w:p>
            <w:pPr>
              <w:jc w:val="right"/>
              <w:spacing w:after="0"/>
              <w:rPr>
                <w:sz w:val="20"/>
                <w:szCs w:val="20"/>
                <w:color w:val="auto"/>
              </w:rPr>
            </w:pPr>
            <w:r>
              <w:rPr>
                <w:rFonts w:ascii="Arial" w:cs="Arial" w:eastAsia="Arial" w:hAnsi="Arial"/>
                <w:sz w:val="14"/>
                <w:szCs w:val="14"/>
                <w:color w:val="auto"/>
                <w:w w:val="99"/>
              </w:rPr>
              <w:t>1,000,000</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1,000,000</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1,000,000</w:t>
            </w:r>
          </w:p>
        </w:tc>
        <w:tc>
          <w:tcPr>
            <w:tcW w:w="800" w:type="dxa"/>
            <w:vAlign w:val="bottom"/>
            <w:gridSpan w:val="2"/>
          </w:tcPr>
          <w:p>
            <w:pPr>
              <w:jc w:val="right"/>
              <w:ind w:right="40"/>
              <w:spacing w:after="0"/>
              <w:rPr>
                <w:sz w:val="20"/>
                <w:szCs w:val="20"/>
                <w:color w:val="auto"/>
              </w:rPr>
            </w:pPr>
            <w:r>
              <w:rPr>
                <w:rFonts w:ascii="Arial" w:cs="Arial" w:eastAsia="Arial" w:hAnsi="Arial"/>
                <w:sz w:val="14"/>
                <w:szCs w:val="14"/>
                <w:color w:val="auto"/>
              </w:rPr>
              <w:t>0.8%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32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8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280" w:type="dxa"/>
            <w:vAlign w:val="bottom"/>
            <w:shd w:val="clear" w:color="auto" w:fill="CCEEFF"/>
          </w:tcPr>
          <w:p>
            <w:pPr>
              <w:spacing w:after="0"/>
              <w:rPr>
                <w:sz w:val="12"/>
                <w:szCs w:val="12"/>
                <w:color w:val="auto"/>
              </w:rPr>
            </w:pPr>
          </w:p>
        </w:tc>
        <w:tc>
          <w:tcPr>
            <w:tcW w:w="1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Total Building Products</w:t>
            </w: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1,360,324</w:t>
            </w:r>
          </w:p>
        </w:tc>
        <w:tc>
          <w:tcPr>
            <w:tcW w:w="180" w:type="dxa"/>
            <w:vAlign w:val="bottom"/>
            <w:tcBorders>
              <w:lef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5,030,302</w:t>
            </w:r>
          </w:p>
        </w:tc>
        <w:tc>
          <w:tcPr>
            <w:tcW w:w="8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3.9%</w:t>
            </w:r>
          </w:p>
        </w:tc>
        <w:tc>
          <w:tcPr>
            <w:tcW w:w="0" w:type="dxa"/>
            <w:vAlign w:val="bottom"/>
          </w:tcPr>
          <w:p>
            <w:pPr>
              <w:spacing w:after="0"/>
              <w:rPr>
                <w:sz w:val="1"/>
                <w:szCs w:val="1"/>
                <w:color w:val="auto"/>
              </w:rPr>
            </w:pPr>
          </w:p>
        </w:tc>
      </w:tr>
      <w:tr>
        <w:trPr>
          <w:trHeight w:val="137"/>
        </w:trPr>
        <w:tc>
          <w:tcPr>
            <w:tcW w:w="3880" w:type="dxa"/>
            <w:vAlign w:val="bottom"/>
            <w:gridSpan w:val="3"/>
          </w:tcPr>
          <w:p>
            <w:pPr>
              <w:spacing w:after="0" w:line="137" w:lineRule="exact"/>
              <w:rPr>
                <w:sz w:val="20"/>
                <w:szCs w:val="20"/>
                <w:color w:val="auto"/>
              </w:rPr>
            </w:pPr>
            <w:r>
              <w:rPr>
                <w:rFonts w:ascii="Arial" w:cs="Arial" w:eastAsia="Arial" w:hAnsi="Arial"/>
                <w:sz w:val="14"/>
                <w:szCs w:val="14"/>
                <w:color w:val="auto"/>
              </w:rPr>
              <w:t>BMC Software, Inc. (d)</w:t>
            </w:r>
          </w:p>
        </w:tc>
        <w:tc>
          <w:tcPr>
            <w:tcW w:w="1660" w:type="dxa"/>
            <w:vAlign w:val="bottom"/>
            <w:gridSpan w:val="2"/>
          </w:tcPr>
          <w:p>
            <w:pPr>
              <w:spacing w:after="0" w:line="137" w:lineRule="exact"/>
              <w:rPr>
                <w:sz w:val="20"/>
                <w:szCs w:val="20"/>
                <w:color w:val="auto"/>
              </w:rPr>
            </w:pPr>
            <w:r>
              <w:rPr>
                <w:rFonts w:ascii="Arial" w:cs="Arial" w:eastAsia="Arial" w:hAnsi="Arial"/>
                <w:sz w:val="14"/>
                <w:szCs w:val="14"/>
                <w:color w:val="auto"/>
              </w:rPr>
              <w:t>Business Services</w:t>
            </w:r>
          </w:p>
        </w:tc>
        <w:tc>
          <w:tcPr>
            <w:tcW w:w="2260" w:type="dxa"/>
            <w:vAlign w:val="bottom"/>
            <w:gridSpan w:val="2"/>
          </w:tcPr>
          <w:p>
            <w:pPr>
              <w:spacing w:after="0" w:line="137" w:lineRule="exact"/>
              <w:rPr>
                <w:sz w:val="20"/>
                <w:szCs w:val="20"/>
                <w:color w:val="auto"/>
              </w:rPr>
            </w:pPr>
            <w:r>
              <w:rPr>
                <w:rFonts w:ascii="Arial" w:cs="Arial" w:eastAsia="Arial" w:hAnsi="Arial"/>
                <w:sz w:val="14"/>
                <w:szCs w:val="14"/>
                <w:color w:val="auto"/>
              </w:rPr>
              <w:t>First Lien Term Loan 5.00% Cash,</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60" w:type="dxa"/>
            <w:vAlign w:val="bottom"/>
          </w:tcPr>
          <w:p>
            <w:pPr>
              <w:spacing w:after="0"/>
              <w:rPr>
                <w:sz w:val="20"/>
                <w:szCs w:val="20"/>
                <w:color w:val="auto"/>
              </w:rPr>
            </w:pPr>
            <w:r>
              <w:rPr>
                <w:rFonts w:ascii="Arial" w:cs="Arial" w:eastAsia="Arial" w:hAnsi="Arial"/>
                <w:sz w:val="14"/>
                <w:szCs w:val="14"/>
                <w:color w:val="auto"/>
              </w:rPr>
              <w:t>9/10/2020</w:t>
            </w:r>
          </w:p>
        </w:tc>
        <w:tc>
          <w:tcPr>
            <w:tcW w:w="10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tcPr>
          <w:p>
            <w:pPr>
              <w:jc w:val="right"/>
              <w:spacing w:after="0"/>
              <w:rPr>
                <w:sz w:val="20"/>
                <w:szCs w:val="20"/>
                <w:color w:val="auto"/>
              </w:rPr>
            </w:pPr>
            <w:r>
              <w:rPr>
                <w:rFonts w:ascii="Arial" w:cs="Arial" w:eastAsia="Arial" w:hAnsi="Arial"/>
                <w:sz w:val="14"/>
                <w:szCs w:val="14"/>
                <w:color w:val="auto"/>
                <w:w w:val="99"/>
              </w:rPr>
              <w:t>5,686,667</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5,647,170</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4,916,692</w:t>
            </w:r>
          </w:p>
        </w:tc>
        <w:tc>
          <w:tcPr>
            <w:tcW w:w="800" w:type="dxa"/>
            <w:vAlign w:val="bottom"/>
            <w:gridSpan w:val="2"/>
          </w:tcPr>
          <w:p>
            <w:pPr>
              <w:jc w:val="right"/>
              <w:ind w:right="40"/>
              <w:spacing w:after="0"/>
              <w:rPr>
                <w:sz w:val="20"/>
                <w:szCs w:val="20"/>
                <w:color w:val="auto"/>
              </w:rPr>
            </w:pPr>
            <w:r>
              <w:rPr>
                <w:rFonts w:ascii="Arial" w:cs="Arial" w:eastAsia="Arial" w:hAnsi="Arial"/>
                <w:sz w:val="14"/>
                <w:szCs w:val="14"/>
                <w:color w:val="auto"/>
              </w:rPr>
              <w:t>3.9%</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8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Dispensing Dynamics International (d)</w:t>
            </w:r>
          </w:p>
        </w:tc>
        <w:tc>
          <w:tcPr>
            <w:tcW w:w="16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Business Services</w:t>
            </w:r>
          </w:p>
        </w:tc>
        <w:tc>
          <w:tcPr>
            <w:tcW w:w="22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Senior Secured Note 12.50% Cash,</w:t>
            </w: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80" w:type="dxa"/>
            <w:vAlign w:val="bottom"/>
            <w:tcBorders>
              <w:lef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328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160" w:type="dxa"/>
            <w:vAlign w:val="bottom"/>
            <w:shd w:val="clear" w:color="auto" w:fill="CCEEFF"/>
          </w:tcPr>
          <w:p>
            <w:pPr>
              <w:spacing w:after="0"/>
              <w:rPr>
                <w:sz w:val="20"/>
                <w:szCs w:val="20"/>
                <w:color w:val="auto"/>
              </w:rPr>
            </w:pPr>
            <w:r>
              <w:rPr>
                <w:rFonts w:ascii="Arial" w:cs="Arial" w:eastAsia="Arial" w:hAnsi="Arial"/>
                <w:sz w:val="14"/>
                <w:szCs w:val="14"/>
                <w:color w:val="auto"/>
              </w:rPr>
              <w:t>1/1/2018</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8"/>
              </w:rPr>
              <w:t>12,000,000</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1"/>
              </w:rPr>
              <w:t>12,028,177</w:t>
            </w:r>
          </w:p>
        </w:tc>
        <w:tc>
          <w:tcPr>
            <w:tcW w:w="180" w:type="dxa"/>
            <w:vAlign w:val="bottom"/>
            <w:tcBorders>
              <w:lef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w w:val="96"/>
              </w:rPr>
              <w:t>11,820,000</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9.3%</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860" w:type="dxa"/>
            <w:vAlign w:val="bottom"/>
            <w:gridSpan w:val="2"/>
          </w:tcPr>
          <w:p>
            <w:pPr>
              <w:spacing w:after="0" w:line="130" w:lineRule="exact"/>
              <w:rPr>
                <w:sz w:val="20"/>
                <w:szCs w:val="20"/>
                <w:color w:val="auto"/>
              </w:rPr>
            </w:pPr>
            <w:r>
              <w:rPr>
                <w:rFonts w:ascii="Arial" w:cs="Arial" w:eastAsia="Arial" w:hAnsi="Arial"/>
                <w:sz w:val="14"/>
                <w:szCs w:val="14"/>
                <w:color w:val="auto"/>
              </w:rPr>
              <w:t>Easy Ice, LLC (d)</w:t>
            </w:r>
          </w:p>
        </w:tc>
        <w:tc>
          <w:tcPr>
            <w:tcW w:w="1660" w:type="dxa"/>
            <w:vAlign w:val="bottom"/>
            <w:gridSpan w:val="2"/>
          </w:tcPr>
          <w:p>
            <w:pPr>
              <w:spacing w:after="0" w:line="130" w:lineRule="exact"/>
              <w:rPr>
                <w:sz w:val="20"/>
                <w:szCs w:val="20"/>
                <w:color w:val="auto"/>
              </w:rPr>
            </w:pPr>
            <w:r>
              <w:rPr>
                <w:rFonts w:ascii="Arial" w:cs="Arial" w:eastAsia="Arial" w:hAnsi="Arial"/>
                <w:sz w:val="14"/>
                <w:szCs w:val="14"/>
                <w:color w:val="auto"/>
              </w:rPr>
              <w:t>Business Services</w:t>
            </w:r>
          </w:p>
        </w:tc>
        <w:tc>
          <w:tcPr>
            <w:tcW w:w="2260" w:type="dxa"/>
            <w:vAlign w:val="bottom"/>
            <w:gridSpan w:val="2"/>
          </w:tcPr>
          <w:p>
            <w:pPr>
              <w:spacing w:after="0" w:line="130" w:lineRule="exact"/>
              <w:rPr>
                <w:sz w:val="20"/>
                <w:szCs w:val="20"/>
                <w:color w:val="auto"/>
              </w:rPr>
            </w:pPr>
            <w:r>
              <w:rPr>
                <w:rFonts w:ascii="Arial" w:cs="Arial" w:eastAsia="Arial" w:hAnsi="Arial"/>
                <w:sz w:val="14"/>
                <w:szCs w:val="14"/>
                <w:color w:val="auto"/>
              </w:rPr>
              <w:t>First Lien Term Loan 9.50% Cash,</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60" w:type="dxa"/>
            <w:vAlign w:val="bottom"/>
          </w:tcPr>
          <w:p>
            <w:pPr>
              <w:spacing w:after="0"/>
              <w:rPr>
                <w:sz w:val="20"/>
                <w:szCs w:val="20"/>
                <w:color w:val="auto"/>
              </w:rPr>
            </w:pPr>
            <w:r>
              <w:rPr>
                <w:rFonts w:ascii="Arial" w:cs="Arial" w:eastAsia="Arial" w:hAnsi="Arial"/>
                <w:sz w:val="14"/>
                <w:szCs w:val="14"/>
                <w:color w:val="auto"/>
              </w:rPr>
              <w:t>1/15/2020</w:t>
            </w:r>
          </w:p>
        </w:tc>
        <w:tc>
          <w:tcPr>
            <w:tcW w:w="10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tcPr>
          <w:p>
            <w:pPr>
              <w:jc w:val="right"/>
              <w:spacing w:after="0"/>
              <w:rPr>
                <w:sz w:val="20"/>
                <w:szCs w:val="20"/>
                <w:color w:val="auto"/>
              </w:rPr>
            </w:pPr>
            <w:r>
              <w:rPr>
                <w:rFonts w:ascii="Arial" w:cs="Arial" w:eastAsia="Arial" w:hAnsi="Arial"/>
                <w:sz w:val="14"/>
                <w:szCs w:val="14"/>
                <w:color w:val="auto"/>
                <w:w w:val="88"/>
              </w:rPr>
              <w:t>12,000,000</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w w:val="91"/>
              </w:rPr>
              <w:t>11,887,478</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w w:val="96"/>
              </w:rPr>
              <w:t>12,000,000</w:t>
            </w:r>
          </w:p>
        </w:tc>
        <w:tc>
          <w:tcPr>
            <w:tcW w:w="800" w:type="dxa"/>
            <w:vAlign w:val="bottom"/>
            <w:gridSpan w:val="2"/>
          </w:tcPr>
          <w:p>
            <w:pPr>
              <w:jc w:val="right"/>
              <w:ind w:right="40"/>
              <w:spacing w:after="0"/>
              <w:rPr>
                <w:sz w:val="20"/>
                <w:szCs w:val="20"/>
                <w:color w:val="auto"/>
              </w:rPr>
            </w:pPr>
            <w:r>
              <w:rPr>
                <w:rFonts w:ascii="Arial" w:cs="Arial" w:eastAsia="Arial" w:hAnsi="Arial"/>
                <w:sz w:val="14"/>
                <w:szCs w:val="14"/>
                <w:color w:val="auto"/>
              </w:rPr>
              <w:t>9.4%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8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Emily Street Enterprises, L.L.C.</w:t>
            </w:r>
          </w:p>
        </w:tc>
        <w:tc>
          <w:tcPr>
            <w:tcW w:w="16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Business Services</w:t>
            </w:r>
          </w:p>
        </w:tc>
        <w:tc>
          <w:tcPr>
            <w:tcW w:w="22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Senior Secured Note 10.00% Cash,</w:t>
            </w: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80" w:type="dxa"/>
            <w:vAlign w:val="bottom"/>
            <w:tcBorders>
              <w:lef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328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160" w:type="dxa"/>
            <w:vAlign w:val="bottom"/>
            <w:shd w:val="clear" w:color="auto" w:fill="CCEEFF"/>
          </w:tcPr>
          <w:p>
            <w:pPr>
              <w:spacing w:after="0"/>
              <w:rPr>
                <w:sz w:val="20"/>
                <w:szCs w:val="20"/>
                <w:color w:val="auto"/>
              </w:rPr>
            </w:pPr>
            <w:r>
              <w:rPr>
                <w:rFonts w:ascii="Arial" w:cs="Arial" w:eastAsia="Arial" w:hAnsi="Arial"/>
                <w:sz w:val="14"/>
                <w:szCs w:val="14"/>
                <w:color w:val="auto"/>
              </w:rPr>
              <w:t>1/23/2020</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8,400,000</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8,293,649</w:t>
            </w:r>
          </w:p>
        </w:tc>
        <w:tc>
          <w:tcPr>
            <w:tcW w:w="180" w:type="dxa"/>
            <w:vAlign w:val="bottom"/>
            <w:tcBorders>
              <w:lef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8,566,320</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6.7%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gridSpan w:val="2"/>
          </w:tcPr>
          <w:p>
            <w:pPr>
              <w:spacing w:after="0" w:line="149" w:lineRule="exact"/>
              <w:rPr>
                <w:sz w:val="20"/>
                <w:szCs w:val="20"/>
                <w:color w:val="auto"/>
              </w:rPr>
            </w:pPr>
            <w:r>
              <w:rPr>
                <w:rFonts w:ascii="Arial" w:cs="Arial" w:eastAsia="Arial" w:hAnsi="Arial"/>
                <w:sz w:val="14"/>
                <w:szCs w:val="14"/>
                <w:color w:val="auto"/>
              </w:rPr>
              <w:t>Emily Street Enterprises, L.L.C. (g)</w:t>
            </w:r>
          </w:p>
        </w:tc>
        <w:tc>
          <w:tcPr>
            <w:tcW w:w="1660" w:type="dxa"/>
            <w:vAlign w:val="bottom"/>
            <w:gridSpan w:val="2"/>
          </w:tcPr>
          <w:p>
            <w:pPr>
              <w:spacing w:after="0" w:line="149" w:lineRule="exact"/>
              <w:rPr>
                <w:sz w:val="20"/>
                <w:szCs w:val="20"/>
                <w:color w:val="auto"/>
              </w:rPr>
            </w:pPr>
            <w:r>
              <w:rPr>
                <w:rFonts w:ascii="Arial" w:cs="Arial" w:eastAsia="Arial" w:hAnsi="Arial"/>
                <w:sz w:val="14"/>
                <w:szCs w:val="14"/>
                <w:color w:val="auto"/>
              </w:rPr>
              <w:t>Business Services</w:t>
            </w:r>
          </w:p>
        </w:tc>
        <w:tc>
          <w:tcPr>
            <w:tcW w:w="2260" w:type="dxa"/>
            <w:vAlign w:val="bottom"/>
            <w:gridSpan w:val="2"/>
          </w:tcPr>
          <w:p>
            <w:pPr>
              <w:spacing w:after="0" w:line="149" w:lineRule="exact"/>
              <w:rPr>
                <w:sz w:val="20"/>
                <w:szCs w:val="20"/>
                <w:color w:val="auto"/>
              </w:rPr>
            </w:pPr>
            <w:r>
              <w:rPr>
                <w:rFonts w:ascii="Arial" w:cs="Arial" w:eastAsia="Arial" w:hAnsi="Arial"/>
                <w:sz w:val="14"/>
                <w:szCs w:val="14"/>
                <w:color w:val="auto"/>
              </w:rPr>
              <w:t>Warrant Membership Interests</w:t>
            </w:r>
          </w:p>
        </w:tc>
        <w:tc>
          <w:tcPr>
            <w:tcW w:w="80" w:type="dxa"/>
            <w:vAlign w:val="bottom"/>
          </w:tcPr>
          <w:p>
            <w:pPr>
              <w:spacing w:after="0"/>
              <w:rPr>
                <w:sz w:val="12"/>
                <w:szCs w:val="12"/>
                <w:color w:val="auto"/>
              </w:rPr>
            </w:pPr>
          </w:p>
        </w:tc>
        <w:tc>
          <w:tcPr>
            <w:tcW w:w="7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49,318</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400,000</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598,720</w:t>
            </w:r>
          </w:p>
        </w:tc>
        <w:tc>
          <w:tcPr>
            <w:tcW w:w="8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0.5%</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8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Help/Systems Holdings, Inc.(Help/Systems, LLC) (d)</w:t>
            </w:r>
          </w:p>
        </w:tc>
        <w:tc>
          <w:tcPr>
            <w:tcW w:w="16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Business Services</w:t>
            </w:r>
          </w:p>
        </w:tc>
        <w:tc>
          <w:tcPr>
            <w:tcW w:w="22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First Lien Term Loan 6.25% Cash,</w:t>
            </w: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80" w:type="dxa"/>
            <w:vAlign w:val="bottom"/>
            <w:tcBorders>
              <w:lef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328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160" w:type="dxa"/>
            <w:vAlign w:val="bottom"/>
            <w:shd w:val="clear" w:color="auto" w:fill="CCEEFF"/>
          </w:tcPr>
          <w:p>
            <w:pPr>
              <w:spacing w:after="0"/>
              <w:rPr>
                <w:sz w:val="20"/>
                <w:szCs w:val="20"/>
                <w:color w:val="auto"/>
              </w:rPr>
            </w:pPr>
            <w:r>
              <w:rPr>
                <w:rFonts w:ascii="Arial" w:cs="Arial" w:eastAsia="Arial" w:hAnsi="Arial"/>
                <w:sz w:val="14"/>
                <w:szCs w:val="14"/>
                <w:color w:val="auto"/>
              </w:rPr>
              <w:t>6/28/2019</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5,000,000</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4,901,162</w:t>
            </w:r>
          </w:p>
        </w:tc>
        <w:tc>
          <w:tcPr>
            <w:tcW w:w="180" w:type="dxa"/>
            <w:vAlign w:val="bottom"/>
            <w:tcBorders>
              <w:lef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4,894,000</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3.8%</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860" w:type="dxa"/>
            <w:vAlign w:val="bottom"/>
            <w:gridSpan w:val="2"/>
          </w:tcPr>
          <w:p>
            <w:pPr>
              <w:spacing w:after="0" w:line="130" w:lineRule="exact"/>
              <w:rPr>
                <w:sz w:val="20"/>
                <w:szCs w:val="20"/>
                <w:color w:val="auto"/>
              </w:rPr>
            </w:pPr>
            <w:r>
              <w:rPr>
                <w:rFonts w:ascii="Arial" w:cs="Arial" w:eastAsia="Arial" w:hAnsi="Arial"/>
                <w:sz w:val="14"/>
                <w:szCs w:val="14"/>
                <w:color w:val="auto"/>
              </w:rPr>
              <w:t>Help/Systems Holdings, Inc.(Help/Systems, LLC) (d)</w:t>
            </w:r>
          </w:p>
        </w:tc>
        <w:tc>
          <w:tcPr>
            <w:tcW w:w="1660" w:type="dxa"/>
            <w:vAlign w:val="bottom"/>
            <w:gridSpan w:val="2"/>
          </w:tcPr>
          <w:p>
            <w:pPr>
              <w:spacing w:after="0" w:line="130" w:lineRule="exact"/>
              <w:rPr>
                <w:sz w:val="20"/>
                <w:szCs w:val="20"/>
                <w:color w:val="auto"/>
              </w:rPr>
            </w:pPr>
            <w:r>
              <w:rPr>
                <w:rFonts w:ascii="Arial" w:cs="Arial" w:eastAsia="Arial" w:hAnsi="Arial"/>
                <w:sz w:val="14"/>
                <w:szCs w:val="14"/>
                <w:color w:val="auto"/>
              </w:rPr>
              <w:t>Business Services</w:t>
            </w:r>
          </w:p>
        </w:tc>
        <w:tc>
          <w:tcPr>
            <w:tcW w:w="2260" w:type="dxa"/>
            <w:vAlign w:val="bottom"/>
            <w:gridSpan w:val="2"/>
          </w:tcPr>
          <w:p>
            <w:pPr>
              <w:spacing w:after="0" w:line="130" w:lineRule="exact"/>
              <w:rPr>
                <w:sz w:val="20"/>
                <w:szCs w:val="20"/>
                <w:color w:val="auto"/>
              </w:rPr>
            </w:pPr>
            <w:r>
              <w:rPr>
                <w:rFonts w:ascii="Arial" w:cs="Arial" w:eastAsia="Arial" w:hAnsi="Arial"/>
                <w:sz w:val="14"/>
                <w:szCs w:val="14"/>
                <w:color w:val="auto"/>
              </w:rPr>
              <w:t>Second Lien Term Loan 10.50%</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60" w:type="dxa"/>
            <w:vAlign w:val="bottom"/>
            <w:gridSpan w:val="2"/>
          </w:tcPr>
          <w:p>
            <w:pPr>
              <w:spacing w:after="0"/>
              <w:rPr>
                <w:sz w:val="20"/>
                <w:szCs w:val="20"/>
                <w:color w:val="auto"/>
              </w:rPr>
            </w:pPr>
            <w:r>
              <w:rPr>
                <w:rFonts w:ascii="Arial" w:cs="Arial" w:eastAsia="Arial" w:hAnsi="Arial"/>
                <w:sz w:val="14"/>
                <w:szCs w:val="14"/>
                <w:color w:val="auto"/>
              </w:rPr>
              <w:t>Cash, 6/28/2020</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tcPr>
          <w:p>
            <w:pPr>
              <w:jc w:val="right"/>
              <w:spacing w:after="0"/>
              <w:rPr>
                <w:sz w:val="20"/>
                <w:szCs w:val="20"/>
                <w:color w:val="auto"/>
              </w:rPr>
            </w:pPr>
            <w:r>
              <w:rPr>
                <w:rFonts w:ascii="Arial" w:cs="Arial" w:eastAsia="Arial" w:hAnsi="Arial"/>
                <w:sz w:val="14"/>
                <w:szCs w:val="14"/>
                <w:color w:val="auto"/>
                <w:w w:val="99"/>
              </w:rPr>
              <w:t>3,000,000</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2,910,645</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2,910,000</w:t>
            </w:r>
          </w:p>
        </w:tc>
        <w:tc>
          <w:tcPr>
            <w:tcW w:w="800" w:type="dxa"/>
            <w:vAlign w:val="bottom"/>
            <w:gridSpan w:val="2"/>
          </w:tcPr>
          <w:p>
            <w:pPr>
              <w:jc w:val="right"/>
              <w:ind w:right="40"/>
              <w:spacing w:after="0"/>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8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Knowland Technology Holdings, L.L.C.</w:t>
            </w:r>
          </w:p>
        </w:tc>
        <w:tc>
          <w:tcPr>
            <w:tcW w:w="16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Business Services</w:t>
            </w:r>
          </w:p>
        </w:tc>
        <w:tc>
          <w:tcPr>
            <w:tcW w:w="22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First Lien Term Loan 11.00% Cash,</w:t>
            </w: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80" w:type="dxa"/>
            <w:vAlign w:val="bottom"/>
            <w:tcBorders>
              <w:lef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328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160" w:type="dxa"/>
            <w:vAlign w:val="bottom"/>
            <w:shd w:val="clear" w:color="auto" w:fill="CCEEFF"/>
          </w:tcPr>
          <w:p>
            <w:pPr>
              <w:spacing w:after="0"/>
              <w:rPr>
                <w:sz w:val="20"/>
                <w:szCs w:val="20"/>
                <w:color w:val="auto"/>
              </w:rPr>
            </w:pPr>
            <w:r>
              <w:rPr>
                <w:rFonts w:ascii="Arial" w:cs="Arial" w:eastAsia="Arial" w:hAnsi="Arial"/>
                <w:sz w:val="14"/>
                <w:szCs w:val="14"/>
                <w:color w:val="auto"/>
              </w:rPr>
              <w:t>11/29/2017</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5,259,171</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5,218,435</w:t>
            </w:r>
          </w:p>
        </w:tc>
        <w:tc>
          <w:tcPr>
            <w:tcW w:w="180" w:type="dxa"/>
            <w:vAlign w:val="bottom"/>
            <w:tcBorders>
              <w:lef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5,259,171</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4.1%</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860" w:type="dxa"/>
            <w:vAlign w:val="bottom"/>
            <w:gridSpan w:val="2"/>
          </w:tcPr>
          <w:p>
            <w:pPr>
              <w:spacing w:after="0" w:line="130" w:lineRule="exact"/>
              <w:rPr>
                <w:sz w:val="20"/>
                <w:szCs w:val="20"/>
                <w:color w:val="auto"/>
              </w:rPr>
            </w:pPr>
            <w:r>
              <w:rPr>
                <w:rFonts w:ascii="Arial" w:cs="Arial" w:eastAsia="Arial" w:hAnsi="Arial"/>
                <w:sz w:val="14"/>
                <w:szCs w:val="14"/>
                <w:color w:val="auto"/>
              </w:rPr>
              <w:t>Knowland Technology Holdings, L.L.C. (j), (k), (l)</w:t>
            </w:r>
          </w:p>
        </w:tc>
        <w:tc>
          <w:tcPr>
            <w:tcW w:w="1660" w:type="dxa"/>
            <w:vAlign w:val="bottom"/>
            <w:gridSpan w:val="2"/>
          </w:tcPr>
          <w:p>
            <w:pPr>
              <w:spacing w:after="0" w:line="130" w:lineRule="exact"/>
              <w:rPr>
                <w:sz w:val="20"/>
                <w:szCs w:val="20"/>
                <w:color w:val="auto"/>
              </w:rPr>
            </w:pPr>
            <w:r>
              <w:rPr>
                <w:rFonts w:ascii="Arial" w:cs="Arial" w:eastAsia="Arial" w:hAnsi="Arial"/>
                <w:sz w:val="14"/>
                <w:szCs w:val="14"/>
                <w:color w:val="auto"/>
              </w:rPr>
              <w:t>Business Services</w:t>
            </w:r>
          </w:p>
        </w:tc>
        <w:tc>
          <w:tcPr>
            <w:tcW w:w="2260" w:type="dxa"/>
            <w:vAlign w:val="bottom"/>
            <w:gridSpan w:val="2"/>
          </w:tcPr>
          <w:p>
            <w:pPr>
              <w:spacing w:after="0" w:line="130" w:lineRule="exact"/>
              <w:rPr>
                <w:sz w:val="20"/>
                <w:szCs w:val="20"/>
                <w:color w:val="auto"/>
              </w:rPr>
            </w:pPr>
            <w:r>
              <w:rPr>
                <w:rFonts w:ascii="Arial" w:cs="Arial" w:eastAsia="Arial" w:hAnsi="Arial"/>
                <w:sz w:val="14"/>
                <w:szCs w:val="14"/>
                <w:color w:val="auto"/>
              </w:rPr>
              <w:t>Delayed Draw Term Loan 11.00%</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60" w:type="dxa"/>
            <w:vAlign w:val="bottom"/>
            <w:gridSpan w:val="2"/>
          </w:tcPr>
          <w:p>
            <w:pPr>
              <w:spacing w:after="0"/>
              <w:rPr>
                <w:sz w:val="20"/>
                <w:szCs w:val="20"/>
                <w:color w:val="auto"/>
              </w:rPr>
            </w:pPr>
            <w:r>
              <w:rPr>
                <w:rFonts w:ascii="Arial" w:cs="Arial" w:eastAsia="Arial" w:hAnsi="Arial"/>
                <w:sz w:val="14"/>
                <w:szCs w:val="14"/>
                <w:color w:val="auto"/>
              </w:rPr>
              <w:t>Cash, 11/29/2017</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40"/>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8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Vector Controls Holding Co., LLC (d)</w:t>
            </w:r>
          </w:p>
        </w:tc>
        <w:tc>
          <w:tcPr>
            <w:tcW w:w="16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Business Services</w:t>
            </w:r>
          </w:p>
        </w:tc>
        <w:tc>
          <w:tcPr>
            <w:tcW w:w="22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First Lien Term Loan, 14.00%</w:t>
            </w: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80" w:type="dxa"/>
            <w:vAlign w:val="bottom"/>
            <w:tcBorders>
              <w:lef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328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60" w:type="dxa"/>
            <w:vAlign w:val="bottom"/>
            <w:gridSpan w:val="2"/>
            <w:shd w:val="clear" w:color="auto" w:fill="CCEEFF"/>
          </w:tcPr>
          <w:p>
            <w:pPr>
              <w:spacing w:after="0"/>
              <w:rPr>
                <w:sz w:val="20"/>
                <w:szCs w:val="20"/>
                <w:color w:val="auto"/>
              </w:rPr>
            </w:pPr>
            <w:r>
              <w:rPr>
                <w:rFonts w:ascii="Arial" w:cs="Arial" w:eastAsia="Arial" w:hAnsi="Arial"/>
                <w:sz w:val="14"/>
                <w:szCs w:val="14"/>
                <w:color w:val="auto"/>
                <w:w w:val="99"/>
              </w:rPr>
              <w:t>(12.00% Cash/2.00% PIK), 3/6/2018</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9,380,656</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9,285,179</w:t>
            </w:r>
          </w:p>
        </w:tc>
        <w:tc>
          <w:tcPr>
            <w:tcW w:w="180" w:type="dxa"/>
            <w:vAlign w:val="bottom"/>
            <w:tcBorders>
              <w:lef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9,380,656</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7.4%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860" w:type="dxa"/>
            <w:vAlign w:val="bottom"/>
            <w:gridSpan w:val="2"/>
          </w:tcPr>
          <w:p>
            <w:pPr>
              <w:spacing w:after="0" w:line="130" w:lineRule="exact"/>
              <w:rPr>
                <w:sz w:val="20"/>
                <w:szCs w:val="20"/>
                <w:color w:val="auto"/>
              </w:rPr>
            </w:pPr>
            <w:r>
              <w:rPr>
                <w:rFonts w:ascii="Arial" w:cs="Arial" w:eastAsia="Arial" w:hAnsi="Arial"/>
                <w:sz w:val="14"/>
                <w:szCs w:val="14"/>
                <w:color w:val="auto"/>
              </w:rPr>
              <w:t>Vector Controls Holding Co., LLC (d), (g)</w:t>
            </w:r>
          </w:p>
        </w:tc>
        <w:tc>
          <w:tcPr>
            <w:tcW w:w="1660" w:type="dxa"/>
            <w:vAlign w:val="bottom"/>
            <w:gridSpan w:val="2"/>
          </w:tcPr>
          <w:p>
            <w:pPr>
              <w:spacing w:after="0" w:line="130" w:lineRule="exact"/>
              <w:rPr>
                <w:sz w:val="20"/>
                <w:szCs w:val="20"/>
                <w:color w:val="auto"/>
              </w:rPr>
            </w:pPr>
            <w:r>
              <w:rPr>
                <w:rFonts w:ascii="Arial" w:cs="Arial" w:eastAsia="Arial" w:hAnsi="Arial"/>
                <w:sz w:val="14"/>
                <w:szCs w:val="14"/>
                <w:color w:val="auto"/>
              </w:rPr>
              <w:t>Business Services</w:t>
            </w:r>
          </w:p>
        </w:tc>
        <w:tc>
          <w:tcPr>
            <w:tcW w:w="2260" w:type="dxa"/>
            <w:vAlign w:val="bottom"/>
            <w:gridSpan w:val="2"/>
          </w:tcPr>
          <w:p>
            <w:pPr>
              <w:spacing w:after="0" w:line="130" w:lineRule="exact"/>
              <w:rPr>
                <w:sz w:val="20"/>
                <w:szCs w:val="20"/>
                <w:color w:val="auto"/>
              </w:rPr>
            </w:pPr>
            <w:r>
              <w:rPr>
                <w:rFonts w:ascii="Arial" w:cs="Arial" w:eastAsia="Arial" w:hAnsi="Arial"/>
                <w:sz w:val="14"/>
                <w:szCs w:val="14"/>
                <w:color w:val="auto"/>
              </w:rPr>
              <w:t>Warrants to Purchase Limited</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60" w:type="dxa"/>
            <w:vAlign w:val="bottom"/>
            <w:gridSpan w:val="2"/>
          </w:tcPr>
          <w:p>
            <w:pPr>
              <w:spacing w:after="0"/>
              <w:rPr>
                <w:sz w:val="20"/>
                <w:szCs w:val="20"/>
                <w:color w:val="auto"/>
              </w:rPr>
            </w:pPr>
            <w:r>
              <w:rPr>
                <w:rFonts w:ascii="Arial" w:cs="Arial" w:eastAsia="Arial" w:hAnsi="Arial"/>
                <w:sz w:val="14"/>
                <w:szCs w:val="14"/>
                <w:color w:val="auto"/>
              </w:rPr>
              <w:t>Liability Company Interests</w:t>
            </w: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101</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280,000</w:t>
            </w:r>
          </w:p>
        </w:tc>
        <w:tc>
          <w:tcPr>
            <w:tcW w:w="800" w:type="dxa"/>
            <w:vAlign w:val="bottom"/>
            <w:gridSpan w:val="2"/>
          </w:tcPr>
          <w:p>
            <w:pPr>
              <w:jc w:val="right"/>
              <w:ind w:right="40"/>
              <w:spacing w:after="0"/>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32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8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280" w:type="dxa"/>
            <w:vAlign w:val="bottom"/>
            <w:shd w:val="clear" w:color="auto" w:fill="CCEEFF"/>
          </w:tcPr>
          <w:p>
            <w:pPr>
              <w:spacing w:after="0"/>
              <w:rPr>
                <w:sz w:val="12"/>
                <w:szCs w:val="12"/>
                <w:color w:val="auto"/>
              </w:rPr>
            </w:pPr>
          </w:p>
        </w:tc>
        <w:tc>
          <w:tcPr>
            <w:tcW w:w="1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Total Business Services</w:t>
            </w: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1"/>
              </w:rPr>
              <w:t>60,571,895</w:t>
            </w:r>
          </w:p>
        </w:tc>
        <w:tc>
          <w:tcPr>
            <w:tcW w:w="180" w:type="dxa"/>
            <w:vAlign w:val="bottom"/>
            <w:tcBorders>
              <w:lef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96"/>
              </w:rPr>
              <w:t>60,625,559</w:t>
            </w:r>
          </w:p>
        </w:tc>
        <w:tc>
          <w:tcPr>
            <w:tcW w:w="8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47.6%</w:t>
            </w:r>
          </w:p>
        </w:tc>
        <w:tc>
          <w:tcPr>
            <w:tcW w:w="0" w:type="dxa"/>
            <w:vAlign w:val="bottom"/>
          </w:tcPr>
          <w:p>
            <w:pPr>
              <w:spacing w:after="0"/>
              <w:rPr>
                <w:sz w:val="1"/>
                <w:szCs w:val="1"/>
                <w:color w:val="auto"/>
              </w:rPr>
            </w:pPr>
          </w:p>
        </w:tc>
      </w:tr>
      <w:tr>
        <w:trPr>
          <w:trHeight w:val="137"/>
        </w:trPr>
        <w:tc>
          <w:tcPr>
            <w:tcW w:w="3880" w:type="dxa"/>
            <w:vAlign w:val="bottom"/>
            <w:gridSpan w:val="3"/>
          </w:tcPr>
          <w:p>
            <w:pPr>
              <w:spacing w:after="0" w:line="137" w:lineRule="exact"/>
              <w:rPr>
                <w:sz w:val="20"/>
                <w:szCs w:val="20"/>
                <w:color w:val="auto"/>
              </w:rPr>
            </w:pPr>
            <w:r>
              <w:rPr>
                <w:rFonts w:ascii="Arial" w:cs="Arial" w:eastAsia="Arial" w:hAnsi="Arial"/>
                <w:sz w:val="14"/>
                <w:szCs w:val="14"/>
                <w:color w:val="auto"/>
              </w:rPr>
              <w:t>Advanced Air &amp; Heat of Florida, LLC</w:t>
            </w:r>
          </w:p>
        </w:tc>
        <w:tc>
          <w:tcPr>
            <w:tcW w:w="1660" w:type="dxa"/>
            <w:vAlign w:val="bottom"/>
            <w:gridSpan w:val="2"/>
          </w:tcPr>
          <w:p>
            <w:pPr>
              <w:spacing w:after="0" w:line="137" w:lineRule="exact"/>
              <w:rPr>
                <w:sz w:val="20"/>
                <w:szCs w:val="20"/>
                <w:color w:val="auto"/>
              </w:rPr>
            </w:pPr>
            <w:r>
              <w:rPr>
                <w:rFonts w:ascii="Arial" w:cs="Arial" w:eastAsia="Arial" w:hAnsi="Arial"/>
                <w:sz w:val="14"/>
                <w:szCs w:val="14"/>
                <w:color w:val="auto"/>
              </w:rPr>
              <w:t>Consumer Products</w:t>
            </w:r>
          </w:p>
        </w:tc>
        <w:tc>
          <w:tcPr>
            <w:tcW w:w="2260" w:type="dxa"/>
            <w:vAlign w:val="bottom"/>
            <w:gridSpan w:val="2"/>
          </w:tcPr>
          <w:p>
            <w:pPr>
              <w:spacing w:after="0" w:line="137" w:lineRule="exact"/>
              <w:rPr>
                <w:sz w:val="20"/>
                <w:szCs w:val="20"/>
                <w:color w:val="auto"/>
              </w:rPr>
            </w:pPr>
            <w:r>
              <w:rPr>
                <w:rFonts w:ascii="Arial" w:cs="Arial" w:eastAsia="Arial" w:hAnsi="Arial"/>
                <w:sz w:val="14"/>
                <w:szCs w:val="14"/>
                <w:color w:val="auto"/>
              </w:rPr>
              <w:t>First Lien Term Loan 9.75% Cash,</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60" w:type="dxa"/>
            <w:vAlign w:val="bottom"/>
          </w:tcPr>
          <w:p>
            <w:pPr>
              <w:spacing w:after="0"/>
              <w:rPr>
                <w:sz w:val="20"/>
                <w:szCs w:val="20"/>
                <w:color w:val="auto"/>
              </w:rPr>
            </w:pPr>
            <w:r>
              <w:rPr>
                <w:rFonts w:ascii="Arial" w:cs="Arial" w:eastAsia="Arial" w:hAnsi="Arial"/>
                <w:sz w:val="14"/>
                <w:szCs w:val="14"/>
                <w:color w:val="auto"/>
              </w:rPr>
              <w:t>7/17/2020</w:t>
            </w:r>
          </w:p>
        </w:tc>
        <w:tc>
          <w:tcPr>
            <w:tcW w:w="10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tcPr>
          <w:p>
            <w:pPr>
              <w:jc w:val="right"/>
              <w:spacing w:after="0"/>
              <w:rPr>
                <w:sz w:val="20"/>
                <w:szCs w:val="20"/>
                <w:color w:val="auto"/>
              </w:rPr>
            </w:pPr>
            <w:r>
              <w:rPr>
                <w:rFonts w:ascii="Arial" w:cs="Arial" w:eastAsia="Arial" w:hAnsi="Arial"/>
                <w:sz w:val="14"/>
                <w:szCs w:val="14"/>
                <w:color w:val="auto"/>
                <w:w w:val="99"/>
              </w:rPr>
              <w:t>7,550,000</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7,474,199</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7,550,000</w:t>
            </w:r>
          </w:p>
        </w:tc>
        <w:tc>
          <w:tcPr>
            <w:tcW w:w="800" w:type="dxa"/>
            <w:vAlign w:val="bottom"/>
            <w:gridSpan w:val="2"/>
          </w:tcPr>
          <w:p>
            <w:pPr>
              <w:jc w:val="right"/>
              <w:ind w:right="40"/>
              <w:spacing w:after="0"/>
              <w:rPr>
                <w:sz w:val="20"/>
                <w:szCs w:val="20"/>
                <w:color w:val="auto"/>
              </w:rPr>
            </w:pPr>
            <w:r>
              <w:rPr>
                <w:rFonts w:ascii="Arial" w:cs="Arial" w:eastAsia="Arial" w:hAnsi="Arial"/>
                <w:sz w:val="14"/>
                <w:szCs w:val="14"/>
                <w:color w:val="auto"/>
              </w:rPr>
              <w:t>5.9%</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8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Advanced Air &amp; Heat of Florida, LLC (j) (i)</w:t>
            </w:r>
          </w:p>
        </w:tc>
        <w:tc>
          <w:tcPr>
            <w:tcW w:w="16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Consumer Products</w:t>
            </w:r>
          </w:p>
        </w:tc>
        <w:tc>
          <w:tcPr>
            <w:tcW w:w="22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Delayed Draw Term Loan 9.75%</w:t>
            </w: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80" w:type="dxa"/>
            <w:vAlign w:val="bottom"/>
            <w:tcBorders>
              <w:lef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328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Cash, 7/17/2020</w:t>
            </w:r>
          </w:p>
        </w:tc>
        <w:tc>
          <w:tcPr>
            <w:tcW w:w="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tcBorders>
              <w:lef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860" w:type="dxa"/>
            <w:vAlign w:val="bottom"/>
            <w:gridSpan w:val="2"/>
          </w:tcPr>
          <w:p>
            <w:pPr>
              <w:spacing w:after="0" w:line="130" w:lineRule="exact"/>
              <w:rPr>
                <w:sz w:val="20"/>
                <w:szCs w:val="20"/>
                <w:color w:val="auto"/>
              </w:rPr>
            </w:pPr>
            <w:r>
              <w:rPr>
                <w:rFonts w:ascii="Arial" w:cs="Arial" w:eastAsia="Arial" w:hAnsi="Arial"/>
                <w:sz w:val="14"/>
                <w:szCs w:val="14"/>
                <w:color w:val="auto"/>
              </w:rPr>
              <w:t>Targus Group International, Inc. (d), (m)</w:t>
            </w:r>
          </w:p>
        </w:tc>
        <w:tc>
          <w:tcPr>
            <w:tcW w:w="1660" w:type="dxa"/>
            <w:vAlign w:val="bottom"/>
            <w:gridSpan w:val="2"/>
          </w:tcPr>
          <w:p>
            <w:pPr>
              <w:spacing w:after="0" w:line="130" w:lineRule="exact"/>
              <w:rPr>
                <w:sz w:val="20"/>
                <w:szCs w:val="20"/>
                <w:color w:val="auto"/>
              </w:rPr>
            </w:pPr>
            <w:r>
              <w:rPr>
                <w:rFonts w:ascii="Arial" w:cs="Arial" w:eastAsia="Arial" w:hAnsi="Arial"/>
                <w:sz w:val="14"/>
                <w:szCs w:val="14"/>
                <w:color w:val="auto"/>
              </w:rPr>
              <w:t>Consumer Products</w:t>
            </w:r>
          </w:p>
        </w:tc>
        <w:tc>
          <w:tcPr>
            <w:tcW w:w="2260" w:type="dxa"/>
            <w:vAlign w:val="bottom"/>
            <w:gridSpan w:val="2"/>
          </w:tcPr>
          <w:p>
            <w:pPr>
              <w:spacing w:after="0" w:line="130" w:lineRule="exact"/>
              <w:rPr>
                <w:sz w:val="20"/>
                <w:szCs w:val="20"/>
                <w:color w:val="auto"/>
              </w:rPr>
            </w:pPr>
            <w:r>
              <w:rPr>
                <w:rFonts w:ascii="Arial" w:cs="Arial" w:eastAsia="Arial" w:hAnsi="Arial"/>
                <w:sz w:val="14"/>
                <w:szCs w:val="14"/>
                <w:color w:val="auto"/>
              </w:rPr>
              <w:t>First Lien Term Loan, 14.75%</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60" w:type="dxa"/>
            <w:vAlign w:val="bottom"/>
            <w:gridSpan w:val="2"/>
          </w:tcPr>
          <w:p>
            <w:pPr>
              <w:spacing w:after="0"/>
              <w:rPr>
                <w:sz w:val="20"/>
                <w:szCs w:val="20"/>
                <w:color w:val="auto"/>
              </w:rPr>
            </w:pPr>
            <w:r>
              <w:rPr>
                <w:rFonts w:ascii="Arial" w:cs="Arial" w:eastAsia="Arial" w:hAnsi="Arial"/>
                <w:sz w:val="14"/>
                <w:szCs w:val="14"/>
                <w:color w:val="auto"/>
              </w:rPr>
              <w:t>(13.75% Cash/1.00 PIK), 5/24/2016</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tcPr>
          <w:p>
            <w:pPr>
              <w:jc w:val="right"/>
              <w:spacing w:after="0"/>
              <w:rPr>
                <w:sz w:val="20"/>
                <w:szCs w:val="20"/>
                <w:color w:val="auto"/>
              </w:rPr>
            </w:pPr>
            <w:r>
              <w:rPr>
                <w:rFonts w:ascii="Arial" w:cs="Arial" w:eastAsia="Arial" w:hAnsi="Arial"/>
                <w:sz w:val="14"/>
                <w:szCs w:val="14"/>
                <w:color w:val="auto"/>
                <w:w w:val="99"/>
              </w:rPr>
              <w:t>3,590,252</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3,586,064</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2,229,906</w:t>
            </w:r>
          </w:p>
        </w:tc>
        <w:tc>
          <w:tcPr>
            <w:tcW w:w="800" w:type="dxa"/>
            <w:vAlign w:val="bottom"/>
            <w:gridSpan w:val="2"/>
          </w:tcPr>
          <w:p>
            <w:pPr>
              <w:jc w:val="right"/>
              <w:ind w:right="40"/>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Targus Holdings, Inc. (d), (g)</w:t>
            </w:r>
          </w:p>
        </w:tc>
        <w:tc>
          <w:tcPr>
            <w:tcW w:w="16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Consumer Products</w:t>
            </w:r>
          </w:p>
        </w:tc>
        <w:tc>
          <w:tcPr>
            <w:tcW w:w="22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Common Stock</w:t>
            </w: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62,413</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566,765</w:t>
            </w:r>
          </w:p>
        </w:tc>
        <w:tc>
          <w:tcPr>
            <w:tcW w:w="180" w:type="dxa"/>
            <w:vAlign w:val="bottom"/>
            <w:tcBorders>
              <w:lef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860" w:type="dxa"/>
            <w:vAlign w:val="bottom"/>
            <w:gridSpan w:val="2"/>
          </w:tcPr>
          <w:p>
            <w:pPr>
              <w:spacing w:after="0" w:line="130" w:lineRule="exact"/>
              <w:rPr>
                <w:sz w:val="20"/>
                <w:szCs w:val="20"/>
                <w:color w:val="auto"/>
              </w:rPr>
            </w:pPr>
            <w:r>
              <w:rPr>
                <w:rFonts w:ascii="Arial" w:cs="Arial" w:eastAsia="Arial" w:hAnsi="Arial"/>
                <w:sz w:val="14"/>
                <w:szCs w:val="14"/>
                <w:color w:val="auto"/>
              </w:rPr>
              <w:t>Targus Holdings, Inc. (d), (m)</w:t>
            </w:r>
          </w:p>
        </w:tc>
        <w:tc>
          <w:tcPr>
            <w:tcW w:w="1660" w:type="dxa"/>
            <w:vAlign w:val="bottom"/>
            <w:gridSpan w:val="2"/>
          </w:tcPr>
          <w:p>
            <w:pPr>
              <w:spacing w:after="0" w:line="130" w:lineRule="exact"/>
              <w:rPr>
                <w:sz w:val="20"/>
                <w:szCs w:val="20"/>
                <w:color w:val="auto"/>
              </w:rPr>
            </w:pPr>
            <w:r>
              <w:rPr>
                <w:rFonts w:ascii="Arial" w:cs="Arial" w:eastAsia="Arial" w:hAnsi="Arial"/>
                <w:sz w:val="14"/>
                <w:szCs w:val="14"/>
                <w:color w:val="auto"/>
              </w:rPr>
              <w:t>Consumer Products</w:t>
            </w:r>
          </w:p>
        </w:tc>
        <w:tc>
          <w:tcPr>
            <w:tcW w:w="2260" w:type="dxa"/>
            <w:vAlign w:val="bottom"/>
            <w:gridSpan w:val="2"/>
          </w:tcPr>
          <w:p>
            <w:pPr>
              <w:spacing w:after="0" w:line="130" w:lineRule="exact"/>
              <w:rPr>
                <w:sz w:val="20"/>
                <w:szCs w:val="20"/>
                <w:color w:val="auto"/>
              </w:rPr>
            </w:pPr>
            <w:r>
              <w:rPr>
                <w:rFonts w:ascii="Arial" w:cs="Arial" w:eastAsia="Arial" w:hAnsi="Arial"/>
                <w:sz w:val="14"/>
                <w:szCs w:val="14"/>
                <w:color w:val="auto"/>
              </w:rPr>
              <w:t>Unsecured Note 10.00% PIK,</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60" w:type="dxa"/>
            <w:vAlign w:val="bottom"/>
          </w:tcPr>
          <w:p>
            <w:pPr>
              <w:spacing w:after="0"/>
              <w:rPr>
                <w:sz w:val="20"/>
                <w:szCs w:val="20"/>
                <w:color w:val="auto"/>
              </w:rPr>
            </w:pPr>
            <w:r>
              <w:rPr>
                <w:rFonts w:ascii="Arial" w:cs="Arial" w:eastAsia="Arial" w:hAnsi="Arial"/>
                <w:sz w:val="14"/>
                <w:szCs w:val="14"/>
                <w:color w:val="auto"/>
              </w:rPr>
              <w:t>6/14/2019</w:t>
            </w:r>
          </w:p>
        </w:tc>
        <w:tc>
          <w:tcPr>
            <w:tcW w:w="10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tcPr>
          <w:p>
            <w:pPr>
              <w:jc w:val="right"/>
              <w:spacing w:after="0"/>
              <w:rPr>
                <w:sz w:val="20"/>
                <w:szCs w:val="20"/>
                <w:color w:val="auto"/>
              </w:rPr>
            </w:pPr>
            <w:r>
              <w:rPr>
                <w:rFonts w:ascii="Arial" w:cs="Arial" w:eastAsia="Arial" w:hAnsi="Arial"/>
                <w:sz w:val="14"/>
                <w:szCs w:val="14"/>
                <w:color w:val="auto"/>
                <w:w w:val="99"/>
              </w:rPr>
              <w:t>2,054,158</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2,054,158</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40"/>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8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Targus Holdings, Inc. (d), (m)</w:t>
            </w:r>
          </w:p>
        </w:tc>
        <w:tc>
          <w:tcPr>
            <w:tcW w:w="16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Consumer Products</w:t>
            </w:r>
          </w:p>
        </w:tc>
        <w:tc>
          <w:tcPr>
            <w:tcW w:w="22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Unsecured Note 16.00% PIK,</w:t>
            </w: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80" w:type="dxa"/>
            <w:vAlign w:val="bottom"/>
            <w:tcBorders>
              <w:lef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328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160" w:type="dxa"/>
            <w:vAlign w:val="bottom"/>
            <w:shd w:val="clear" w:color="auto" w:fill="CCEEFF"/>
          </w:tcPr>
          <w:p>
            <w:pPr>
              <w:spacing w:after="0"/>
              <w:rPr>
                <w:sz w:val="20"/>
                <w:szCs w:val="20"/>
                <w:color w:val="auto"/>
              </w:rPr>
            </w:pPr>
            <w:r>
              <w:rPr>
                <w:rFonts w:ascii="Arial" w:cs="Arial" w:eastAsia="Arial" w:hAnsi="Arial"/>
                <w:sz w:val="14"/>
                <w:szCs w:val="14"/>
                <w:color w:val="auto"/>
              </w:rPr>
              <w:t>10/26/2018</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429,797</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425,942</w:t>
            </w:r>
          </w:p>
        </w:tc>
        <w:tc>
          <w:tcPr>
            <w:tcW w:w="180" w:type="dxa"/>
            <w:vAlign w:val="bottom"/>
            <w:tcBorders>
              <w:lef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60" w:type="dxa"/>
            <w:vAlign w:val="bottom"/>
            <w:gridSpan w:val="2"/>
            <w:vMerge w:val="restart"/>
          </w:tcPr>
          <w:p>
            <w:pPr>
              <w:jc w:val="right"/>
              <w:ind w:right="100"/>
              <w:spacing w:after="0"/>
              <w:rPr>
                <w:sz w:val="20"/>
                <w:szCs w:val="20"/>
                <w:color w:val="auto"/>
              </w:rPr>
            </w:pPr>
            <w:r>
              <w:rPr>
                <w:rFonts w:ascii="Arial" w:cs="Arial" w:eastAsia="Arial" w:hAnsi="Arial"/>
                <w:sz w:val="14"/>
                <w:szCs w:val="14"/>
                <w:color w:val="auto"/>
              </w:rPr>
              <w:t>Total Consumer Products</w:t>
            </w: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8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6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jc w:val="right"/>
              <w:spacing w:after="0" w:line="155" w:lineRule="exact"/>
              <w:rPr>
                <w:sz w:val="20"/>
                <w:szCs w:val="20"/>
                <w:color w:val="auto"/>
              </w:rPr>
            </w:pPr>
            <w:r>
              <w:rPr>
                <w:rFonts w:ascii="Arial" w:cs="Arial" w:eastAsia="Arial" w:hAnsi="Arial"/>
                <w:sz w:val="14"/>
                <w:szCs w:val="14"/>
                <w:color w:val="auto"/>
                <w:w w:val="91"/>
              </w:rPr>
              <w:t>14,107,128</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jc w:val="right"/>
              <w:spacing w:after="0" w:line="155" w:lineRule="exact"/>
              <w:rPr>
                <w:sz w:val="20"/>
                <w:szCs w:val="20"/>
                <w:color w:val="auto"/>
              </w:rPr>
            </w:pPr>
            <w:r>
              <w:rPr>
                <w:rFonts w:ascii="Arial" w:cs="Arial" w:eastAsia="Arial" w:hAnsi="Arial"/>
                <w:sz w:val="14"/>
                <w:szCs w:val="14"/>
                <w:color w:val="auto"/>
              </w:rPr>
              <w:t>9,779,906</w:t>
            </w:r>
          </w:p>
        </w:tc>
        <w:tc>
          <w:tcPr>
            <w:tcW w:w="180" w:type="dxa"/>
            <w:vAlign w:val="bottom"/>
            <w:vMerge w:val="continue"/>
          </w:tcPr>
          <w:p>
            <w:pPr>
              <w:spacing w:after="0"/>
              <w:rPr>
                <w:sz w:val="13"/>
                <w:szCs w:val="13"/>
                <w:color w:val="auto"/>
              </w:rPr>
            </w:pPr>
          </w:p>
        </w:tc>
        <w:tc>
          <w:tcPr>
            <w:tcW w:w="80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7.7%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80" w:type="dxa"/>
            <w:vAlign w:val="bottom"/>
          </w:tcPr>
          <w:p>
            <w:pPr>
              <w:spacing w:after="0"/>
              <w:rPr>
                <w:sz w:val="2"/>
                <w:szCs w:val="2"/>
                <w:color w:val="auto"/>
              </w:rPr>
            </w:pPr>
          </w:p>
        </w:tc>
        <w:tc>
          <w:tcPr>
            <w:tcW w:w="32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8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38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Expedited Travel L.L.C. (g)</w:t>
            </w:r>
          </w:p>
        </w:tc>
        <w:tc>
          <w:tcPr>
            <w:tcW w:w="16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Consumer Services</w:t>
            </w:r>
          </w:p>
        </w:tc>
        <w:tc>
          <w:tcPr>
            <w:tcW w:w="22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Common Stock</w:t>
            </w: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1,000,000</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1,000,000</w:t>
            </w:r>
          </w:p>
        </w:tc>
        <w:tc>
          <w:tcPr>
            <w:tcW w:w="180" w:type="dxa"/>
            <w:vAlign w:val="bottom"/>
            <w:tcBorders>
              <w:lef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1,328,054</w:t>
            </w:r>
          </w:p>
        </w:tc>
        <w:tc>
          <w:tcPr>
            <w:tcW w:w="8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860" w:type="dxa"/>
            <w:vAlign w:val="bottom"/>
            <w:gridSpan w:val="2"/>
          </w:tcPr>
          <w:p>
            <w:pPr>
              <w:spacing w:after="0" w:line="130" w:lineRule="exact"/>
              <w:rPr>
                <w:sz w:val="20"/>
                <w:szCs w:val="20"/>
                <w:color w:val="auto"/>
              </w:rPr>
            </w:pPr>
            <w:r>
              <w:rPr>
                <w:rFonts w:ascii="Arial" w:cs="Arial" w:eastAsia="Arial" w:hAnsi="Arial"/>
                <w:sz w:val="14"/>
                <w:szCs w:val="14"/>
                <w:color w:val="auto"/>
              </w:rPr>
              <w:t>Expedited Travel L.L.C.</w:t>
            </w:r>
          </w:p>
        </w:tc>
        <w:tc>
          <w:tcPr>
            <w:tcW w:w="1660" w:type="dxa"/>
            <w:vAlign w:val="bottom"/>
            <w:gridSpan w:val="2"/>
          </w:tcPr>
          <w:p>
            <w:pPr>
              <w:spacing w:after="0" w:line="130" w:lineRule="exact"/>
              <w:rPr>
                <w:sz w:val="20"/>
                <w:szCs w:val="20"/>
                <w:color w:val="auto"/>
              </w:rPr>
            </w:pPr>
            <w:r>
              <w:rPr>
                <w:rFonts w:ascii="Arial" w:cs="Arial" w:eastAsia="Arial" w:hAnsi="Arial"/>
                <w:sz w:val="14"/>
                <w:szCs w:val="14"/>
                <w:color w:val="auto"/>
              </w:rPr>
              <w:t>Consumer Services</w:t>
            </w:r>
          </w:p>
        </w:tc>
        <w:tc>
          <w:tcPr>
            <w:tcW w:w="2260" w:type="dxa"/>
            <w:vAlign w:val="bottom"/>
            <w:gridSpan w:val="2"/>
          </w:tcPr>
          <w:p>
            <w:pPr>
              <w:spacing w:after="0" w:line="130" w:lineRule="exact"/>
              <w:rPr>
                <w:sz w:val="20"/>
                <w:szCs w:val="20"/>
                <w:color w:val="auto"/>
              </w:rPr>
            </w:pPr>
            <w:r>
              <w:rPr>
                <w:rFonts w:ascii="Arial" w:cs="Arial" w:eastAsia="Arial" w:hAnsi="Arial"/>
                <w:sz w:val="14"/>
                <w:szCs w:val="14"/>
                <w:color w:val="auto"/>
              </w:rPr>
              <w:t>First Lien Term Loan 10.00% Cash,</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60" w:type="dxa"/>
            <w:vAlign w:val="bottom"/>
          </w:tcPr>
          <w:p>
            <w:pPr>
              <w:spacing w:after="0"/>
              <w:rPr>
                <w:sz w:val="20"/>
                <w:szCs w:val="20"/>
                <w:color w:val="auto"/>
              </w:rPr>
            </w:pPr>
            <w:r>
              <w:rPr>
                <w:rFonts w:ascii="Arial" w:cs="Arial" w:eastAsia="Arial" w:hAnsi="Arial"/>
                <w:sz w:val="14"/>
                <w:szCs w:val="14"/>
                <w:color w:val="auto"/>
              </w:rPr>
              <w:t>10/10/2019</w:t>
            </w:r>
          </w:p>
        </w:tc>
        <w:tc>
          <w:tcPr>
            <w:tcW w:w="10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w w:val="91"/>
              </w:rPr>
              <w:t>11,902,135</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w w:val="91"/>
              </w:rPr>
              <w:t>11,814,773</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w w:val="96"/>
              </w:rPr>
              <w:t>12,096,140</w:t>
            </w:r>
          </w:p>
        </w:tc>
        <w:tc>
          <w:tcPr>
            <w:tcW w:w="800" w:type="dxa"/>
            <w:vAlign w:val="bottom"/>
            <w:gridSpan w:val="2"/>
          </w:tcPr>
          <w:p>
            <w:pPr>
              <w:jc w:val="right"/>
              <w:ind w:right="40"/>
              <w:spacing w:after="0"/>
              <w:rPr>
                <w:sz w:val="20"/>
                <w:szCs w:val="20"/>
                <w:color w:val="auto"/>
              </w:rPr>
            </w:pPr>
            <w:r>
              <w:rPr>
                <w:rFonts w:ascii="Arial" w:cs="Arial" w:eastAsia="Arial" w:hAnsi="Arial"/>
                <w:sz w:val="14"/>
                <w:szCs w:val="14"/>
                <w:color w:val="auto"/>
              </w:rPr>
              <w:t>9.5%</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8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My Alarm Center, LLC</w:t>
            </w:r>
          </w:p>
        </w:tc>
        <w:tc>
          <w:tcPr>
            <w:tcW w:w="16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Consumer Services</w:t>
            </w:r>
          </w:p>
        </w:tc>
        <w:tc>
          <w:tcPr>
            <w:tcW w:w="22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Second Lien Term Loan 12.00%</w:t>
            </w: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80" w:type="dxa"/>
            <w:vAlign w:val="bottom"/>
            <w:tcBorders>
              <w:lef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328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Cash, 7/9/2019</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7,500,000</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7,500,000</w:t>
            </w:r>
          </w:p>
        </w:tc>
        <w:tc>
          <w:tcPr>
            <w:tcW w:w="180" w:type="dxa"/>
            <w:vAlign w:val="bottom"/>
            <w:tcBorders>
              <w:lef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7,500,000</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5.9%</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860" w:type="dxa"/>
            <w:vAlign w:val="bottom"/>
            <w:gridSpan w:val="2"/>
          </w:tcPr>
          <w:p>
            <w:pPr>
              <w:spacing w:after="0" w:line="130" w:lineRule="exact"/>
              <w:rPr>
                <w:sz w:val="20"/>
                <w:szCs w:val="20"/>
                <w:color w:val="auto"/>
              </w:rPr>
            </w:pPr>
            <w:r>
              <w:rPr>
                <w:rFonts w:ascii="Arial" w:cs="Arial" w:eastAsia="Arial" w:hAnsi="Arial"/>
                <w:sz w:val="14"/>
                <w:szCs w:val="14"/>
                <w:color w:val="auto"/>
              </w:rPr>
              <w:t>PrePaid Legal Services, Inc. (d)</w:t>
            </w:r>
          </w:p>
        </w:tc>
        <w:tc>
          <w:tcPr>
            <w:tcW w:w="1660" w:type="dxa"/>
            <w:vAlign w:val="bottom"/>
            <w:gridSpan w:val="2"/>
          </w:tcPr>
          <w:p>
            <w:pPr>
              <w:spacing w:after="0" w:line="130" w:lineRule="exact"/>
              <w:rPr>
                <w:sz w:val="20"/>
                <w:szCs w:val="20"/>
                <w:color w:val="auto"/>
              </w:rPr>
            </w:pPr>
            <w:r>
              <w:rPr>
                <w:rFonts w:ascii="Arial" w:cs="Arial" w:eastAsia="Arial" w:hAnsi="Arial"/>
                <w:sz w:val="14"/>
                <w:szCs w:val="14"/>
                <w:color w:val="auto"/>
              </w:rPr>
              <w:t>Consumer Services</w:t>
            </w:r>
          </w:p>
        </w:tc>
        <w:tc>
          <w:tcPr>
            <w:tcW w:w="2260" w:type="dxa"/>
            <w:vAlign w:val="bottom"/>
            <w:gridSpan w:val="2"/>
          </w:tcPr>
          <w:p>
            <w:pPr>
              <w:spacing w:after="0" w:line="130" w:lineRule="exact"/>
              <w:rPr>
                <w:sz w:val="20"/>
                <w:szCs w:val="20"/>
                <w:color w:val="auto"/>
              </w:rPr>
            </w:pPr>
            <w:r>
              <w:rPr>
                <w:rFonts w:ascii="Arial" w:cs="Arial" w:eastAsia="Arial" w:hAnsi="Arial"/>
                <w:sz w:val="14"/>
                <w:szCs w:val="14"/>
                <w:color w:val="auto"/>
              </w:rPr>
              <w:t>First Lien Term Loan 6.50% Cash,</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60" w:type="dxa"/>
            <w:vAlign w:val="bottom"/>
          </w:tcPr>
          <w:p>
            <w:pPr>
              <w:spacing w:after="0"/>
              <w:rPr>
                <w:sz w:val="20"/>
                <w:szCs w:val="20"/>
                <w:color w:val="auto"/>
              </w:rPr>
            </w:pPr>
            <w:r>
              <w:rPr>
                <w:rFonts w:ascii="Arial" w:cs="Arial" w:eastAsia="Arial" w:hAnsi="Arial"/>
                <w:sz w:val="14"/>
                <w:szCs w:val="14"/>
                <w:color w:val="auto"/>
              </w:rPr>
              <w:t>7/1/2019</w:t>
            </w:r>
          </w:p>
        </w:tc>
        <w:tc>
          <w:tcPr>
            <w:tcW w:w="10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tcPr>
          <w:p>
            <w:pPr>
              <w:jc w:val="right"/>
              <w:spacing w:after="0"/>
              <w:rPr>
                <w:sz w:val="20"/>
                <w:szCs w:val="20"/>
                <w:color w:val="auto"/>
              </w:rPr>
            </w:pPr>
            <w:r>
              <w:rPr>
                <w:rFonts w:ascii="Arial" w:cs="Arial" w:eastAsia="Arial" w:hAnsi="Arial"/>
                <w:sz w:val="14"/>
                <w:szCs w:val="14"/>
                <w:color w:val="auto"/>
                <w:w w:val="99"/>
              </w:rPr>
              <w:t>1,600,977</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1,589,991</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1,592,972</w:t>
            </w:r>
          </w:p>
        </w:tc>
        <w:tc>
          <w:tcPr>
            <w:tcW w:w="800" w:type="dxa"/>
            <w:vAlign w:val="bottom"/>
            <w:gridSpan w:val="2"/>
          </w:tcPr>
          <w:p>
            <w:pPr>
              <w:jc w:val="right"/>
              <w:ind w:right="40"/>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8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PrePaid Legal Services, Inc. (d)</w:t>
            </w:r>
          </w:p>
        </w:tc>
        <w:tc>
          <w:tcPr>
            <w:tcW w:w="16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Consumer Services</w:t>
            </w:r>
          </w:p>
        </w:tc>
        <w:tc>
          <w:tcPr>
            <w:tcW w:w="22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Second Lien Term Loan 10.25%</w:t>
            </w: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80" w:type="dxa"/>
            <w:vAlign w:val="bottom"/>
            <w:tcBorders>
              <w:lef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328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Cash, 7/1/2020</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8"/>
              </w:rPr>
              <w:t>10,000,000</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9,960,787</w:t>
            </w:r>
          </w:p>
        </w:tc>
        <w:tc>
          <w:tcPr>
            <w:tcW w:w="180" w:type="dxa"/>
            <w:vAlign w:val="bottom"/>
            <w:tcBorders>
              <w:lef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w w:val="96"/>
              </w:rPr>
              <w:t>10,000,000</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7.9%</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860" w:type="dxa"/>
            <w:vAlign w:val="bottom"/>
            <w:gridSpan w:val="2"/>
          </w:tcPr>
          <w:p>
            <w:pPr>
              <w:spacing w:after="0" w:line="130" w:lineRule="exact"/>
              <w:rPr>
                <w:sz w:val="20"/>
                <w:szCs w:val="20"/>
                <w:color w:val="auto"/>
              </w:rPr>
            </w:pPr>
            <w:r>
              <w:rPr>
                <w:rFonts w:ascii="Arial" w:cs="Arial" w:eastAsia="Arial" w:hAnsi="Arial"/>
                <w:sz w:val="14"/>
                <w:szCs w:val="14"/>
                <w:color w:val="auto"/>
              </w:rPr>
              <w:t>Prime Security Services, LLC</w:t>
            </w:r>
          </w:p>
        </w:tc>
        <w:tc>
          <w:tcPr>
            <w:tcW w:w="1660" w:type="dxa"/>
            <w:vAlign w:val="bottom"/>
            <w:gridSpan w:val="2"/>
          </w:tcPr>
          <w:p>
            <w:pPr>
              <w:spacing w:after="0" w:line="130" w:lineRule="exact"/>
              <w:rPr>
                <w:sz w:val="20"/>
                <w:szCs w:val="20"/>
                <w:color w:val="auto"/>
              </w:rPr>
            </w:pPr>
            <w:r>
              <w:rPr>
                <w:rFonts w:ascii="Arial" w:cs="Arial" w:eastAsia="Arial" w:hAnsi="Arial"/>
                <w:sz w:val="14"/>
                <w:szCs w:val="14"/>
                <w:color w:val="auto"/>
              </w:rPr>
              <w:t>Consumer Services</w:t>
            </w:r>
          </w:p>
        </w:tc>
        <w:tc>
          <w:tcPr>
            <w:tcW w:w="2260" w:type="dxa"/>
            <w:vAlign w:val="bottom"/>
            <w:gridSpan w:val="2"/>
          </w:tcPr>
          <w:p>
            <w:pPr>
              <w:spacing w:after="0" w:line="130" w:lineRule="exact"/>
              <w:rPr>
                <w:sz w:val="20"/>
                <w:szCs w:val="20"/>
                <w:color w:val="auto"/>
              </w:rPr>
            </w:pPr>
            <w:r>
              <w:rPr>
                <w:rFonts w:ascii="Arial" w:cs="Arial" w:eastAsia="Arial" w:hAnsi="Arial"/>
                <w:sz w:val="14"/>
                <w:szCs w:val="14"/>
                <w:color w:val="auto"/>
                <w:w w:val="95"/>
              </w:rPr>
              <w:t>Second Lien Term Loan 9.75% Cash,</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60" w:type="dxa"/>
            <w:vAlign w:val="bottom"/>
          </w:tcPr>
          <w:p>
            <w:pPr>
              <w:spacing w:after="0"/>
              <w:rPr>
                <w:sz w:val="20"/>
                <w:szCs w:val="20"/>
                <w:color w:val="auto"/>
              </w:rPr>
            </w:pPr>
            <w:r>
              <w:rPr>
                <w:rFonts w:ascii="Arial" w:cs="Arial" w:eastAsia="Arial" w:hAnsi="Arial"/>
                <w:sz w:val="14"/>
                <w:szCs w:val="14"/>
                <w:color w:val="auto"/>
              </w:rPr>
              <w:t>7/1/2022</w:t>
            </w:r>
          </w:p>
        </w:tc>
        <w:tc>
          <w:tcPr>
            <w:tcW w:w="10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tcPr>
          <w:p>
            <w:pPr>
              <w:jc w:val="right"/>
              <w:spacing w:after="0"/>
              <w:rPr>
                <w:sz w:val="20"/>
                <w:szCs w:val="20"/>
                <w:color w:val="auto"/>
              </w:rPr>
            </w:pPr>
            <w:r>
              <w:rPr>
                <w:rFonts w:ascii="Arial" w:cs="Arial" w:eastAsia="Arial" w:hAnsi="Arial"/>
                <w:sz w:val="14"/>
                <w:szCs w:val="14"/>
                <w:color w:val="auto"/>
                <w:w w:val="88"/>
              </w:rPr>
              <w:t>12,000,000</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w w:val="91"/>
              </w:rPr>
              <w:t>11,824,670</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w w:val="96"/>
              </w:rPr>
              <w:t>11,760,000</w:t>
            </w:r>
          </w:p>
        </w:tc>
        <w:tc>
          <w:tcPr>
            <w:tcW w:w="800" w:type="dxa"/>
            <w:vAlign w:val="bottom"/>
            <w:gridSpan w:val="2"/>
          </w:tcPr>
          <w:p>
            <w:pPr>
              <w:jc w:val="right"/>
              <w:ind w:right="40"/>
              <w:spacing w:after="0"/>
              <w:rPr>
                <w:sz w:val="20"/>
                <w:szCs w:val="20"/>
                <w:color w:val="auto"/>
              </w:rPr>
            </w:pPr>
            <w:r>
              <w:rPr>
                <w:rFonts w:ascii="Arial" w:cs="Arial" w:eastAsia="Arial" w:hAnsi="Arial"/>
                <w:sz w:val="14"/>
                <w:szCs w:val="14"/>
                <w:color w:val="auto"/>
              </w:rPr>
              <w:t>9.2%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32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8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280" w:type="dxa"/>
            <w:vAlign w:val="bottom"/>
            <w:shd w:val="clear" w:color="auto" w:fill="CCEEFF"/>
          </w:tcPr>
          <w:p>
            <w:pPr>
              <w:spacing w:after="0"/>
              <w:rPr>
                <w:sz w:val="12"/>
                <w:szCs w:val="12"/>
                <w:color w:val="auto"/>
              </w:rPr>
            </w:pPr>
          </w:p>
        </w:tc>
        <w:tc>
          <w:tcPr>
            <w:tcW w:w="1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Total Consumer Services</w:t>
            </w: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1"/>
              </w:rPr>
              <w:t>43,690,221</w:t>
            </w:r>
          </w:p>
        </w:tc>
        <w:tc>
          <w:tcPr>
            <w:tcW w:w="180" w:type="dxa"/>
            <w:vAlign w:val="bottom"/>
            <w:tcBorders>
              <w:lef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96"/>
              </w:rPr>
              <w:t>44,277,166</w:t>
            </w:r>
          </w:p>
        </w:tc>
        <w:tc>
          <w:tcPr>
            <w:tcW w:w="8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34.8%</w:t>
            </w:r>
          </w:p>
        </w:tc>
        <w:tc>
          <w:tcPr>
            <w:tcW w:w="0" w:type="dxa"/>
            <w:vAlign w:val="bottom"/>
          </w:tcPr>
          <w:p>
            <w:pPr>
              <w:spacing w:after="0"/>
              <w:rPr>
                <w:sz w:val="1"/>
                <w:szCs w:val="1"/>
                <w:color w:val="auto"/>
              </w:rPr>
            </w:pPr>
          </w:p>
        </w:tc>
      </w:tr>
      <w:tr>
        <w:trPr>
          <w:trHeight w:val="20"/>
        </w:trPr>
        <w:tc>
          <w:tcPr>
            <w:tcW w:w="3880" w:type="dxa"/>
            <w:vAlign w:val="bottom"/>
            <w:gridSpan w:val="3"/>
            <w:vMerge w:val="restart"/>
          </w:tcPr>
          <w:p>
            <w:pPr>
              <w:spacing w:after="0"/>
              <w:rPr>
                <w:sz w:val="20"/>
                <w:szCs w:val="20"/>
                <w:color w:val="auto"/>
              </w:rPr>
            </w:pPr>
            <w:r>
              <w:rPr>
                <w:rFonts w:ascii="Arial" w:cs="Arial" w:eastAsia="Arial" w:hAnsi="Arial"/>
                <w:sz w:val="14"/>
                <w:szCs w:val="14"/>
                <w:color w:val="auto"/>
              </w:rPr>
              <w:t>M/C Acquisition Corp., L.L.C. (d), (g)</w:t>
            </w:r>
          </w:p>
        </w:tc>
        <w:tc>
          <w:tcPr>
            <w:tcW w:w="1660" w:type="dxa"/>
            <w:vAlign w:val="bottom"/>
            <w:gridSpan w:val="2"/>
            <w:vMerge w:val="restart"/>
          </w:tcPr>
          <w:p>
            <w:pPr>
              <w:spacing w:after="0"/>
              <w:rPr>
                <w:sz w:val="20"/>
                <w:szCs w:val="20"/>
                <w:color w:val="auto"/>
              </w:rPr>
            </w:pPr>
            <w:r>
              <w:rPr>
                <w:rFonts w:ascii="Arial" w:cs="Arial" w:eastAsia="Arial" w:hAnsi="Arial"/>
                <w:sz w:val="14"/>
                <w:szCs w:val="14"/>
                <w:color w:val="auto"/>
              </w:rPr>
              <w:t>Education</w:t>
            </w:r>
          </w:p>
        </w:tc>
        <w:tc>
          <w:tcPr>
            <w:tcW w:w="2260" w:type="dxa"/>
            <w:vAlign w:val="bottom"/>
            <w:gridSpan w:val="2"/>
            <w:vMerge w:val="restart"/>
          </w:tcPr>
          <w:p>
            <w:pPr>
              <w:spacing w:after="0"/>
              <w:rPr>
                <w:sz w:val="20"/>
                <w:szCs w:val="20"/>
                <w:color w:val="auto"/>
              </w:rPr>
            </w:pPr>
            <w:r>
              <w:rPr>
                <w:rFonts w:ascii="Arial" w:cs="Arial" w:eastAsia="Arial" w:hAnsi="Arial"/>
                <w:sz w:val="14"/>
                <w:szCs w:val="14"/>
                <w:color w:val="auto"/>
              </w:rPr>
              <w:t>Class A Common Stock</w:t>
            </w:r>
          </w:p>
        </w:tc>
        <w:tc>
          <w:tcPr>
            <w:tcW w:w="80" w:type="dxa"/>
            <w:vAlign w:val="bottom"/>
          </w:tcPr>
          <w:p>
            <w:pPr>
              <w:spacing w:after="0" w:line="20" w:lineRule="exact"/>
              <w:rPr>
                <w:sz w:val="1"/>
                <w:szCs w:val="1"/>
                <w:color w:val="auto"/>
              </w:rPr>
            </w:pPr>
          </w:p>
        </w:tc>
        <w:tc>
          <w:tcPr>
            <w:tcW w:w="740" w:type="dxa"/>
            <w:vAlign w:val="bottom"/>
            <w:gridSpan w:val="2"/>
            <w:vMerge w:val="restart"/>
          </w:tcPr>
          <w:p>
            <w:pPr>
              <w:jc w:val="right"/>
              <w:ind w:right="80"/>
              <w:spacing w:after="0"/>
              <w:rPr>
                <w:sz w:val="20"/>
                <w:szCs w:val="20"/>
                <w:color w:val="auto"/>
              </w:rPr>
            </w:pPr>
            <w:r>
              <w:rPr>
                <w:rFonts w:ascii="Arial" w:cs="Arial" w:eastAsia="Arial" w:hAnsi="Arial"/>
                <w:sz w:val="14"/>
                <w:szCs w:val="14"/>
                <w:color w:val="auto"/>
              </w:rPr>
              <w:t>544,761</w:t>
            </w: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880" w:type="dxa"/>
            <w:vAlign w:val="bottom"/>
            <w:gridSpan w:val="3"/>
            <w:vMerge w:val="continue"/>
          </w:tcPr>
          <w:p>
            <w:pPr>
              <w:spacing w:after="0"/>
              <w:rPr>
                <w:sz w:val="13"/>
                <w:szCs w:val="13"/>
                <w:color w:val="auto"/>
              </w:rPr>
            </w:pPr>
          </w:p>
        </w:tc>
        <w:tc>
          <w:tcPr>
            <w:tcW w:w="1660" w:type="dxa"/>
            <w:vAlign w:val="bottom"/>
            <w:gridSpan w:val="2"/>
            <w:vMerge w:val="continue"/>
          </w:tcPr>
          <w:p>
            <w:pPr>
              <w:spacing w:after="0"/>
              <w:rPr>
                <w:sz w:val="13"/>
                <w:szCs w:val="13"/>
                <w:color w:val="auto"/>
              </w:rPr>
            </w:pPr>
          </w:p>
        </w:tc>
        <w:tc>
          <w:tcPr>
            <w:tcW w:w="226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jc w:val="right"/>
              <w:spacing w:after="0" w:line="155" w:lineRule="exact"/>
              <w:rPr>
                <w:sz w:val="20"/>
                <w:szCs w:val="20"/>
                <w:color w:val="auto"/>
              </w:rPr>
            </w:pPr>
            <w:r>
              <w:rPr>
                <w:rFonts w:ascii="Arial" w:cs="Arial" w:eastAsia="Arial" w:hAnsi="Arial"/>
                <w:sz w:val="14"/>
                <w:szCs w:val="14"/>
                <w:color w:val="auto"/>
              </w:rPr>
              <w:t>30,241</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180" w:type="dxa"/>
            <w:vAlign w:val="bottom"/>
            <w:vMerge w:val="continue"/>
          </w:tcPr>
          <w:p>
            <w:pPr>
              <w:spacing w:after="0"/>
              <w:rPr>
                <w:sz w:val="13"/>
                <w:szCs w:val="13"/>
                <w:color w:val="auto"/>
              </w:rPr>
            </w:pPr>
          </w:p>
        </w:tc>
        <w:tc>
          <w:tcPr>
            <w:tcW w:w="80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8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M/C Acquisition Corp., L.L.C. (d)</w:t>
            </w:r>
          </w:p>
        </w:tc>
        <w:tc>
          <w:tcPr>
            <w:tcW w:w="16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Education</w:t>
            </w:r>
          </w:p>
        </w:tc>
        <w:tc>
          <w:tcPr>
            <w:tcW w:w="22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First Lien Term Loan 1.00% Cash,</w:t>
            </w: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80" w:type="dxa"/>
            <w:vAlign w:val="bottom"/>
            <w:tcBorders>
              <w:lef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328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160" w:type="dxa"/>
            <w:vAlign w:val="bottom"/>
            <w:shd w:val="clear" w:color="auto" w:fill="CCEEFF"/>
          </w:tcPr>
          <w:p>
            <w:pPr>
              <w:spacing w:after="0"/>
              <w:rPr>
                <w:sz w:val="20"/>
                <w:szCs w:val="20"/>
                <w:color w:val="auto"/>
              </w:rPr>
            </w:pPr>
            <w:r>
              <w:rPr>
                <w:rFonts w:ascii="Arial" w:cs="Arial" w:eastAsia="Arial" w:hAnsi="Arial"/>
                <w:sz w:val="14"/>
                <w:szCs w:val="14"/>
                <w:color w:val="auto"/>
              </w:rPr>
              <w:t>3/31/2016</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2,321,073</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1,193,790</w:t>
            </w:r>
          </w:p>
        </w:tc>
        <w:tc>
          <w:tcPr>
            <w:tcW w:w="180" w:type="dxa"/>
            <w:vAlign w:val="bottom"/>
            <w:tcBorders>
              <w:lef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8,087</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60" w:type="dxa"/>
            <w:vAlign w:val="bottom"/>
            <w:gridSpan w:val="2"/>
            <w:vMerge w:val="restart"/>
          </w:tcPr>
          <w:p>
            <w:pPr>
              <w:jc w:val="right"/>
              <w:ind w:right="100"/>
              <w:spacing w:after="0"/>
              <w:rPr>
                <w:sz w:val="20"/>
                <w:szCs w:val="20"/>
                <w:color w:val="auto"/>
              </w:rPr>
            </w:pPr>
            <w:r>
              <w:rPr>
                <w:rFonts w:ascii="Arial" w:cs="Arial" w:eastAsia="Arial" w:hAnsi="Arial"/>
                <w:sz w:val="14"/>
                <w:szCs w:val="14"/>
                <w:color w:val="auto"/>
              </w:rPr>
              <w:t>Total Education</w:t>
            </w: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8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6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jc w:val="right"/>
              <w:spacing w:after="0" w:line="155" w:lineRule="exact"/>
              <w:rPr>
                <w:sz w:val="20"/>
                <w:szCs w:val="20"/>
                <w:color w:val="auto"/>
              </w:rPr>
            </w:pPr>
            <w:r>
              <w:rPr>
                <w:rFonts w:ascii="Arial" w:cs="Arial" w:eastAsia="Arial" w:hAnsi="Arial"/>
                <w:sz w:val="14"/>
                <w:szCs w:val="14"/>
                <w:color w:val="auto"/>
              </w:rPr>
              <w:t>1,224,031</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jc w:val="right"/>
              <w:spacing w:after="0" w:line="155" w:lineRule="exact"/>
              <w:rPr>
                <w:sz w:val="20"/>
                <w:szCs w:val="20"/>
                <w:color w:val="auto"/>
              </w:rPr>
            </w:pPr>
            <w:r>
              <w:rPr>
                <w:rFonts w:ascii="Arial" w:cs="Arial" w:eastAsia="Arial" w:hAnsi="Arial"/>
                <w:sz w:val="14"/>
                <w:szCs w:val="14"/>
                <w:color w:val="auto"/>
              </w:rPr>
              <w:t>8,087</w:t>
            </w:r>
          </w:p>
        </w:tc>
        <w:tc>
          <w:tcPr>
            <w:tcW w:w="180" w:type="dxa"/>
            <w:vAlign w:val="bottom"/>
            <w:vMerge w:val="continue"/>
          </w:tcPr>
          <w:p>
            <w:pPr>
              <w:spacing w:after="0"/>
              <w:rPr>
                <w:sz w:val="13"/>
                <w:szCs w:val="13"/>
                <w:color w:val="auto"/>
              </w:rPr>
            </w:pPr>
          </w:p>
        </w:tc>
        <w:tc>
          <w:tcPr>
            <w:tcW w:w="80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4"/>
                <w:szCs w:val="14"/>
                <w:color w:val="auto"/>
              </w:rPr>
              <w:t>TM Restaurant Group L.L.C.</w:t>
            </w:r>
          </w:p>
        </w:tc>
        <w:tc>
          <w:tcPr>
            <w:tcW w:w="1720" w:type="dxa"/>
            <w:vAlign w:val="bottom"/>
            <w:shd w:val="clear" w:color="auto" w:fill="CCEEFF"/>
          </w:tcPr>
          <w:p>
            <w:pPr>
              <w:ind w:left="80"/>
              <w:spacing w:after="0"/>
              <w:rPr>
                <w:sz w:val="20"/>
                <w:szCs w:val="20"/>
                <w:color w:val="auto"/>
              </w:rPr>
            </w:pPr>
            <w:r>
              <w:rPr>
                <w:rFonts w:ascii="Arial" w:cs="Arial" w:eastAsia="Arial" w:hAnsi="Arial"/>
                <w:sz w:val="14"/>
                <w:szCs w:val="14"/>
                <w:color w:val="auto"/>
              </w:rPr>
              <w:t>Food and Beverage</w:t>
            </w:r>
          </w:p>
        </w:tc>
        <w:tc>
          <w:tcPr>
            <w:tcW w:w="2800" w:type="dxa"/>
            <w:vAlign w:val="bottom"/>
            <w:gridSpan w:val="4"/>
            <w:shd w:val="clear" w:color="auto" w:fill="CCEEFF"/>
          </w:tcPr>
          <w:p>
            <w:pPr>
              <w:spacing w:after="0"/>
              <w:rPr>
                <w:sz w:val="20"/>
                <w:szCs w:val="20"/>
                <w:color w:val="auto"/>
              </w:rPr>
            </w:pPr>
            <w:r>
              <w:rPr>
                <w:rFonts w:ascii="Arial" w:cs="Arial" w:eastAsia="Arial" w:hAnsi="Arial"/>
                <w:sz w:val="14"/>
                <w:szCs w:val="14"/>
                <w:color w:val="auto"/>
                <w:w w:val="99"/>
              </w:rPr>
              <w:t>First Lien Term Loan 9.75% Cash, 7/16/2017</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08"/>
              <w:spacing w:after="0"/>
              <w:rPr>
                <w:sz w:val="20"/>
                <w:szCs w:val="20"/>
                <w:color w:val="auto"/>
              </w:rPr>
            </w:pPr>
            <w:r>
              <w:rPr>
                <w:rFonts w:ascii="Arial" w:cs="Arial" w:eastAsia="Arial" w:hAnsi="Arial"/>
                <w:sz w:val="14"/>
                <w:szCs w:val="14"/>
                <w:color w:val="auto"/>
                <w:w w:val="96"/>
              </w:rPr>
              <w:t>9,688,225</w:t>
            </w: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9,577,628</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gridSpan w:val="4"/>
            <w:shd w:val="clear" w:color="auto" w:fill="CCEEFF"/>
          </w:tcPr>
          <w:p>
            <w:pPr>
              <w:jc w:val="right"/>
              <w:spacing w:after="0"/>
              <w:rPr>
                <w:sz w:val="20"/>
                <w:szCs w:val="20"/>
                <w:color w:val="auto"/>
              </w:rPr>
            </w:pPr>
            <w:r>
              <w:rPr>
                <w:rFonts w:ascii="Arial" w:cs="Arial" w:eastAsia="Arial" w:hAnsi="Arial"/>
                <w:sz w:val="14"/>
                <w:szCs w:val="14"/>
                <w:color w:val="auto"/>
              </w:rPr>
              <w:t>9,676,600</w:t>
            </w: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7.6%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800" w:type="dxa"/>
            <w:vAlign w:val="bottom"/>
            <w:gridSpan w:val="4"/>
            <w:vMerge w:val="restart"/>
          </w:tcPr>
          <w:p>
            <w:pPr>
              <w:jc w:val="right"/>
              <w:ind w:right="80"/>
              <w:spacing w:after="0"/>
              <w:rPr>
                <w:sz w:val="20"/>
                <w:szCs w:val="20"/>
                <w:color w:val="auto"/>
              </w:rPr>
            </w:pPr>
            <w:r>
              <w:rPr>
                <w:rFonts w:ascii="Arial" w:cs="Arial" w:eastAsia="Arial" w:hAnsi="Arial"/>
                <w:sz w:val="14"/>
                <w:szCs w:val="14"/>
                <w:color w:val="auto"/>
              </w:rPr>
              <w:t>Total Food and Beverage</w:t>
            </w: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2800" w:type="dxa"/>
            <w:vAlign w:val="bottom"/>
            <w:gridSpan w:val="4"/>
            <w:vMerge w:val="continue"/>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gridSpan w:val="3"/>
          </w:tcPr>
          <w:p>
            <w:pPr>
              <w:jc w:val="right"/>
              <w:spacing w:after="0" w:line="155" w:lineRule="exact"/>
              <w:rPr>
                <w:sz w:val="20"/>
                <w:szCs w:val="20"/>
                <w:color w:val="auto"/>
              </w:rPr>
            </w:pPr>
            <w:r>
              <w:rPr>
                <w:rFonts w:ascii="Arial" w:cs="Arial" w:eastAsia="Arial" w:hAnsi="Arial"/>
                <w:sz w:val="14"/>
                <w:szCs w:val="14"/>
                <w:color w:val="auto"/>
              </w:rPr>
              <w:t>9,577,628</w:t>
            </w:r>
          </w:p>
        </w:tc>
        <w:tc>
          <w:tcPr>
            <w:tcW w:w="100" w:type="dxa"/>
            <w:vAlign w:val="bottom"/>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820" w:type="dxa"/>
            <w:vAlign w:val="bottom"/>
            <w:gridSpan w:val="4"/>
          </w:tcPr>
          <w:p>
            <w:pPr>
              <w:jc w:val="right"/>
              <w:spacing w:after="0" w:line="155" w:lineRule="exact"/>
              <w:rPr>
                <w:sz w:val="20"/>
                <w:szCs w:val="20"/>
                <w:color w:val="auto"/>
              </w:rPr>
            </w:pPr>
            <w:r>
              <w:rPr>
                <w:rFonts w:ascii="Arial" w:cs="Arial" w:eastAsia="Arial" w:hAnsi="Arial"/>
                <w:sz w:val="14"/>
                <w:szCs w:val="14"/>
                <w:color w:val="auto"/>
              </w:rPr>
              <w:t>9,676,600</w:t>
            </w:r>
          </w:p>
        </w:tc>
        <w:tc>
          <w:tcPr>
            <w:tcW w:w="40" w:type="dxa"/>
            <w:vAlign w:val="bottom"/>
            <w:vMerge w:val="continue"/>
          </w:tcPr>
          <w:p>
            <w:pPr>
              <w:spacing w:after="0"/>
              <w:rPr>
                <w:sz w:val="14"/>
                <w:szCs w:val="14"/>
                <w:color w:val="auto"/>
              </w:rPr>
            </w:pPr>
          </w:p>
        </w:tc>
        <w:tc>
          <w:tcPr>
            <w:tcW w:w="140" w:type="dxa"/>
            <w:vAlign w:val="bottom"/>
            <w:vMerge w:val="continue"/>
          </w:tcPr>
          <w:p>
            <w:pPr>
              <w:spacing w:after="0"/>
              <w:rPr>
                <w:sz w:val="14"/>
                <w:szCs w:val="14"/>
                <w:color w:val="auto"/>
              </w:rPr>
            </w:pPr>
          </w:p>
        </w:tc>
        <w:tc>
          <w:tcPr>
            <w:tcW w:w="56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7.6%</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3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Bristol Hospice, LLC</w:t>
            </w:r>
          </w:p>
        </w:tc>
        <w:tc>
          <w:tcPr>
            <w:tcW w:w="1720" w:type="dxa"/>
            <w:vAlign w:val="bottom"/>
            <w:shd w:val="clear" w:color="auto" w:fill="CCEEFF"/>
          </w:tcPr>
          <w:p>
            <w:pPr>
              <w:ind w:left="80"/>
              <w:spacing w:after="0" w:line="130" w:lineRule="exact"/>
              <w:rPr>
                <w:sz w:val="20"/>
                <w:szCs w:val="20"/>
                <w:color w:val="auto"/>
              </w:rPr>
            </w:pPr>
            <w:r>
              <w:rPr>
                <w:rFonts w:ascii="Arial" w:cs="Arial" w:eastAsia="Arial" w:hAnsi="Arial"/>
                <w:sz w:val="14"/>
                <w:szCs w:val="14"/>
                <w:color w:val="auto"/>
              </w:rPr>
              <w:t>Healthcare Services</w:t>
            </w:r>
          </w:p>
        </w:tc>
        <w:tc>
          <w:tcPr>
            <w:tcW w:w="2800" w:type="dxa"/>
            <w:vAlign w:val="bottom"/>
            <w:gridSpan w:val="4"/>
            <w:shd w:val="clear" w:color="auto" w:fill="CCEEFF"/>
          </w:tcPr>
          <w:p>
            <w:pPr>
              <w:spacing w:after="0" w:line="130" w:lineRule="exact"/>
              <w:rPr>
                <w:sz w:val="20"/>
                <w:szCs w:val="20"/>
                <w:color w:val="auto"/>
              </w:rPr>
            </w:pPr>
            <w:r>
              <w:rPr>
                <w:rFonts w:ascii="Arial" w:cs="Arial" w:eastAsia="Arial" w:hAnsi="Arial"/>
                <w:sz w:val="14"/>
                <w:szCs w:val="14"/>
                <w:color w:val="auto"/>
              </w:rPr>
              <w:t>Senior Secured Note 11.00% (10.00%</w:t>
            </w:r>
          </w:p>
        </w:tc>
        <w:tc>
          <w:tcPr>
            <w:tcW w:w="1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auto"/>
            </w:tcBorders>
            <w:shd w:val="clear" w:color="auto" w:fill="CCEEFF"/>
          </w:tcPr>
          <w:p>
            <w:pPr>
              <w:spacing w:after="0"/>
              <w:rPr>
                <w:sz w:val="11"/>
                <w:szCs w:val="11"/>
                <w:color w:val="auto"/>
              </w:rPr>
            </w:pPr>
          </w:p>
        </w:tc>
        <w:tc>
          <w:tcPr>
            <w:tcW w:w="36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6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auto"/>
            </w:tcBorders>
            <w:shd w:val="clear" w:color="auto" w:fill="CCEEFF"/>
          </w:tcPr>
          <w:p>
            <w:pPr>
              <w:spacing w:after="0"/>
              <w:rPr>
                <w:sz w:val="11"/>
                <w:szCs w:val="11"/>
                <w:color w:val="auto"/>
              </w:rPr>
            </w:pPr>
          </w:p>
        </w:tc>
        <w:tc>
          <w:tcPr>
            <w:tcW w:w="36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80" w:type="dxa"/>
            <w:vAlign w:val="bottom"/>
            <w:tcBorders>
              <w:top w:val="single" w:sz="8" w:color="auto"/>
            </w:tcBorders>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380" w:type="dxa"/>
            <w:vAlign w:val="bottom"/>
            <w:shd w:val="clear" w:color="auto" w:fill="CCEEFF"/>
          </w:tcPr>
          <w:p>
            <w:pPr>
              <w:spacing w:after="0"/>
              <w:rPr>
                <w:sz w:val="14"/>
                <w:szCs w:val="14"/>
                <w:color w:val="auto"/>
              </w:rPr>
            </w:pPr>
          </w:p>
        </w:tc>
        <w:tc>
          <w:tcPr>
            <w:tcW w:w="1720" w:type="dxa"/>
            <w:vAlign w:val="bottom"/>
            <w:shd w:val="clear" w:color="auto" w:fill="CCEEFF"/>
          </w:tcPr>
          <w:p>
            <w:pPr>
              <w:spacing w:after="0"/>
              <w:rPr>
                <w:sz w:val="14"/>
                <w:szCs w:val="14"/>
                <w:color w:val="auto"/>
              </w:rPr>
            </w:pPr>
          </w:p>
        </w:tc>
        <w:tc>
          <w:tcPr>
            <w:tcW w:w="1840" w:type="dxa"/>
            <w:vAlign w:val="bottom"/>
            <w:gridSpan w:val="2"/>
            <w:shd w:val="clear" w:color="auto" w:fill="CCEEFF"/>
          </w:tcPr>
          <w:p>
            <w:pPr>
              <w:spacing w:after="0"/>
              <w:rPr>
                <w:sz w:val="20"/>
                <w:szCs w:val="20"/>
                <w:color w:val="auto"/>
              </w:rPr>
            </w:pPr>
            <w:r>
              <w:rPr>
                <w:rFonts w:ascii="Arial" w:cs="Arial" w:eastAsia="Arial" w:hAnsi="Arial"/>
                <w:sz w:val="14"/>
                <w:szCs w:val="14"/>
                <w:color w:val="auto"/>
                <w:w w:val="98"/>
              </w:rPr>
              <w:t>Cash/1.00% PIK), 11/29/2018</w:t>
            </w:r>
          </w:p>
        </w:tc>
        <w:tc>
          <w:tcPr>
            <w:tcW w:w="9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08"/>
              <w:spacing w:after="0"/>
              <w:rPr>
                <w:sz w:val="20"/>
                <w:szCs w:val="20"/>
                <w:color w:val="auto"/>
              </w:rPr>
            </w:pPr>
            <w:r>
              <w:rPr>
                <w:rFonts w:ascii="Arial" w:cs="Arial" w:eastAsia="Arial" w:hAnsi="Arial"/>
                <w:sz w:val="14"/>
                <w:szCs w:val="14"/>
                <w:color w:val="auto"/>
                <w:w w:val="96"/>
              </w:rPr>
              <w:t>5,418,292</w:t>
            </w: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60" w:type="dxa"/>
            <w:vAlign w:val="bottom"/>
            <w:gridSpan w:val="4"/>
            <w:shd w:val="clear" w:color="auto" w:fill="CCEEFF"/>
          </w:tcPr>
          <w:p>
            <w:pPr>
              <w:jc w:val="right"/>
              <w:ind w:right="100"/>
              <w:spacing w:after="0"/>
              <w:rPr>
                <w:sz w:val="20"/>
                <w:szCs w:val="20"/>
                <w:color w:val="auto"/>
              </w:rPr>
            </w:pPr>
            <w:r>
              <w:rPr>
                <w:rFonts w:ascii="Arial" w:cs="Arial" w:eastAsia="Arial" w:hAnsi="Arial"/>
                <w:sz w:val="14"/>
                <w:szCs w:val="14"/>
                <w:color w:val="auto"/>
              </w:rPr>
              <w:t>5,348,323</w:t>
            </w:r>
          </w:p>
        </w:tc>
        <w:tc>
          <w:tcPr>
            <w:tcW w:w="940" w:type="dxa"/>
            <w:vAlign w:val="bottom"/>
            <w:gridSpan w:val="6"/>
            <w:shd w:val="clear" w:color="auto" w:fill="CCEEFF"/>
          </w:tcPr>
          <w:p>
            <w:pPr>
              <w:jc w:val="right"/>
              <w:ind w:right="40"/>
              <w:spacing w:after="0"/>
              <w:rPr>
                <w:sz w:val="20"/>
                <w:szCs w:val="20"/>
                <w:color w:val="auto"/>
              </w:rPr>
            </w:pPr>
            <w:r>
              <w:rPr>
                <w:rFonts w:ascii="Arial" w:cs="Arial" w:eastAsia="Arial" w:hAnsi="Arial"/>
                <w:sz w:val="14"/>
                <w:szCs w:val="14"/>
                <w:color w:val="auto"/>
              </w:rPr>
              <w:t>5,418,293</w:t>
            </w:r>
          </w:p>
        </w:tc>
        <w:tc>
          <w:tcPr>
            <w:tcW w:w="70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4.3%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80" w:type="dxa"/>
            <w:vAlign w:val="bottom"/>
          </w:tcPr>
          <w:p>
            <w:pPr>
              <w:spacing w:after="0" w:line="149" w:lineRule="exact"/>
              <w:rPr>
                <w:sz w:val="20"/>
                <w:szCs w:val="20"/>
                <w:color w:val="auto"/>
              </w:rPr>
            </w:pPr>
            <w:r>
              <w:rPr>
                <w:rFonts w:ascii="Arial" w:cs="Arial" w:eastAsia="Arial" w:hAnsi="Arial"/>
                <w:sz w:val="14"/>
                <w:szCs w:val="14"/>
                <w:color w:val="auto"/>
              </w:rPr>
              <w:t>Roscoe Medical, Inc. (d), (g)</w:t>
            </w:r>
          </w:p>
        </w:tc>
        <w:tc>
          <w:tcPr>
            <w:tcW w:w="1720" w:type="dxa"/>
            <w:vAlign w:val="bottom"/>
          </w:tcPr>
          <w:p>
            <w:pPr>
              <w:ind w:left="80"/>
              <w:spacing w:after="0" w:line="149" w:lineRule="exact"/>
              <w:rPr>
                <w:sz w:val="20"/>
                <w:szCs w:val="20"/>
                <w:color w:val="auto"/>
              </w:rPr>
            </w:pPr>
            <w:r>
              <w:rPr>
                <w:rFonts w:ascii="Arial" w:cs="Arial" w:eastAsia="Arial" w:hAnsi="Arial"/>
                <w:sz w:val="14"/>
                <w:szCs w:val="14"/>
                <w:color w:val="auto"/>
              </w:rPr>
              <w:t>Healthcare Services</w:t>
            </w:r>
          </w:p>
        </w:tc>
        <w:tc>
          <w:tcPr>
            <w:tcW w:w="1840" w:type="dxa"/>
            <w:vAlign w:val="bottom"/>
            <w:gridSpan w:val="2"/>
          </w:tcPr>
          <w:p>
            <w:pPr>
              <w:spacing w:after="0" w:line="149" w:lineRule="exact"/>
              <w:rPr>
                <w:sz w:val="20"/>
                <w:szCs w:val="20"/>
                <w:color w:val="auto"/>
              </w:rPr>
            </w:pPr>
            <w:r>
              <w:rPr>
                <w:rFonts w:ascii="Arial" w:cs="Arial" w:eastAsia="Arial" w:hAnsi="Arial"/>
                <w:sz w:val="14"/>
                <w:szCs w:val="14"/>
                <w:color w:val="auto"/>
              </w:rPr>
              <w:t>Common Stock</w:t>
            </w:r>
          </w:p>
        </w:tc>
        <w:tc>
          <w:tcPr>
            <w:tcW w:w="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right"/>
              <w:ind w:right="108"/>
              <w:spacing w:after="0" w:line="149" w:lineRule="exact"/>
              <w:rPr>
                <w:sz w:val="20"/>
                <w:szCs w:val="20"/>
                <w:color w:val="auto"/>
              </w:rPr>
            </w:pPr>
            <w:r>
              <w:rPr>
                <w:rFonts w:ascii="Arial" w:cs="Arial" w:eastAsia="Arial" w:hAnsi="Arial"/>
                <w:sz w:val="14"/>
                <w:szCs w:val="14"/>
                <w:color w:val="auto"/>
              </w:rPr>
              <w:t>5,000</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gridSpan w:val="4"/>
          </w:tcPr>
          <w:p>
            <w:pPr>
              <w:jc w:val="right"/>
              <w:ind w:right="100"/>
              <w:spacing w:after="0" w:line="149" w:lineRule="exact"/>
              <w:rPr>
                <w:sz w:val="20"/>
                <w:szCs w:val="20"/>
                <w:color w:val="auto"/>
              </w:rPr>
            </w:pPr>
            <w:r>
              <w:rPr>
                <w:rFonts w:ascii="Arial" w:cs="Arial" w:eastAsia="Arial" w:hAnsi="Arial"/>
                <w:sz w:val="14"/>
                <w:szCs w:val="14"/>
                <w:color w:val="auto"/>
              </w:rPr>
              <w:t>500,000</w:t>
            </w:r>
          </w:p>
        </w:tc>
        <w:tc>
          <w:tcPr>
            <w:tcW w:w="940" w:type="dxa"/>
            <w:vAlign w:val="bottom"/>
            <w:gridSpan w:val="6"/>
          </w:tcPr>
          <w:p>
            <w:pPr>
              <w:jc w:val="right"/>
              <w:ind w:right="40"/>
              <w:spacing w:after="0" w:line="149" w:lineRule="exact"/>
              <w:rPr>
                <w:sz w:val="20"/>
                <w:szCs w:val="20"/>
                <w:color w:val="auto"/>
              </w:rPr>
            </w:pPr>
            <w:r>
              <w:rPr>
                <w:rFonts w:ascii="Arial" w:cs="Arial" w:eastAsia="Arial" w:hAnsi="Arial"/>
                <w:sz w:val="14"/>
                <w:szCs w:val="14"/>
                <w:color w:val="auto"/>
              </w:rPr>
              <w:t>304,300</w:t>
            </w:r>
          </w:p>
        </w:tc>
        <w:tc>
          <w:tcPr>
            <w:tcW w:w="70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3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Roscoe Medical, Inc.</w:t>
            </w:r>
          </w:p>
        </w:tc>
        <w:tc>
          <w:tcPr>
            <w:tcW w:w="1720" w:type="dxa"/>
            <w:vAlign w:val="bottom"/>
            <w:shd w:val="clear" w:color="auto" w:fill="CCEEFF"/>
          </w:tcPr>
          <w:p>
            <w:pPr>
              <w:ind w:left="80"/>
              <w:spacing w:after="0" w:line="130" w:lineRule="exact"/>
              <w:rPr>
                <w:sz w:val="20"/>
                <w:szCs w:val="20"/>
                <w:color w:val="auto"/>
              </w:rPr>
            </w:pPr>
            <w:r>
              <w:rPr>
                <w:rFonts w:ascii="Arial" w:cs="Arial" w:eastAsia="Arial" w:hAnsi="Arial"/>
                <w:sz w:val="14"/>
                <w:szCs w:val="14"/>
                <w:color w:val="auto"/>
              </w:rPr>
              <w:t>Healthcare Services</w:t>
            </w:r>
          </w:p>
        </w:tc>
        <w:tc>
          <w:tcPr>
            <w:tcW w:w="2800" w:type="dxa"/>
            <w:vAlign w:val="bottom"/>
            <w:gridSpan w:val="4"/>
            <w:shd w:val="clear" w:color="auto" w:fill="CCEEFF"/>
          </w:tcPr>
          <w:p>
            <w:pPr>
              <w:spacing w:after="0" w:line="130" w:lineRule="exact"/>
              <w:rPr>
                <w:sz w:val="20"/>
                <w:szCs w:val="20"/>
                <w:color w:val="auto"/>
              </w:rPr>
            </w:pPr>
            <w:r>
              <w:rPr>
                <w:rFonts w:ascii="Arial" w:cs="Arial" w:eastAsia="Arial" w:hAnsi="Arial"/>
                <w:sz w:val="14"/>
                <w:szCs w:val="14"/>
                <w:color w:val="auto"/>
              </w:rPr>
              <w:t>Second Lien Term Loan 11.25% Cash,</w:t>
            </w:r>
          </w:p>
        </w:tc>
        <w:tc>
          <w:tcPr>
            <w:tcW w:w="1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380" w:type="dxa"/>
            <w:vAlign w:val="bottom"/>
            <w:shd w:val="clear" w:color="auto" w:fill="CCEEFF"/>
          </w:tcPr>
          <w:p>
            <w:pPr>
              <w:spacing w:after="0"/>
              <w:rPr>
                <w:sz w:val="14"/>
                <w:szCs w:val="14"/>
                <w:color w:val="auto"/>
              </w:rPr>
            </w:pPr>
          </w:p>
        </w:tc>
        <w:tc>
          <w:tcPr>
            <w:tcW w:w="172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20"/>
                <w:szCs w:val="20"/>
                <w:color w:val="auto"/>
              </w:rPr>
            </w:pPr>
            <w:r>
              <w:rPr>
                <w:rFonts w:ascii="Arial" w:cs="Arial" w:eastAsia="Arial" w:hAnsi="Arial"/>
                <w:sz w:val="14"/>
                <w:szCs w:val="14"/>
                <w:color w:val="auto"/>
              </w:rPr>
              <w:t>9/26/2019</w:t>
            </w:r>
          </w:p>
        </w:tc>
        <w:tc>
          <w:tcPr>
            <w:tcW w:w="1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08"/>
              <w:spacing w:after="0"/>
              <w:rPr>
                <w:sz w:val="20"/>
                <w:szCs w:val="20"/>
                <w:color w:val="auto"/>
              </w:rPr>
            </w:pPr>
            <w:r>
              <w:rPr>
                <w:rFonts w:ascii="Arial" w:cs="Arial" w:eastAsia="Arial" w:hAnsi="Arial"/>
                <w:sz w:val="14"/>
                <w:szCs w:val="14"/>
                <w:color w:val="auto"/>
                <w:w w:val="96"/>
              </w:rPr>
              <w:t>4,200,000</w:t>
            </w: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60" w:type="dxa"/>
            <w:vAlign w:val="bottom"/>
            <w:gridSpan w:val="4"/>
            <w:shd w:val="clear" w:color="auto" w:fill="CCEEFF"/>
          </w:tcPr>
          <w:p>
            <w:pPr>
              <w:jc w:val="right"/>
              <w:ind w:right="100"/>
              <w:spacing w:after="0"/>
              <w:rPr>
                <w:sz w:val="20"/>
                <w:szCs w:val="20"/>
                <w:color w:val="auto"/>
              </w:rPr>
            </w:pPr>
            <w:r>
              <w:rPr>
                <w:rFonts w:ascii="Arial" w:cs="Arial" w:eastAsia="Arial" w:hAnsi="Arial"/>
                <w:sz w:val="14"/>
                <w:szCs w:val="14"/>
                <w:color w:val="auto"/>
              </w:rPr>
              <w:t>4,138,622</w:t>
            </w:r>
          </w:p>
        </w:tc>
        <w:tc>
          <w:tcPr>
            <w:tcW w:w="940" w:type="dxa"/>
            <w:vAlign w:val="bottom"/>
            <w:gridSpan w:val="6"/>
            <w:shd w:val="clear" w:color="auto" w:fill="CCEEFF"/>
          </w:tcPr>
          <w:p>
            <w:pPr>
              <w:jc w:val="right"/>
              <w:ind w:right="40"/>
              <w:spacing w:after="0"/>
              <w:rPr>
                <w:sz w:val="20"/>
                <w:szCs w:val="20"/>
                <w:color w:val="auto"/>
              </w:rPr>
            </w:pPr>
            <w:r>
              <w:rPr>
                <w:rFonts w:ascii="Arial" w:cs="Arial" w:eastAsia="Arial" w:hAnsi="Arial"/>
                <w:sz w:val="14"/>
                <w:szCs w:val="14"/>
                <w:color w:val="auto"/>
              </w:rPr>
              <w:t>3,891,300</w:t>
            </w:r>
          </w:p>
        </w:tc>
        <w:tc>
          <w:tcPr>
            <w:tcW w:w="70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3.1%</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380" w:type="dxa"/>
            <w:vAlign w:val="bottom"/>
          </w:tcPr>
          <w:p>
            <w:pPr>
              <w:spacing w:after="0" w:line="130" w:lineRule="exact"/>
              <w:rPr>
                <w:sz w:val="20"/>
                <w:szCs w:val="20"/>
                <w:color w:val="auto"/>
              </w:rPr>
            </w:pPr>
            <w:r>
              <w:rPr>
                <w:rFonts w:ascii="Arial" w:cs="Arial" w:eastAsia="Arial" w:hAnsi="Arial"/>
                <w:sz w:val="14"/>
                <w:szCs w:val="14"/>
                <w:color w:val="auto"/>
              </w:rPr>
              <w:t>Smile Brands Group Inc. (d)</w:t>
            </w:r>
          </w:p>
        </w:tc>
        <w:tc>
          <w:tcPr>
            <w:tcW w:w="1720" w:type="dxa"/>
            <w:vAlign w:val="bottom"/>
          </w:tcPr>
          <w:p>
            <w:pPr>
              <w:ind w:left="80"/>
              <w:spacing w:after="0" w:line="130" w:lineRule="exact"/>
              <w:rPr>
                <w:sz w:val="20"/>
                <w:szCs w:val="20"/>
                <w:color w:val="auto"/>
              </w:rPr>
            </w:pPr>
            <w:r>
              <w:rPr>
                <w:rFonts w:ascii="Arial" w:cs="Arial" w:eastAsia="Arial" w:hAnsi="Arial"/>
                <w:sz w:val="14"/>
                <w:szCs w:val="14"/>
                <w:color w:val="auto"/>
              </w:rPr>
              <w:t>Healthcare Services</w:t>
            </w:r>
          </w:p>
        </w:tc>
        <w:tc>
          <w:tcPr>
            <w:tcW w:w="2800" w:type="dxa"/>
            <w:vAlign w:val="bottom"/>
            <w:gridSpan w:val="4"/>
          </w:tcPr>
          <w:p>
            <w:pPr>
              <w:spacing w:after="0" w:line="130" w:lineRule="exact"/>
              <w:rPr>
                <w:sz w:val="20"/>
                <w:szCs w:val="20"/>
                <w:color w:val="auto"/>
              </w:rPr>
            </w:pPr>
            <w:r>
              <w:rPr>
                <w:rFonts w:ascii="Arial" w:cs="Arial" w:eastAsia="Arial" w:hAnsi="Arial"/>
                <w:sz w:val="14"/>
                <w:szCs w:val="14"/>
                <w:color w:val="auto"/>
              </w:rPr>
              <w:t>First Lien Term Loan 9.00% (7.50%</w:t>
            </w: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840" w:type="dxa"/>
            <w:vAlign w:val="bottom"/>
            <w:gridSpan w:val="2"/>
          </w:tcPr>
          <w:p>
            <w:pPr>
              <w:spacing w:after="0"/>
              <w:rPr>
                <w:sz w:val="20"/>
                <w:szCs w:val="20"/>
                <w:color w:val="auto"/>
              </w:rPr>
            </w:pPr>
            <w:r>
              <w:rPr>
                <w:rFonts w:ascii="Arial" w:cs="Arial" w:eastAsia="Arial" w:hAnsi="Arial"/>
                <w:sz w:val="14"/>
                <w:szCs w:val="14"/>
                <w:color w:val="auto"/>
              </w:rPr>
              <w:t>Cash/1.50% PIK), 8/16/2019</w:t>
            </w:r>
          </w:p>
        </w:tc>
        <w:tc>
          <w:tcPr>
            <w:tcW w:w="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08"/>
              <w:spacing w:after="0"/>
              <w:rPr>
                <w:sz w:val="20"/>
                <w:szCs w:val="20"/>
                <w:color w:val="auto"/>
              </w:rPr>
            </w:pPr>
            <w:r>
              <w:rPr>
                <w:rFonts w:ascii="Arial" w:cs="Arial" w:eastAsia="Arial" w:hAnsi="Arial"/>
                <w:sz w:val="14"/>
                <w:szCs w:val="14"/>
                <w:color w:val="auto"/>
                <w:w w:val="96"/>
              </w:rPr>
              <w:t>4,413,859</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gridSpan w:val="4"/>
          </w:tcPr>
          <w:p>
            <w:pPr>
              <w:jc w:val="right"/>
              <w:ind w:right="100"/>
              <w:spacing w:after="0"/>
              <w:rPr>
                <w:sz w:val="20"/>
                <w:szCs w:val="20"/>
                <w:color w:val="auto"/>
              </w:rPr>
            </w:pPr>
            <w:r>
              <w:rPr>
                <w:rFonts w:ascii="Arial" w:cs="Arial" w:eastAsia="Arial" w:hAnsi="Arial"/>
                <w:sz w:val="14"/>
                <w:szCs w:val="14"/>
                <w:color w:val="auto"/>
              </w:rPr>
              <w:t>4,351,729</w:t>
            </w:r>
          </w:p>
        </w:tc>
        <w:tc>
          <w:tcPr>
            <w:tcW w:w="940" w:type="dxa"/>
            <w:vAlign w:val="bottom"/>
            <w:gridSpan w:val="6"/>
          </w:tcPr>
          <w:p>
            <w:pPr>
              <w:jc w:val="right"/>
              <w:ind w:right="40"/>
              <w:spacing w:after="0"/>
              <w:rPr>
                <w:sz w:val="20"/>
                <w:szCs w:val="20"/>
                <w:color w:val="auto"/>
              </w:rPr>
            </w:pPr>
            <w:r>
              <w:rPr>
                <w:rFonts w:ascii="Arial" w:cs="Arial" w:eastAsia="Arial" w:hAnsi="Arial"/>
                <w:sz w:val="14"/>
                <w:szCs w:val="14"/>
                <w:color w:val="auto"/>
              </w:rPr>
              <w:t>3,269,345</w:t>
            </w:r>
          </w:p>
        </w:tc>
        <w:tc>
          <w:tcPr>
            <w:tcW w:w="700" w:type="dxa"/>
            <w:vAlign w:val="bottom"/>
            <w:gridSpan w:val="3"/>
          </w:tcPr>
          <w:p>
            <w:pPr>
              <w:jc w:val="right"/>
              <w:ind w:right="60"/>
              <w:spacing w:after="0"/>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Surgical Specialties Corporation (US), Inc. (d)</w:t>
            </w:r>
          </w:p>
        </w:tc>
        <w:tc>
          <w:tcPr>
            <w:tcW w:w="172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Healthcare Services</w:t>
            </w:r>
          </w:p>
        </w:tc>
        <w:tc>
          <w:tcPr>
            <w:tcW w:w="2800" w:type="dxa"/>
            <w:vAlign w:val="bottom"/>
            <w:gridSpan w:val="4"/>
            <w:shd w:val="clear" w:color="auto" w:fill="CCEEFF"/>
          </w:tcPr>
          <w:p>
            <w:pPr>
              <w:spacing w:after="0" w:line="149" w:lineRule="exact"/>
              <w:rPr>
                <w:sz w:val="20"/>
                <w:szCs w:val="20"/>
                <w:color w:val="auto"/>
              </w:rPr>
            </w:pPr>
            <w:r>
              <w:rPr>
                <w:rFonts w:ascii="Arial" w:cs="Arial" w:eastAsia="Arial" w:hAnsi="Arial"/>
                <w:sz w:val="14"/>
                <w:szCs w:val="14"/>
                <w:color w:val="auto"/>
                <w:w w:val="99"/>
              </w:rPr>
              <w:t>First Lien Term Loan 7.25% Cash, 8/22/2018</w:t>
            </w: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w w:val="96"/>
              </w:rPr>
              <w:t>2,201,191</w:t>
            </w: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60" w:type="dxa"/>
            <w:vAlign w:val="bottom"/>
            <w:gridSpan w:val="4"/>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2,187,850</w:t>
            </w:r>
          </w:p>
        </w:tc>
        <w:tc>
          <w:tcPr>
            <w:tcW w:w="940" w:type="dxa"/>
            <w:vAlign w:val="bottom"/>
            <w:gridSpan w:val="6"/>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2,168,173</w:t>
            </w:r>
          </w:p>
        </w:tc>
        <w:tc>
          <w:tcPr>
            <w:tcW w:w="70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80" w:type="dxa"/>
            <w:vAlign w:val="bottom"/>
          </w:tcPr>
          <w:p>
            <w:pPr>
              <w:spacing w:after="0" w:line="149" w:lineRule="exact"/>
              <w:rPr>
                <w:sz w:val="20"/>
                <w:szCs w:val="20"/>
                <w:color w:val="auto"/>
              </w:rPr>
            </w:pPr>
            <w:r>
              <w:rPr>
                <w:rFonts w:ascii="Arial" w:cs="Arial" w:eastAsia="Arial" w:hAnsi="Arial"/>
                <w:sz w:val="14"/>
                <w:szCs w:val="14"/>
                <w:color w:val="auto"/>
              </w:rPr>
              <w:t>Zest Holdings, LLC (d)</w:t>
            </w:r>
          </w:p>
        </w:tc>
        <w:tc>
          <w:tcPr>
            <w:tcW w:w="1720" w:type="dxa"/>
            <w:vAlign w:val="bottom"/>
          </w:tcPr>
          <w:p>
            <w:pPr>
              <w:ind w:left="80"/>
              <w:spacing w:after="0" w:line="149" w:lineRule="exact"/>
              <w:rPr>
                <w:sz w:val="20"/>
                <w:szCs w:val="20"/>
                <w:color w:val="auto"/>
              </w:rPr>
            </w:pPr>
            <w:r>
              <w:rPr>
                <w:rFonts w:ascii="Arial" w:cs="Arial" w:eastAsia="Arial" w:hAnsi="Arial"/>
                <w:sz w:val="14"/>
                <w:szCs w:val="14"/>
                <w:color w:val="auto"/>
              </w:rPr>
              <w:t>Healthcare Services</w:t>
            </w:r>
          </w:p>
        </w:tc>
        <w:tc>
          <w:tcPr>
            <w:tcW w:w="2800" w:type="dxa"/>
            <w:vAlign w:val="bottom"/>
            <w:gridSpan w:val="4"/>
          </w:tcPr>
          <w:p>
            <w:pPr>
              <w:spacing w:after="0" w:line="149" w:lineRule="exact"/>
              <w:rPr>
                <w:sz w:val="20"/>
                <w:szCs w:val="20"/>
                <w:color w:val="auto"/>
              </w:rPr>
            </w:pPr>
            <w:r>
              <w:rPr>
                <w:rFonts w:ascii="Arial" w:cs="Arial" w:eastAsia="Arial" w:hAnsi="Arial"/>
                <w:sz w:val="14"/>
                <w:szCs w:val="14"/>
                <w:color w:val="auto"/>
                <w:w w:val="99"/>
              </w:rPr>
              <w:t>First Lien Term Loan 5.25% Cash, 8/16/2020</w:t>
            </w:r>
          </w:p>
        </w:tc>
        <w:tc>
          <w:tcPr>
            <w:tcW w:w="1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08"/>
              <w:spacing w:after="0" w:line="149" w:lineRule="exact"/>
              <w:rPr>
                <w:sz w:val="20"/>
                <w:szCs w:val="20"/>
                <w:color w:val="auto"/>
              </w:rPr>
            </w:pPr>
            <w:r>
              <w:rPr>
                <w:rFonts w:ascii="Arial" w:cs="Arial" w:eastAsia="Arial" w:hAnsi="Arial"/>
                <w:sz w:val="14"/>
                <w:szCs w:val="14"/>
                <w:color w:val="auto"/>
                <w:w w:val="96"/>
              </w:rPr>
              <w:t>4,218,987</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4,149,940</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4,183,969</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3.3%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3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3380" w:type="dxa"/>
            <w:vAlign w:val="bottom"/>
            <w:shd w:val="clear" w:color="auto" w:fill="CCEEFF"/>
          </w:tcPr>
          <w:p>
            <w:pPr>
              <w:spacing w:after="0"/>
              <w:rPr>
                <w:sz w:val="12"/>
                <w:szCs w:val="12"/>
                <w:color w:val="auto"/>
              </w:rPr>
            </w:pPr>
          </w:p>
        </w:tc>
        <w:tc>
          <w:tcPr>
            <w:tcW w:w="1720" w:type="dxa"/>
            <w:vAlign w:val="bottom"/>
            <w:shd w:val="clear" w:color="auto" w:fill="CCEEFF"/>
          </w:tcPr>
          <w:p>
            <w:pPr>
              <w:spacing w:after="0"/>
              <w:rPr>
                <w:sz w:val="12"/>
                <w:szCs w:val="12"/>
                <w:color w:val="auto"/>
              </w:rPr>
            </w:pPr>
          </w:p>
        </w:tc>
        <w:tc>
          <w:tcPr>
            <w:tcW w:w="2800" w:type="dxa"/>
            <w:vAlign w:val="bottom"/>
            <w:gridSpan w:val="4"/>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Total Healthcare Services</w:t>
            </w: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6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w w:val="91"/>
              </w:rPr>
              <w:t>20,676,464</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19,235,380</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15.1%</w:t>
            </w:r>
          </w:p>
        </w:tc>
        <w:tc>
          <w:tcPr>
            <w:tcW w:w="0" w:type="dxa"/>
            <w:vAlign w:val="bottom"/>
          </w:tcPr>
          <w:p>
            <w:pPr>
              <w:spacing w:after="0"/>
              <w:rPr>
                <w:sz w:val="1"/>
                <w:szCs w:val="1"/>
                <w:color w:val="auto"/>
              </w:rPr>
            </w:pPr>
          </w:p>
        </w:tc>
      </w:tr>
      <w:tr>
        <w:trPr>
          <w:trHeight w:val="20"/>
        </w:trPr>
        <w:tc>
          <w:tcPr>
            <w:tcW w:w="3400" w:type="dxa"/>
            <w:vAlign w:val="bottom"/>
            <w:gridSpan w:val="2"/>
            <w:vMerge w:val="restart"/>
          </w:tcPr>
          <w:p>
            <w:pPr>
              <w:spacing w:after="0"/>
              <w:rPr>
                <w:sz w:val="20"/>
                <w:szCs w:val="20"/>
                <w:color w:val="auto"/>
              </w:rPr>
            </w:pPr>
            <w:r>
              <w:rPr>
                <w:rFonts w:ascii="Arial" w:cs="Arial" w:eastAsia="Arial" w:hAnsi="Arial"/>
                <w:sz w:val="14"/>
                <w:szCs w:val="14"/>
                <w:color w:val="auto"/>
              </w:rPr>
              <w:t>HMN Holdco, LLC</w:t>
            </w:r>
          </w:p>
        </w:tc>
        <w:tc>
          <w:tcPr>
            <w:tcW w:w="1720" w:type="dxa"/>
            <w:vAlign w:val="bottom"/>
            <w:vMerge w:val="restart"/>
          </w:tcPr>
          <w:p>
            <w:pPr>
              <w:ind w:left="80"/>
              <w:spacing w:after="0"/>
              <w:rPr>
                <w:sz w:val="20"/>
                <w:szCs w:val="20"/>
                <w:color w:val="auto"/>
              </w:rPr>
            </w:pPr>
            <w:r>
              <w:rPr>
                <w:rFonts w:ascii="Arial" w:cs="Arial" w:eastAsia="Arial" w:hAnsi="Arial"/>
                <w:sz w:val="14"/>
                <w:szCs w:val="14"/>
                <w:color w:val="auto"/>
              </w:rPr>
              <w:t>Media</w:t>
            </w:r>
          </w:p>
        </w:tc>
        <w:tc>
          <w:tcPr>
            <w:tcW w:w="2800" w:type="dxa"/>
            <w:vAlign w:val="bottom"/>
            <w:gridSpan w:val="4"/>
            <w:vMerge w:val="restart"/>
          </w:tcPr>
          <w:p>
            <w:pPr>
              <w:spacing w:after="0"/>
              <w:rPr>
                <w:sz w:val="20"/>
                <w:szCs w:val="20"/>
                <w:color w:val="auto"/>
              </w:rPr>
            </w:pPr>
            <w:r>
              <w:rPr>
                <w:rFonts w:ascii="Arial" w:cs="Arial" w:eastAsia="Arial" w:hAnsi="Arial"/>
                <w:sz w:val="14"/>
                <w:szCs w:val="14"/>
                <w:color w:val="auto"/>
                <w:w w:val="96"/>
              </w:rPr>
              <w:t>First Lien Term Loan 10.00% Cash, 5/16/2019</w:t>
            </w: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0" w:type="dxa"/>
            <w:vAlign w:val="bottom"/>
            <w:gridSpan w:val="2"/>
            <w:vMerge w:val="restart"/>
          </w:tcPr>
          <w:p>
            <w:pPr>
              <w:jc w:val="right"/>
              <w:ind w:right="108"/>
              <w:spacing w:after="0"/>
              <w:rPr>
                <w:sz w:val="20"/>
                <w:szCs w:val="20"/>
                <w:color w:val="auto"/>
              </w:rPr>
            </w:pPr>
            <w:r>
              <w:rPr>
                <w:rFonts w:ascii="Arial" w:cs="Arial" w:eastAsia="Arial" w:hAnsi="Arial"/>
                <w:sz w:val="14"/>
                <w:szCs w:val="14"/>
                <w:color w:val="auto"/>
                <w:w w:val="96"/>
              </w:rPr>
              <w:t>9,056,857</w:t>
            </w:r>
          </w:p>
        </w:tc>
        <w:tc>
          <w:tcPr>
            <w:tcW w:w="1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400" w:type="dxa"/>
            <w:vAlign w:val="bottom"/>
            <w:gridSpan w:val="2"/>
            <w:vMerge w:val="continue"/>
          </w:tcPr>
          <w:p>
            <w:pPr>
              <w:spacing w:after="0"/>
              <w:rPr>
                <w:sz w:val="13"/>
                <w:szCs w:val="13"/>
                <w:color w:val="auto"/>
              </w:rPr>
            </w:pPr>
          </w:p>
        </w:tc>
        <w:tc>
          <w:tcPr>
            <w:tcW w:w="1720" w:type="dxa"/>
            <w:vAlign w:val="bottom"/>
            <w:vMerge w:val="continue"/>
          </w:tcPr>
          <w:p>
            <w:pPr>
              <w:spacing w:after="0"/>
              <w:rPr>
                <w:sz w:val="13"/>
                <w:szCs w:val="13"/>
                <w:color w:val="auto"/>
              </w:rPr>
            </w:pPr>
          </w:p>
        </w:tc>
        <w:tc>
          <w:tcPr>
            <w:tcW w:w="2800" w:type="dxa"/>
            <w:vAlign w:val="bottom"/>
            <w:gridSpan w:val="4"/>
            <w:vMerge w:val="continue"/>
          </w:tcPr>
          <w:p>
            <w:pPr>
              <w:spacing w:after="0"/>
              <w:rPr>
                <w:sz w:val="13"/>
                <w:szCs w:val="13"/>
                <w:color w:val="auto"/>
              </w:rPr>
            </w:pPr>
          </w:p>
        </w:tc>
        <w:tc>
          <w:tcPr>
            <w:tcW w:w="140" w:type="dxa"/>
            <w:vAlign w:val="bottom"/>
            <w:vMerge w:val="continue"/>
          </w:tcPr>
          <w:p>
            <w:pPr>
              <w:spacing w:after="0"/>
              <w:rPr>
                <w:sz w:val="13"/>
                <w:szCs w:val="13"/>
                <w:color w:val="auto"/>
              </w:rPr>
            </w:pPr>
          </w:p>
        </w:tc>
        <w:tc>
          <w:tcPr>
            <w:tcW w:w="80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gridSpan w:val="3"/>
          </w:tcPr>
          <w:p>
            <w:pPr>
              <w:jc w:val="right"/>
              <w:spacing w:after="0" w:line="155" w:lineRule="exact"/>
              <w:rPr>
                <w:sz w:val="20"/>
                <w:szCs w:val="20"/>
                <w:color w:val="auto"/>
              </w:rPr>
            </w:pPr>
            <w:r>
              <w:rPr>
                <w:rFonts w:ascii="Arial" w:cs="Arial" w:eastAsia="Arial" w:hAnsi="Arial"/>
                <w:sz w:val="14"/>
                <w:szCs w:val="14"/>
                <w:color w:val="auto"/>
              </w:rPr>
              <w:t>8,922,354</w:t>
            </w:r>
          </w:p>
        </w:tc>
        <w:tc>
          <w:tcPr>
            <w:tcW w:w="100" w:type="dxa"/>
            <w:vAlign w:val="bottom"/>
            <w:vMerge w:val="continue"/>
          </w:tcPr>
          <w:p>
            <w:pPr>
              <w:spacing w:after="0"/>
              <w:rPr>
                <w:sz w:val="13"/>
                <w:szCs w:val="13"/>
                <w:color w:val="auto"/>
              </w:rPr>
            </w:pPr>
          </w:p>
        </w:tc>
        <w:tc>
          <w:tcPr>
            <w:tcW w:w="80" w:type="dxa"/>
            <w:vAlign w:val="bottom"/>
            <w:vMerge w:val="continue"/>
          </w:tcPr>
          <w:p>
            <w:pPr>
              <w:spacing w:after="0"/>
              <w:rPr>
                <w:sz w:val="13"/>
                <w:szCs w:val="13"/>
                <w:color w:val="auto"/>
              </w:rPr>
            </w:pPr>
          </w:p>
        </w:tc>
        <w:tc>
          <w:tcPr>
            <w:tcW w:w="820" w:type="dxa"/>
            <w:vAlign w:val="bottom"/>
            <w:gridSpan w:val="4"/>
          </w:tcPr>
          <w:p>
            <w:pPr>
              <w:jc w:val="right"/>
              <w:spacing w:after="0" w:line="155" w:lineRule="exact"/>
              <w:rPr>
                <w:sz w:val="20"/>
                <w:szCs w:val="20"/>
                <w:color w:val="auto"/>
              </w:rPr>
            </w:pPr>
            <w:r>
              <w:rPr>
                <w:rFonts w:ascii="Arial" w:cs="Arial" w:eastAsia="Arial" w:hAnsi="Arial"/>
                <w:sz w:val="14"/>
                <w:szCs w:val="14"/>
                <w:color w:val="auto"/>
              </w:rPr>
              <w:t>9,237,995</w:t>
            </w:r>
          </w:p>
        </w:tc>
        <w:tc>
          <w:tcPr>
            <w:tcW w:w="40" w:type="dxa"/>
            <w:vAlign w:val="bottom"/>
            <w:vMerge w:val="continue"/>
          </w:tcPr>
          <w:p>
            <w:pPr>
              <w:spacing w:after="0"/>
              <w:rPr>
                <w:sz w:val="13"/>
                <w:szCs w:val="13"/>
                <w:color w:val="auto"/>
              </w:rPr>
            </w:pPr>
          </w:p>
        </w:tc>
        <w:tc>
          <w:tcPr>
            <w:tcW w:w="140" w:type="dxa"/>
            <w:vAlign w:val="bottom"/>
            <w:vMerge w:val="continue"/>
          </w:tcPr>
          <w:p>
            <w:pPr>
              <w:spacing w:after="0"/>
              <w:rPr>
                <w:sz w:val="13"/>
                <w:szCs w:val="13"/>
                <w:color w:val="auto"/>
              </w:rPr>
            </w:pPr>
          </w:p>
        </w:tc>
        <w:tc>
          <w:tcPr>
            <w:tcW w:w="56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7.3%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HMN Holdco, LLC</w:t>
            </w:r>
          </w:p>
        </w:tc>
        <w:tc>
          <w:tcPr>
            <w:tcW w:w="172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Media</w:t>
            </w:r>
          </w:p>
        </w:tc>
        <w:tc>
          <w:tcPr>
            <w:tcW w:w="2800" w:type="dxa"/>
            <w:vAlign w:val="bottom"/>
            <w:gridSpan w:val="4"/>
            <w:shd w:val="clear" w:color="auto" w:fill="CCEEFF"/>
          </w:tcPr>
          <w:p>
            <w:pPr>
              <w:spacing w:after="0" w:line="149" w:lineRule="exact"/>
              <w:rPr>
                <w:sz w:val="20"/>
                <w:szCs w:val="20"/>
                <w:color w:val="auto"/>
              </w:rPr>
            </w:pPr>
            <w:r>
              <w:rPr>
                <w:rFonts w:ascii="Arial" w:cs="Arial" w:eastAsia="Arial" w:hAnsi="Arial"/>
                <w:sz w:val="14"/>
                <w:szCs w:val="14"/>
                <w:color w:val="auto"/>
                <w:w w:val="96"/>
              </w:rPr>
              <w:t>First Lien Term Loan 10.00% Cash, 5/16/2020</w:t>
            </w: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w w:val="96"/>
              </w:rPr>
              <w:t>1,600,000</w:t>
            </w: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60" w:type="dxa"/>
            <w:vAlign w:val="bottom"/>
            <w:gridSpan w:val="4"/>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1,571,690</w:t>
            </w:r>
          </w:p>
        </w:tc>
        <w:tc>
          <w:tcPr>
            <w:tcW w:w="940" w:type="dxa"/>
            <w:vAlign w:val="bottom"/>
            <w:gridSpan w:val="6"/>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1,632,000</w:t>
            </w:r>
          </w:p>
        </w:tc>
        <w:tc>
          <w:tcPr>
            <w:tcW w:w="70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380" w:type="dxa"/>
            <w:vAlign w:val="bottom"/>
          </w:tcPr>
          <w:p>
            <w:pPr>
              <w:spacing w:after="0" w:line="130" w:lineRule="exact"/>
              <w:rPr>
                <w:sz w:val="20"/>
                <w:szCs w:val="20"/>
                <w:color w:val="auto"/>
              </w:rPr>
            </w:pPr>
            <w:r>
              <w:rPr>
                <w:rFonts w:ascii="Arial" w:cs="Arial" w:eastAsia="Arial" w:hAnsi="Arial"/>
                <w:sz w:val="14"/>
                <w:szCs w:val="14"/>
                <w:color w:val="auto"/>
              </w:rPr>
              <w:t>HMN Holdco, LLC (j), (k)</w:t>
            </w:r>
          </w:p>
        </w:tc>
        <w:tc>
          <w:tcPr>
            <w:tcW w:w="1720" w:type="dxa"/>
            <w:vAlign w:val="bottom"/>
          </w:tcPr>
          <w:p>
            <w:pPr>
              <w:ind w:left="80"/>
              <w:spacing w:after="0" w:line="130" w:lineRule="exact"/>
              <w:rPr>
                <w:sz w:val="20"/>
                <w:szCs w:val="20"/>
                <w:color w:val="auto"/>
              </w:rPr>
            </w:pPr>
            <w:r>
              <w:rPr>
                <w:rFonts w:ascii="Arial" w:cs="Arial" w:eastAsia="Arial" w:hAnsi="Arial"/>
                <w:sz w:val="14"/>
                <w:szCs w:val="14"/>
                <w:color w:val="auto"/>
              </w:rPr>
              <w:t>Media</w:t>
            </w:r>
          </w:p>
        </w:tc>
        <w:tc>
          <w:tcPr>
            <w:tcW w:w="2800" w:type="dxa"/>
            <w:vAlign w:val="bottom"/>
            <w:gridSpan w:val="4"/>
          </w:tcPr>
          <w:p>
            <w:pPr>
              <w:spacing w:after="0" w:line="130" w:lineRule="exact"/>
              <w:rPr>
                <w:sz w:val="20"/>
                <w:szCs w:val="20"/>
                <w:color w:val="auto"/>
              </w:rPr>
            </w:pPr>
            <w:r>
              <w:rPr>
                <w:rFonts w:ascii="Arial" w:cs="Arial" w:eastAsia="Arial" w:hAnsi="Arial"/>
                <w:sz w:val="14"/>
                <w:szCs w:val="14"/>
                <w:color w:val="auto"/>
              </w:rPr>
              <w:t>Deferred Draw Term Loan 10.00% Cash,</w:t>
            </w: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660" w:type="dxa"/>
            <w:vAlign w:val="bottom"/>
          </w:tcPr>
          <w:p>
            <w:pPr>
              <w:spacing w:after="0"/>
              <w:rPr>
                <w:sz w:val="20"/>
                <w:szCs w:val="20"/>
                <w:color w:val="auto"/>
              </w:rPr>
            </w:pPr>
            <w:r>
              <w:rPr>
                <w:rFonts w:ascii="Arial" w:cs="Arial" w:eastAsia="Arial" w:hAnsi="Arial"/>
                <w:sz w:val="14"/>
                <w:szCs w:val="14"/>
                <w:color w:val="auto"/>
              </w:rPr>
              <w:t>5/16/2020</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740" w:type="dxa"/>
            <w:vAlign w:val="bottom"/>
            <w:gridSpan w:val="3"/>
          </w:tcPr>
          <w:p>
            <w:pPr>
              <w:ind w:left="18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gridSpan w:val="2"/>
          </w:tcPr>
          <w:p>
            <w:pPr>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gridSpan w:val="3"/>
          </w:tcPr>
          <w:p>
            <w:pPr>
              <w:jc w:val="right"/>
              <w:ind w:right="40"/>
              <w:spacing w:after="0"/>
              <w:rPr>
                <w:sz w:val="20"/>
                <w:szCs w:val="20"/>
                <w:color w:val="auto"/>
              </w:rPr>
            </w:pPr>
            <w:r>
              <w:rPr>
                <w:rFonts w:ascii="Arial" w:cs="Arial" w:eastAsia="Arial" w:hAnsi="Arial"/>
                <w:sz w:val="14"/>
                <w:szCs w:val="14"/>
                <w:color w:val="auto"/>
                <w:w w:val="97"/>
              </w:rPr>
              <w:t>48,000</w:t>
            </w:r>
          </w:p>
        </w:tc>
        <w:tc>
          <w:tcPr>
            <w:tcW w:w="700" w:type="dxa"/>
            <w:vAlign w:val="bottom"/>
            <w:gridSpan w:val="3"/>
          </w:tcPr>
          <w:p>
            <w:pPr>
              <w:jc w:val="right"/>
              <w:ind w:right="60"/>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HMN Holdco, LLC</w:t>
            </w:r>
          </w:p>
        </w:tc>
        <w:tc>
          <w:tcPr>
            <w:tcW w:w="172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Media</w:t>
            </w:r>
          </w:p>
        </w:tc>
        <w:tc>
          <w:tcPr>
            <w:tcW w:w="18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Class A Series</w:t>
            </w:r>
          </w:p>
        </w:tc>
        <w:tc>
          <w:tcPr>
            <w:tcW w:w="9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4,264</w:t>
            </w: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60" w:type="dxa"/>
            <w:vAlign w:val="bottom"/>
            <w:gridSpan w:val="4"/>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61,647</w:t>
            </w:r>
          </w:p>
        </w:tc>
        <w:tc>
          <w:tcPr>
            <w:tcW w:w="940" w:type="dxa"/>
            <w:vAlign w:val="bottom"/>
            <w:gridSpan w:val="6"/>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333,061</w:t>
            </w:r>
          </w:p>
        </w:tc>
        <w:tc>
          <w:tcPr>
            <w:tcW w:w="70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80" w:type="dxa"/>
            <w:vAlign w:val="bottom"/>
          </w:tcPr>
          <w:p>
            <w:pPr>
              <w:spacing w:after="0" w:line="149" w:lineRule="exact"/>
              <w:rPr>
                <w:sz w:val="20"/>
                <w:szCs w:val="20"/>
                <w:color w:val="auto"/>
              </w:rPr>
            </w:pPr>
            <w:r>
              <w:rPr>
                <w:rFonts w:ascii="Arial" w:cs="Arial" w:eastAsia="Arial" w:hAnsi="Arial"/>
                <w:sz w:val="14"/>
                <w:szCs w:val="14"/>
                <w:color w:val="auto"/>
              </w:rPr>
              <w:t>HMN Holdco, LLC</w:t>
            </w:r>
          </w:p>
        </w:tc>
        <w:tc>
          <w:tcPr>
            <w:tcW w:w="1720" w:type="dxa"/>
            <w:vAlign w:val="bottom"/>
          </w:tcPr>
          <w:p>
            <w:pPr>
              <w:ind w:left="80"/>
              <w:spacing w:after="0" w:line="149" w:lineRule="exact"/>
              <w:rPr>
                <w:sz w:val="20"/>
                <w:szCs w:val="20"/>
                <w:color w:val="auto"/>
              </w:rPr>
            </w:pPr>
            <w:r>
              <w:rPr>
                <w:rFonts w:ascii="Arial" w:cs="Arial" w:eastAsia="Arial" w:hAnsi="Arial"/>
                <w:sz w:val="14"/>
                <w:szCs w:val="14"/>
                <w:color w:val="auto"/>
              </w:rPr>
              <w:t>Media</w:t>
            </w:r>
          </w:p>
        </w:tc>
        <w:tc>
          <w:tcPr>
            <w:tcW w:w="1840" w:type="dxa"/>
            <w:vAlign w:val="bottom"/>
            <w:gridSpan w:val="2"/>
          </w:tcPr>
          <w:p>
            <w:pPr>
              <w:spacing w:after="0" w:line="149" w:lineRule="exact"/>
              <w:rPr>
                <w:sz w:val="20"/>
                <w:szCs w:val="20"/>
                <w:color w:val="auto"/>
              </w:rPr>
            </w:pPr>
            <w:r>
              <w:rPr>
                <w:rFonts w:ascii="Arial" w:cs="Arial" w:eastAsia="Arial" w:hAnsi="Arial"/>
                <w:sz w:val="14"/>
                <w:szCs w:val="14"/>
                <w:color w:val="auto"/>
              </w:rPr>
              <w:t>Class A Warrant</w:t>
            </w:r>
          </w:p>
        </w:tc>
        <w:tc>
          <w:tcPr>
            <w:tcW w:w="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right"/>
              <w:ind w:right="108"/>
              <w:spacing w:after="0" w:line="149" w:lineRule="exact"/>
              <w:rPr>
                <w:sz w:val="20"/>
                <w:szCs w:val="20"/>
                <w:color w:val="auto"/>
              </w:rPr>
            </w:pPr>
            <w:r>
              <w:rPr>
                <w:rFonts w:ascii="Arial" w:cs="Arial" w:eastAsia="Arial" w:hAnsi="Arial"/>
                <w:sz w:val="14"/>
                <w:szCs w:val="14"/>
                <w:color w:val="auto"/>
              </w:rPr>
              <w:t>30,320</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gridSpan w:val="4"/>
          </w:tcPr>
          <w:p>
            <w:pPr>
              <w:jc w:val="right"/>
              <w:ind w:right="100"/>
              <w:spacing w:after="0" w:line="149" w:lineRule="exact"/>
              <w:rPr>
                <w:sz w:val="20"/>
                <w:szCs w:val="20"/>
                <w:color w:val="auto"/>
              </w:rPr>
            </w:pPr>
            <w:r>
              <w:rPr>
                <w:rFonts w:ascii="Arial" w:cs="Arial" w:eastAsia="Arial" w:hAnsi="Arial"/>
                <w:sz w:val="14"/>
                <w:szCs w:val="14"/>
                <w:color w:val="auto"/>
              </w:rPr>
              <w:t>438,353</w:t>
            </w:r>
          </w:p>
        </w:tc>
        <w:tc>
          <w:tcPr>
            <w:tcW w:w="940" w:type="dxa"/>
            <w:vAlign w:val="bottom"/>
            <w:gridSpan w:val="6"/>
          </w:tcPr>
          <w:p>
            <w:pPr>
              <w:jc w:val="right"/>
              <w:ind w:right="40"/>
              <w:spacing w:after="0" w:line="149" w:lineRule="exact"/>
              <w:rPr>
                <w:sz w:val="20"/>
                <w:szCs w:val="20"/>
                <w:color w:val="auto"/>
              </w:rPr>
            </w:pPr>
            <w:r>
              <w:rPr>
                <w:rFonts w:ascii="Arial" w:cs="Arial" w:eastAsia="Arial" w:hAnsi="Arial"/>
                <w:sz w:val="14"/>
                <w:szCs w:val="14"/>
                <w:color w:val="auto"/>
              </w:rPr>
              <w:t>2,031,137</w:t>
            </w:r>
          </w:p>
        </w:tc>
        <w:tc>
          <w:tcPr>
            <w:tcW w:w="70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3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HMN Holdco, LLC (g)</w:t>
            </w:r>
          </w:p>
        </w:tc>
        <w:tc>
          <w:tcPr>
            <w:tcW w:w="1720" w:type="dxa"/>
            <w:vAlign w:val="bottom"/>
            <w:shd w:val="clear" w:color="auto" w:fill="CCEEFF"/>
          </w:tcPr>
          <w:p>
            <w:pPr>
              <w:ind w:left="80"/>
              <w:spacing w:after="0" w:line="130" w:lineRule="exact"/>
              <w:rPr>
                <w:sz w:val="20"/>
                <w:szCs w:val="20"/>
                <w:color w:val="auto"/>
              </w:rPr>
            </w:pPr>
            <w:r>
              <w:rPr>
                <w:rFonts w:ascii="Arial" w:cs="Arial" w:eastAsia="Arial" w:hAnsi="Arial"/>
                <w:sz w:val="14"/>
                <w:szCs w:val="14"/>
                <w:color w:val="auto"/>
              </w:rPr>
              <w:t>Media</w:t>
            </w:r>
          </w:p>
        </w:tc>
        <w:tc>
          <w:tcPr>
            <w:tcW w:w="2800" w:type="dxa"/>
            <w:vAlign w:val="bottom"/>
            <w:gridSpan w:val="4"/>
            <w:shd w:val="clear" w:color="auto" w:fill="CCEEFF"/>
          </w:tcPr>
          <w:p>
            <w:pPr>
              <w:spacing w:after="0" w:line="130" w:lineRule="exact"/>
              <w:rPr>
                <w:sz w:val="20"/>
                <w:szCs w:val="20"/>
                <w:color w:val="auto"/>
              </w:rPr>
            </w:pPr>
            <w:r>
              <w:rPr>
                <w:rFonts w:ascii="Arial" w:cs="Arial" w:eastAsia="Arial" w:hAnsi="Arial"/>
                <w:sz w:val="14"/>
                <w:szCs w:val="14"/>
                <w:color w:val="auto"/>
              </w:rPr>
              <w:t>Warrants to Purchase Limited Liability</w:t>
            </w:r>
          </w:p>
        </w:tc>
        <w:tc>
          <w:tcPr>
            <w:tcW w:w="1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380" w:type="dxa"/>
            <w:vAlign w:val="bottom"/>
            <w:shd w:val="clear" w:color="auto" w:fill="CCEEFF"/>
          </w:tcPr>
          <w:p>
            <w:pPr>
              <w:spacing w:after="0"/>
              <w:rPr>
                <w:sz w:val="14"/>
                <w:szCs w:val="14"/>
                <w:color w:val="auto"/>
              </w:rPr>
            </w:pPr>
          </w:p>
        </w:tc>
        <w:tc>
          <w:tcPr>
            <w:tcW w:w="1720" w:type="dxa"/>
            <w:vAlign w:val="bottom"/>
            <w:shd w:val="clear" w:color="auto" w:fill="CCEEFF"/>
          </w:tcPr>
          <w:p>
            <w:pPr>
              <w:spacing w:after="0"/>
              <w:rPr>
                <w:sz w:val="14"/>
                <w:szCs w:val="14"/>
                <w:color w:val="auto"/>
              </w:rPr>
            </w:pPr>
          </w:p>
        </w:tc>
        <w:tc>
          <w:tcPr>
            <w:tcW w:w="1840" w:type="dxa"/>
            <w:vAlign w:val="bottom"/>
            <w:gridSpan w:val="2"/>
            <w:shd w:val="clear" w:color="auto" w:fill="CCEEFF"/>
          </w:tcPr>
          <w:p>
            <w:pPr>
              <w:spacing w:after="0"/>
              <w:rPr>
                <w:sz w:val="20"/>
                <w:szCs w:val="20"/>
                <w:color w:val="auto"/>
              </w:rPr>
            </w:pPr>
            <w:r>
              <w:rPr>
                <w:rFonts w:ascii="Arial" w:cs="Arial" w:eastAsia="Arial" w:hAnsi="Arial"/>
                <w:sz w:val="14"/>
                <w:szCs w:val="14"/>
                <w:color w:val="auto"/>
                <w:w w:val="97"/>
              </w:rPr>
              <w:t>Company Interests (Common)</w:t>
            </w:r>
          </w:p>
        </w:tc>
        <w:tc>
          <w:tcPr>
            <w:tcW w:w="9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08"/>
              <w:spacing w:after="0"/>
              <w:rPr>
                <w:sz w:val="20"/>
                <w:szCs w:val="20"/>
                <w:color w:val="auto"/>
              </w:rPr>
            </w:pPr>
            <w:r>
              <w:rPr>
                <w:rFonts w:ascii="Arial" w:cs="Arial" w:eastAsia="Arial" w:hAnsi="Arial"/>
                <w:sz w:val="14"/>
                <w:szCs w:val="14"/>
                <w:color w:val="auto"/>
              </w:rPr>
              <w:t>57,872</w:t>
            </w: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w:t>
            </w:r>
          </w:p>
        </w:tc>
        <w:tc>
          <w:tcPr>
            <w:tcW w:w="940" w:type="dxa"/>
            <w:vAlign w:val="bottom"/>
            <w:gridSpan w:val="6"/>
            <w:shd w:val="clear" w:color="auto" w:fill="CCEEFF"/>
          </w:tcPr>
          <w:p>
            <w:pPr>
              <w:jc w:val="right"/>
              <w:ind w:right="40"/>
              <w:spacing w:after="0"/>
              <w:rPr>
                <w:sz w:val="20"/>
                <w:szCs w:val="20"/>
                <w:color w:val="auto"/>
              </w:rPr>
            </w:pPr>
            <w:r>
              <w:rPr>
                <w:rFonts w:ascii="Arial" w:cs="Arial" w:eastAsia="Arial" w:hAnsi="Arial"/>
                <w:sz w:val="14"/>
                <w:szCs w:val="14"/>
                <w:color w:val="auto"/>
              </w:rPr>
              <w:t>3,579,383</w:t>
            </w:r>
          </w:p>
        </w:tc>
        <w:tc>
          <w:tcPr>
            <w:tcW w:w="70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2.8%</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380" w:type="dxa"/>
            <w:vAlign w:val="bottom"/>
          </w:tcPr>
          <w:p>
            <w:pPr>
              <w:spacing w:after="0" w:line="130" w:lineRule="exact"/>
              <w:rPr>
                <w:sz w:val="20"/>
                <w:szCs w:val="20"/>
                <w:color w:val="auto"/>
              </w:rPr>
            </w:pPr>
            <w:r>
              <w:rPr>
                <w:rFonts w:ascii="Arial" w:cs="Arial" w:eastAsia="Arial" w:hAnsi="Arial"/>
                <w:sz w:val="14"/>
                <w:szCs w:val="14"/>
                <w:color w:val="auto"/>
              </w:rPr>
              <w:t>HMN Holdco, LLC (g)</w:t>
            </w:r>
          </w:p>
        </w:tc>
        <w:tc>
          <w:tcPr>
            <w:tcW w:w="1720" w:type="dxa"/>
            <w:vAlign w:val="bottom"/>
          </w:tcPr>
          <w:p>
            <w:pPr>
              <w:ind w:left="80"/>
              <w:spacing w:after="0" w:line="130" w:lineRule="exact"/>
              <w:rPr>
                <w:sz w:val="20"/>
                <w:szCs w:val="20"/>
                <w:color w:val="auto"/>
              </w:rPr>
            </w:pPr>
            <w:r>
              <w:rPr>
                <w:rFonts w:ascii="Arial" w:cs="Arial" w:eastAsia="Arial" w:hAnsi="Arial"/>
                <w:sz w:val="14"/>
                <w:szCs w:val="14"/>
                <w:color w:val="auto"/>
              </w:rPr>
              <w:t>Media</w:t>
            </w:r>
          </w:p>
        </w:tc>
        <w:tc>
          <w:tcPr>
            <w:tcW w:w="2800" w:type="dxa"/>
            <w:vAlign w:val="bottom"/>
            <w:gridSpan w:val="4"/>
          </w:tcPr>
          <w:p>
            <w:pPr>
              <w:spacing w:after="0" w:line="130" w:lineRule="exact"/>
              <w:rPr>
                <w:sz w:val="20"/>
                <w:szCs w:val="20"/>
                <w:color w:val="auto"/>
              </w:rPr>
            </w:pPr>
            <w:r>
              <w:rPr>
                <w:rFonts w:ascii="Arial" w:cs="Arial" w:eastAsia="Arial" w:hAnsi="Arial"/>
                <w:sz w:val="14"/>
                <w:szCs w:val="14"/>
                <w:color w:val="auto"/>
              </w:rPr>
              <w:t>Warrants to Purchase Limited Liability</w:t>
            </w: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840" w:type="dxa"/>
            <w:vAlign w:val="bottom"/>
            <w:gridSpan w:val="2"/>
          </w:tcPr>
          <w:p>
            <w:pPr>
              <w:spacing w:after="0"/>
              <w:rPr>
                <w:sz w:val="20"/>
                <w:szCs w:val="20"/>
                <w:color w:val="auto"/>
              </w:rPr>
            </w:pPr>
            <w:r>
              <w:rPr>
                <w:rFonts w:ascii="Arial" w:cs="Arial" w:eastAsia="Arial" w:hAnsi="Arial"/>
                <w:sz w:val="14"/>
                <w:szCs w:val="14"/>
                <w:color w:val="auto"/>
              </w:rPr>
              <w:t>Company Interests</w:t>
            </w:r>
          </w:p>
        </w:tc>
        <w:tc>
          <w:tcPr>
            <w:tcW w:w="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tcPr>
          <w:p>
            <w:pPr>
              <w:jc w:val="right"/>
              <w:ind w:right="108"/>
              <w:spacing w:after="0"/>
              <w:rPr>
                <w:sz w:val="20"/>
                <w:szCs w:val="20"/>
                <w:color w:val="auto"/>
              </w:rPr>
            </w:pPr>
            <w:r>
              <w:rPr>
                <w:rFonts w:ascii="Arial" w:cs="Arial" w:eastAsia="Arial" w:hAnsi="Arial"/>
                <w:sz w:val="14"/>
                <w:szCs w:val="14"/>
                <w:color w:val="auto"/>
              </w:rPr>
              <w:t>8,139</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4"/>
          </w:tcPr>
          <w:p>
            <w:pPr>
              <w:jc w:val="right"/>
              <w:spacing w:after="0"/>
              <w:rPr>
                <w:sz w:val="20"/>
                <w:szCs w:val="20"/>
                <w:color w:val="auto"/>
              </w:rPr>
            </w:pPr>
            <w:r>
              <w:rPr>
                <w:rFonts w:ascii="Arial" w:cs="Arial" w:eastAsia="Arial" w:hAnsi="Arial"/>
                <w:sz w:val="14"/>
                <w:szCs w:val="14"/>
                <w:color w:val="auto"/>
              </w:rPr>
              <w:t>560,940</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3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3380" w:type="dxa"/>
            <w:vAlign w:val="bottom"/>
            <w:shd w:val="clear" w:color="auto" w:fill="CCEEFF"/>
          </w:tcPr>
          <w:p>
            <w:pPr>
              <w:spacing w:after="0"/>
              <w:rPr>
                <w:sz w:val="12"/>
                <w:szCs w:val="12"/>
                <w:color w:val="auto"/>
              </w:rPr>
            </w:pPr>
          </w:p>
        </w:tc>
        <w:tc>
          <w:tcPr>
            <w:tcW w:w="1720" w:type="dxa"/>
            <w:vAlign w:val="bottom"/>
            <w:shd w:val="clear" w:color="auto" w:fill="CCEEFF"/>
          </w:tcPr>
          <w:p>
            <w:pPr>
              <w:spacing w:after="0"/>
              <w:rPr>
                <w:sz w:val="12"/>
                <w:szCs w:val="12"/>
                <w:color w:val="auto"/>
              </w:rPr>
            </w:pPr>
          </w:p>
        </w:tc>
        <w:tc>
          <w:tcPr>
            <w:tcW w:w="16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Total Media</w:t>
            </w: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6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w w:val="91"/>
              </w:rPr>
              <w:t>10,994,044</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17,422,516</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13.7%</w:t>
            </w:r>
          </w:p>
        </w:tc>
        <w:tc>
          <w:tcPr>
            <w:tcW w:w="0" w:type="dxa"/>
            <w:vAlign w:val="bottom"/>
          </w:tcPr>
          <w:p>
            <w:pPr>
              <w:spacing w:after="0"/>
              <w:rPr>
                <w:sz w:val="1"/>
                <w:szCs w:val="1"/>
                <w:color w:val="auto"/>
              </w:rPr>
            </w:pPr>
          </w:p>
        </w:tc>
      </w:tr>
      <w:tr>
        <w:trPr>
          <w:trHeight w:val="20"/>
        </w:trPr>
        <w:tc>
          <w:tcPr>
            <w:tcW w:w="3400" w:type="dxa"/>
            <w:vAlign w:val="bottom"/>
            <w:gridSpan w:val="2"/>
            <w:vMerge w:val="restart"/>
          </w:tcPr>
          <w:p>
            <w:pPr>
              <w:spacing w:after="0"/>
              <w:rPr>
                <w:sz w:val="20"/>
                <w:szCs w:val="20"/>
                <w:color w:val="auto"/>
              </w:rPr>
            </w:pPr>
            <w:r>
              <w:rPr>
                <w:rFonts w:ascii="Arial" w:cs="Arial" w:eastAsia="Arial" w:hAnsi="Arial"/>
                <w:sz w:val="14"/>
                <w:szCs w:val="14"/>
                <w:color w:val="auto"/>
              </w:rPr>
              <w:t>Elyria Foundry Company, L.L.C.</w:t>
            </w:r>
          </w:p>
        </w:tc>
        <w:tc>
          <w:tcPr>
            <w:tcW w:w="1720" w:type="dxa"/>
            <w:vAlign w:val="bottom"/>
            <w:vMerge w:val="restart"/>
          </w:tcPr>
          <w:p>
            <w:pPr>
              <w:ind w:left="80"/>
              <w:spacing w:after="0"/>
              <w:rPr>
                <w:sz w:val="20"/>
                <w:szCs w:val="20"/>
                <w:color w:val="auto"/>
              </w:rPr>
            </w:pPr>
            <w:r>
              <w:rPr>
                <w:rFonts w:ascii="Arial" w:cs="Arial" w:eastAsia="Arial" w:hAnsi="Arial"/>
                <w:sz w:val="14"/>
                <w:szCs w:val="14"/>
                <w:color w:val="auto"/>
              </w:rPr>
              <w:t>Metals</w:t>
            </w:r>
          </w:p>
        </w:tc>
        <w:tc>
          <w:tcPr>
            <w:tcW w:w="1840" w:type="dxa"/>
            <w:vAlign w:val="bottom"/>
            <w:gridSpan w:val="2"/>
            <w:vMerge w:val="restart"/>
          </w:tcPr>
          <w:p>
            <w:pPr>
              <w:spacing w:after="0"/>
              <w:rPr>
                <w:sz w:val="20"/>
                <w:szCs w:val="20"/>
                <w:color w:val="auto"/>
              </w:rPr>
            </w:pPr>
            <w:r>
              <w:rPr>
                <w:rFonts w:ascii="Arial" w:cs="Arial" w:eastAsia="Arial" w:hAnsi="Arial"/>
                <w:sz w:val="14"/>
                <w:szCs w:val="14"/>
                <w:color w:val="auto"/>
              </w:rPr>
              <w:t>Common Stock</w:t>
            </w: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gridSpan w:val="2"/>
            <w:vMerge w:val="restart"/>
          </w:tcPr>
          <w:p>
            <w:pPr>
              <w:jc w:val="right"/>
              <w:ind w:right="108"/>
              <w:spacing w:after="0"/>
              <w:rPr>
                <w:sz w:val="20"/>
                <w:szCs w:val="20"/>
                <w:color w:val="auto"/>
              </w:rPr>
            </w:pPr>
            <w:r>
              <w:rPr>
                <w:rFonts w:ascii="Arial" w:cs="Arial" w:eastAsia="Arial" w:hAnsi="Arial"/>
                <w:sz w:val="14"/>
                <w:szCs w:val="14"/>
                <w:color w:val="auto"/>
              </w:rPr>
              <w:t>35,000</w:t>
            </w:r>
          </w:p>
        </w:tc>
        <w:tc>
          <w:tcPr>
            <w:tcW w:w="1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400" w:type="dxa"/>
            <w:vAlign w:val="bottom"/>
            <w:gridSpan w:val="2"/>
            <w:vMerge w:val="continue"/>
          </w:tcPr>
          <w:p>
            <w:pPr>
              <w:spacing w:after="0"/>
              <w:rPr>
                <w:sz w:val="13"/>
                <w:szCs w:val="13"/>
                <w:color w:val="auto"/>
              </w:rPr>
            </w:pPr>
          </w:p>
        </w:tc>
        <w:tc>
          <w:tcPr>
            <w:tcW w:w="1720" w:type="dxa"/>
            <w:vAlign w:val="bottom"/>
            <w:vMerge w:val="continue"/>
          </w:tcPr>
          <w:p>
            <w:pPr>
              <w:spacing w:after="0"/>
              <w:rPr>
                <w:sz w:val="13"/>
                <w:szCs w:val="13"/>
                <w:color w:val="auto"/>
              </w:rPr>
            </w:pPr>
          </w:p>
        </w:tc>
        <w:tc>
          <w:tcPr>
            <w:tcW w:w="1840" w:type="dxa"/>
            <w:vAlign w:val="bottom"/>
            <w:gridSpan w:val="2"/>
            <w:vMerge w:val="continue"/>
          </w:tcPr>
          <w:p>
            <w:pPr>
              <w:spacing w:after="0"/>
              <w:rPr>
                <w:sz w:val="13"/>
                <w:szCs w:val="13"/>
                <w:color w:val="auto"/>
              </w:rPr>
            </w:pPr>
          </w:p>
        </w:tc>
        <w:tc>
          <w:tcPr>
            <w:tcW w:w="9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gridSpan w:val="3"/>
          </w:tcPr>
          <w:p>
            <w:pPr>
              <w:jc w:val="right"/>
              <w:spacing w:after="0" w:line="155" w:lineRule="exact"/>
              <w:rPr>
                <w:sz w:val="20"/>
                <w:szCs w:val="20"/>
                <w:color w:val="auto"/>
              </w:rPr>
            </w:pPr>
            <w:r>
              <w:rPr>
                <w:rFonts w:ascii="Arial" w:cs="Arial" w:eastAsia="Arial" w:hAnsi="Arial"/>
                <w:sz w:val="14"/>
                <w:szCs w:val="14"/>
                <w:color w:val="auto"/>
              </w:rPr>
              <w:t>9,217,564</w:t>
            </w:r>
          </w:p>
        </w:tc>
        <w:tc>
          <w:tcPr>
            <w:tcW w:w="100" w:type="dxa"/>
            <w:vAlign w:val="bottom"/>
            <w:vMerge w:val="continue"/>
          </w:tcPr>
          <w:p>
            <w:pPr>
              <w:spacing w:after="0"/>
              <w:rPr>
                <w:sz w:val="13"/>
                <w:szCs w:val="13"/>
                <w:color w:val="auto"/>
              </w:rPr>
            </w:pPr>
          </w:p>
        </w:tc>
        <w:tc>
          <w:tcPr>
            <w:tcW w:w="80" w:type="dxa"/>
            <w:vAlign w:val="bottom"/>
            <w:vMerge w:val="continue"/>
          </w:tcPr>
          <w:p>
            <w:pPr>
              <w:spacing w:after="0"/>
              <w:rPr>
                <w:sz w:val="13"/>
                <w:szCs w:val="13"/>
                <w:color w:val="auto"/>
              </w:rPr>
            </w:pPr>
          </w:p>
        </w:tc>
        <w:tc>
          <w:tcPr>
            <w:tcW w:w="820" w:type="dxa"/>
            <w:vAlign w:val="bottom"/>
            <w:gridSpan w:val="4"/>
          </w:tcPr>
          <w:p>
            <w:pPr>
              <w:jc w:val="right"/>
              <w:spacing w:after="0" w:line="155" w:lineRule="exact"/>
              <w:rPr>
                <w:sz w:val="20"/>
                <w:szCs w:val="20"/>
                <w:color w:val="auto"/>
              </w:rPr>
            </w:pPr>
            <w:r>
              <w:rPr>
                <w:rFonts w:ascii="Arial" w:cs="Arial" w:eastAsia="Arial" w:hAnsi="Arial"/>
                <w:sz w:val="14"/>
                <w:szCs w:val="14"/>
                <w:color w:val="auto"/>
              </w:rPr>
              <w:t>3,265,500</w:t>
            </w:r>
          </w:p>
        </w:tc>
        <w:tc>
          <w:tcPr>
            <w:tcW w:w="40" w:type="dxa"/>
            <w:vAlign w:val="bottom"/>
            <w:vMerge w:val="continue"/>
          </w:tcPr>
          <w:p>
            <w:pPr>
              <w:spacing w:after="0"/>
              <w:rPr>
                <w:sz w:val="13"/>
                <w:szCs w:val="13"/>
                <w:color w:val="auto"/>
              </w:rPr>
            </w:pPr>
          </w:p>
        </w:tc>
        <w:tc>
          <w:tcPr>
            <w:tcW w:w="140" w:type="dxa"/>
            <w:vAlign w:val="bottom"/>
            <w:vMerge w:val="continue"/>
          </w:tcPr>
          <w:p>
            <w:pPr>
              <w:spacing w:after="0"/>
              <w:rPr>
                <w:sz w:val="13"/>
                <w:szCs w:val="13"/>
                <w:color w:val="auto"/>
              </w:rPr>
            </w:pPr>
          </w:p>
        </w:tc>
        <w:tc>
          <w:tcPr>
            <w:tcW w:w="56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Elyria Foundry Company, L.L.C.</w:t>
            </w:r>
          </w:p>
        </w:tc>
        <w:tc>
          <w:tcPr>
            <w:tcW w:w="172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Metals</w:t>
            </w:r>
          </w:p>
        </w:tc>
        <w:tc>
          <w:tcPr>
            <w:tcW w:w="2800" w:type="dxa"/>
            <w:vAlign w:val="bottom"/>
            <w:gridSpan w:val="4"/>
            <w:shd w:val="clear" w:color="auto" w:fill="CCEEFF"/>
          </w:tcPr>
          <w:p>
            <w:pPr>
              <w:spacing w:after="0" w:line="149" w:lineRule="exact"/>
              <w:rPr>
                <w:sz w:val="20"/>
                <w:szCs w:val="20"/>
                <w:color w:val="auto"/>
              </w:rPr>
            </w:pPr>
            <w:r>
              <w:rPr>
                <w:rFonts w:ascii="Arial" w:cs="Arial" w:eastAsia="Arial" w:hAnsi="Arial"/>
                <w:sz w:val="14"/>
                <w:szCs w:val="14"/>
                <w:color w:val="auto"/>
              </w:rPr>
              <w:t>Revolver 10.00% Cash, 12/31/2020</w:t>
            </w: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w w:val="96"/>
              </w:rPr>
              <w:t>8,500,000</w:t>
            </w: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6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8,500,000</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8,500,000</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6.7%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gridSpan w:val="2"/>
            <w:vMerge w:val="restart"/>
          </w:tcPr>
          <w:p>
            <w:pPr>
              <w:jc w:val="right"/>
              <w:ind w:right="80"/>
              <w:spacing w:after="0"/>
              <w:rPr>
                <w:sz w:val="20"/>
                <w:szCs w:val="20"/>
                <w:color w:val="auto"/>
              </w:rPr>
            </w:pPr>
            <w:r>
              <w:rPr>
                <w:rFonts w:ascii="Arial" w:cs="Arial" w:eastAsia="Arial" w:hAnsi="Arial"/>
                <w:sz w:val="14"/>
                <w:szCs w:val="14"/>
                <w:color w:val="auto"/>
              </w:rPr>
              <w:t>Total Metals</w:t>
            </w: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338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gridSpan w:val="3"/>
          </w:tcPr>
          <w:p>
            <w:pPr>
              <w:jc w:val="right"/>
              <w:spacing w:after="0" w:line="155" w:lineRule="exact"/>
              <w:rPr>
                <w:sz w:val="20"/>
                <w:szCs w:val="20"/>
                <w:color w:val="auto"/>
              </w:rPr>
            </w:pPr>
            <w:r>
              <w:rPr>
                <w:rFonts w:ascii="Arial" w:cs="Arial" w:eastAsia="Arial" w:hAnsi="Arial"/>
                <w:sz w:val="14"/>
                <w:szCs w:val="14"/>
                <w:color w:val="auto"/>
                <w:w w:val="91"/>
              </w:rPr>
              <w:t>17,717,564</w:t>
            </w:r>
          </w:p>
        </w:tc>
        <w:tc>
          <w:tcPr>
            <w:tcW w:w="100" w:type="dxa"/>
            <w:vAlign w:val="bottom"/>
            <w:vMerge w:val="continue"/>
          </w:tcPr>
          <w:p>
            <w:pPr>
              <w:spacing w:after="0"/>
              <w:rPr>
                <w:sz w:val="13"/>
                <w:szCs w:val="13"/>
                <w:color w:val="auto"/>
              </w:rPr>
            </w:pPr>
          </w:p>
        </w:tc>
        <w:tc>
          <w:tcPr>
            <w:tcW w:w="80" w:type="dxa"/>
            <w:vAlign w:val="bottom"/>
            <w:vMerge w:val="continue"/>
          </w:tcPr>
          <w:p>
            <w:pPr>
              <w:spacing w:after="0"/>
              <w:rPr>
                <w:sz w:val="13"/>
                <w:szCs w:val="13"/>
                <w:color w:val="auto"/>
              </w:rPr>
            </w:pPr>
          </w:p>
        </w:tc>
        <w:tc>
          <w:tcPr>
            <w:tcW w:w="820" w:type="dxa"/>
            <w:vAlign w:val="bottom"/>
            <w:gridSpan w:val="4"/>
          </w:tcPr>
          <w:p>
            <w:pPr>
              <w:jc w:val="right"/>
              <w:spacing w:after="0" w:line="155" w:lineRule="exact"/>
              <w:rPr>
                <w:sz w:val="20"/>
                <w:szCs w:val="20"/>
                <w:color w:val="auto"/>
              </w:rPr>
            </w:pPr>
            <w:r>
              <w:rPr>
                <w:rFonts w:ascii="Arial" w:cs="Arial" w:eastAsia="Arial" w:hAnsi="Arial"/>
                <w:sz w:val="14"/>
                <w:szCs w:val="14"/>
                <w:color w:val="auto"/>
              </w:rPr>
              <w:t>11,765,500</w:t>
            </w:r>
          </w:p>
        </w:tc>
        <w:tc>
          <w:tcPr>
            <w:tcW w:w="40" w:type="dxa"/>
            <w:vAlign w:val="bottom"/>
            <w:vMerge w:val="continue"/>
          </w:tcPr>
          <w:p>
            <w:pPr>
              <w:spacing w:after="0"/>
              <w:rPr>
                <w:sz w:val="13"/>
                <w:szCs w:val="13"/>
                <w:color w:val="auto"/>
              </w:rPr>
            </w:pPr>
          </w:p>
        </w:tc>
        <w:tc>
          <w:tcPr>
            <w:tcW w:w="140" w:type="dxa"/>
            <w:vAlign w:val="bottom"/>
            <w:vMerge w:val="continue"/>
          </w:tcPr>
          <w:p>
            <w:pPr>
              <w:spacing w:after="0"/>
              <w:rPr>
                <w:sz w:val="13"/>
                <w:szCs w:val="13"/>
                <w:color w:val="auto"/>
              </w:rPr>
            </w:pPr>
          </w:p>
        </w:tc>
        <w:tc>
          <w:tcPr>
            <w:tcW w:w="56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9.3%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3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33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Avionte Holdings, LLC (g)</w:t>
            </w:r>
          </w:p>
        </w:tc>
        <w:tc>
          <w:tcPr>
            <w:tcW w:w="172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Software as a Service</w:t>
            </w:r>
          </w:p>
        </w:tc>
        <w:tc>
          <w:tcPr>
            <w:tcW w:w="18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Common Stock</w:t>
            </w:r>
          </w:p>
        </w:tc>
        <w:tc>
          <w:tcPr>
            <w:tcW w:w="9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100,000</w:t>
            </w: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6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100,000</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162,179</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80" w:type="dxa"/>
            <w:vAlign w:val="bottom"/>
          </w:tcPr>
          <w:p>
            <w:pPr>
              <w:spacing w:after="0" w:line="149" w:lineRule="exact"/>
              <w:rPr>
                <w:sz w:val="20"/>
                <w:szCs w:val="20"/>
                <w:color w:val="auto"/>
              </w:rPr>
            </w:pPr>
            <w:r>
              <w:rPr>
                <w:rFonts w:ascii="Arial" w:cs="Arial" w:eastAsia="Arial" w:hAnsi="Arial"/>
                <w:sz w:val="14"/>
                <w:szCs w:val="14"/>
                <w:color w:val="auto"/>
              </w:rPr>
              <w:t>Avionte Holdings, LLC</w:t>
            </w:r>
          </w:p>
        </w:tc>
        <w:tc>
          <w:tcPr>
            <w:tcW w:w="1720" w:type="dxa"/>
            <w:vAlign w:val="bottom"/>
          </w:tcPr>
          <w:p>
            <w:pPr>
              <w:ind w:left="80"/>
              <w:spacing w:after="0" w:line="149" w:lineRule="exact"/>
              <w:rPr>
                <w:sz w:val="20"/>
                <w:szCs w:val="20"/>
                <w:color w:val="auto"/>
              </w:rPr>
            </w:pPr>
            <w:r>
              <w:rPr>
                <w:rFonts w:ascii="Arial" w:cs="Arial" w:eastAsia="Arial" w:hAnsi="Arial"/>
                <w:sz w:val="14"/>
                <w:szCs w:val="14"/>
                <w:color w:val="auto"/>
              </w:rPr>
              <w:t>Software as a Service</w:t>
            </w:r>
          </w:p>
        </w:tc>
        <w:tc>
          <w:tcPr>
            <w:tcW w:w="2800" w:type="dxa"/>
            <w:vAlign w:val="bottom"/>
            <w:gridSpan w:val="4"/>
          </w:tcPr>
          <w:p>
            <w:pPr>
              <w:spacing w:after="0" w:line="149" w:lineRule="exact"/>
              <w:rPr>
                <w:sz w:val="20"/>
                <w:szCs w:val="20"/>
                <w:color w:val="auto"/>
              </w:rPr>
            </w:pPr>
            <w:r>
              <w:rPr>
                <w:rFonts w:ascii="Arial" w:cs="Arial" w:eastAsia="Arial" w:hAnsi="Arial"/>
                <w:sz w:val="14"/>
                <w:szCs w:val="14"/>
                <w:color w:val="auto"/>
              </w:rPr>
              <w:t>First Lien Term Loan 9.75% Cash, 1/8/2019</w:t>
            </w:r>
          </w:p>
        </w:tc>
        <w:tc>
          <w:tcPr>
            <w:tcW w:w="1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08"/>
              <w:spacing w:after="0" w:line="149" w:lineRule="exact"/>
              <w:rPr>
                <w:sz w:val="20"/>
                <w:szCs w:val="20"/>
                <w:color w:val="auto"/>
              </w:rPr>
            </w:pPr>
            <w:r>
              <w:rPr>
                <w:rFonts w:ascii="Arial" w:cs="Arial" w:eastAsia="Arial" w:hAnsi="Arial"/>
                <w:sz w:val="14"/>
                <w:szCs w:val="14"/>
                <w:color w:val="auto"/>
                <w:w w:val="96"/>
              </w:rPr>
              <w:t>2,406,342</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gridSpan w:val="4"/>
          </w:tcPr>
          <w:p>
            <w:pPr>
              <w:jc w:val="right"/>
              <w:ind w:right="100"/>
              <w:spacing w:after="0" w:line="149" w:lineRule="exact"/>
              <w:rPr>
                <w:sz w:val="20"/>
                <w:szCs w:val="20"/>
                <w:color w:val="auto"/>
              </w:rPr>
            </w:pPr>
            <w:r>
              <w:rPr>
                <w:rFonts w:ascii="Arial" w:cs="Arial" w:eastAsia="Arial" w:hAnsi="Arial"/>
                <w:sz w:val="14"/>
                <w:szCs w:val="14"/>
                <w:color w:val="auto"/>
              </w:rPr>
              <w:t>2,373,838</w:t>
            </w:r>
          </w:p>
        </w:tc>
        <w:tc>
          <w:tcPr>
            <w:tcW w:w="940" w:type="dxa"/>
            <w:vAlign w:val="bottom"/>
            <w:gridSpan w:val="6"/>
          </w:tcPr>
          <w:p>
            <w:pPr>
              <w:jc w:val="right"/>
              <w:ind w:right="40"/>
              <w:spacing w:after="0" w:line="149" w:lineRule="exact"/>
              <w:rPr>
                <w:sz w:val="20"/>
                <w:szCs w:val="20"/>
                <w:color w:val="auto"/>
              </w:rPr>
            </w:pPr>
            <w:r>
              <w:rPr>
                <w:rFonts w:ascii="Arial" w:cs="Arial" w:eastAsia="Arial" w:hAnsi="Arial"/>
                <w:sz w:val="14"/>
                <w:szCs w:val="14"/>
                <w:color w:val="auto"/>
              </w:rPr>
              <w:t>2,406,342</w:t>
            </w:r>
          </w:p>
        </w:tc>
        <w:tc>
          <w:tcPr>
            <w:tcW w:w="70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3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Censis Technologies, Inc.</w:t>
            </w:r>
          </w:p>
        </w:tc>
        <w:tc>
          <w:tcPr>
            <w:tcW w:w="1720" w:type="dxa"/>
            <w:vAlign w:val="bottom"/>
            <w:shd w:val="clear" w:color="auto" w:fill="CCEEFF"/>
          </w:tcPr>
          <w:p>
            <w:pPr>
              <w:ind w:left="80"/>
              <w:spacing w:after="0" w:line="130" w:lineRule="exact"/>
              <w:rPr>
                <w:sz w:val="20"/>
                <w:szCs w:val="20"/>
                <w:color w:val="auto"/>
              </w:rPr>
            </w:pPr>
            <w:r>
              <w:rPr>
                <w:rFonts w:ascii="Arial" w:cs="Arial" w:eastAsia="Arial" w:hAnsi="Arial"/>
                <w:sz w:val="14"/>
                <w:szCs w:val="14"/>
                <w:color w:val="auto"/>
              </w:rPr>
              <w:t>Software as a Service</w:t>
            </w:r>
          </w:p>
        </w:tc>
        <w:tc>
          <w:tcPr>
            <w:tcW w:w="2800" w:type="dxa"/>
            <w:vAlign w:val="bottom"/>
            <w:gridSpan w:val="4"/>
            <w:shd w:val="clear" w:color="auto" w:fill="CCEEFF"/>
          </w:tcPr>
          <w:p>
            <w:pPr>
              <w:spacing w:after="0" w:line="130" w:lineRule="exact"/>
              <w:rPr>
                <w:sz w:val="20"/>
                <w:szCs w:val="20"/>
                <w:color w:val="auto"/>
              </w:rPr>
            </w:pPr>
            <w:r>
              <w:rPr>
                <w:rFonts w:ascii="Arial" w:cs="Arial" w:eastAsia="Arial" w:hAnsi="Arial"/>
                <w:sz w:val="14"/>
                <w:szCs w:val="14"/>
                <w:color w:val="auto"/>
              </w:rPr>
              <w:t>First Lien Term Loan B 11.00% Cash,</w:t>
            </w:r>
          </w:p>
        </w:tc>
        <w:tc>
          <w:tcPr>
            <w:tcW w:w="1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380" w:type="dxa"/>
            <w:vAlign w:val="bottom"/>
            <w:shd w:val="clear" w:color="auto" w:fill="CCEEFF"/>
          </w:tcPr>
          <w:p>
            <w:pPr>
              <w:spacing w:after="0"/>
              <w:rPr>
                <w:sz w:val="14"/>
                <w:szCs w:val="14"/>
                <w:color w:val="auto"/>
              </w:rPr>
            </w:pPr>
          </w:p>
        </w:tc>
        <w:tc>
          <w:tcPr>
            <w:tcW w:w="172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20"/>
                <w:szCs w:val="20"/>
                <w:color w:val="auto"/>
              </w:rPr>
            </w:pPr>
            <w:r>
              <w:rPr>
                <w:rFonts w:ascii="Arial" w:cs="Arial" w:eastAsia="Arial" w:hAnsi="Arial"/>
                <w:sz w:val="14"/>
                <w:szCs w:val="14"/>
                <w:color w:val="auto"/>
              </w:rPr>
              <w:t>7/24/2019</w:t>
            </w:r>
          </w:p>
        </w:tc>
        <w:tc>
          <w:tcPr>
            <w:tcW w:w="1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940" w:type="dxa"/>
            <w:vAlign w:val="bottom"/>
            <w:gridSpan w:val="3"/>
            <w:shd w:val="clear" w:color="auto" w:fill="CCEEFF"/>
          </w:tcPr>
          <w:p>
            <w:pPr>
              <w:jc w:val="right"/>
              <w:ind w:right="108"/>
              <w:spacing w:after="0"/>
              <w:rPr>
                <w:sz w:val="20"/>
                <w:szCs w:val="20"/>
                <w:color w:val="auto"/>
              </w:rPr>
            </w:pPr>
            <w:r>
              <w:rPr>
                <w:rFonts w:ascii="Arial" w:cs="Arial" w:eastAsia="Arial" w:hAnsi="Arial"/>
                <w:sz w:val="14"/>
                <w:szCs w:val="14"/>
                <w:color w:val="auto"/>
                <w:w w:val="90"/>
              </w:rPr>
              <w:t>$ 11,625,000</w:t>
            </w: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60" w:type="dxa"/>
            <w:vAlign w:val="bottom"/>
            <w:gridSpan w:val="4"/>
            <w:shd w:val="clear" w:color="auto" w:fill="CCEEFF"/>
          </w:tcPr>
          <w:p>
            <w:pPr>
              <w:jc w:val="right"/>
              <w:ind w:right="100"/>
              <w:spacing w:after="0"/>
              <w:rPr>
                <w:sz w:val="20"/>
                <w:szCs w:val="20"/>
                <w:color w:val="auto"/>
              </w:rPr>
            </w:pPr>
            <w:r>
              <w:rPr>
                <w:rFonts w:ascii="Arial" w:cs="Arial" w:eastAsia="Arial" w:hAnsi="Arial"/>
                <w:sz w:val="14"/>
                <w:szCs w:val="14"/>
                <w:color w:val="auto"/>
                <w:w w:val="91"/>
              </w:rPr>
              <w:t>11,441,860</w:t>
            </w:r>
          </w:p>
        </w:tc>
        <w:tc>
          <w:tcPr>
            <w:tcW w:w="940" w:type="dxa"/>
            <w:vAlign w:val="bottom"/>
            <w:gridSpan w:val="6"/>
            <w:shd w:val="clear" w:color="auto" w:fill="CCEEFF"/>
          </w:tcPr>
          <w:p>
            <w:pPr>
              <w:jc w:val="right"/>
              <w:ind w:right="40"/>
              <w:spacing w:after="0"/>
              <w:rPr>
                <w:sz w:val="20"/>
                <w:szCs w:val="20"/>
                <w:color w:val="auto"/>
              </w:rPr>
            </w:pPr>
            <w:r>
              <w:rPr>
                <w:rFonts w:ascii="Arial" w:cs="Arial" w:eastAsia="Arial" w:hAnsi="Arial"/>
                <w:sz w:val="14"/>
                <w:szCs w:val="14"/>
                <w:color w:val="auto"/>
              </w:rPr>
              <w:t>11,549,437</w:t>
            </w:r>
          </w:p>
        </w:tc>
        <w:tc>
          <w:tcPr>
            <w:tcW w:w="70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9.1%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80" w:type="dxa"/>
            <w:vAlign w:val="bottom"/>
          </w:tcPr>
          <w:p>
            <w:pPr>
              <w:spacing w:after="0" w:line="149" w:lineRule="exact"/>
              <w:rPr>
                <w:sz w:val="20"/>
                <w:szCs w:val="20"/>
                <w:color w:val="auto"/>
              </w:rPr>
            </w:pPr>
            <w:r>
              <w:rPr>
                <w:rFonts w:ascii="Arial" w:cs="Arial" w:eastAsia="Arial" w:hAnsi="Arial"/>
                <w:sz w:val="14"/>
                <w:szCs w:val="14"/>
                <w:color w:val="auto"/>
              </w:rPr>
              <w:t>Censis Technologies, Inc. (g), (h)</w:t>
            </w:r>
          </w:p>
        </w:tc>
        <w:tc>
          <w:tcPr>
            <w:tcW w:w="1720" w:type="dxa"/>
            <w:vAlign w:val="bottom"/>
          </w:tcPr>
          <w:p>
            <w:pPr>
              <w:ind w:left="80"/>
              <w:spacing w:after="0" w:line="149" w:lineRule="exact"/>
              <w:rPr>
                <w:sz w:val="20"/>
                <w:szCs w:val="20"/>
                <w:color w:val="auto"/>
              </w:rPr>
            </w:pPr>
            <w:r>
              <w:rPr>
                <w:rFonts w:ascii="Arial" w:cs="Arial" w:eastAsia="Arial" w:hAnsi="Arial"/>
                <w:sz w:val="14"/>
                <w:szCs w:val="14"/>
                <w:color w:val="auto"/>
              </w:rPr>
              <w:t>Software as a Service</w:t>
            </w:r>
          </w:p>
        </w:tc>
        <w:tc>
          <w:tcPr>
            <w:tcW w:w="1840" w:type="dxa"/>
            <w:vAlign w:val="bottom"/>
            <w:gridSpan w:val="2"/>
          </w:tcPr>
          <w:p>
            <w:pPr>
              <w:spacing w:after="0" w:line="149" w:lineRule="exact"/>
              <w:rPr>
                <w:sz w:val="20"/>
                <w:szCs w:val="20"/>
                <w:color w:val="auto"/>
              </w:rPr>
            </w:pPr>
            <w:r>
              <w:rPr>
                <w:rFonts w:ascii="Arial" w:cs="Arial" w:eastAsia="Arial" w:hAnsi="Arial"/>
                <w:sz w:val="14"/>
                <w:szCs w:val="14"/>
                <w:color w:val="auto"/>
              </w:rPr>
              <w:t>Limited Partner Interests</w:t>
            </w:r>
          </w:p>
        </w:tc>
        <w:tc>
          <w:tcPr>
            <w:tcW w:w="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right"/>
              <w:ind w:right="108"/>
              <w:spacing w:after="0" w:line="149" w:lineRule="exact"/>
              <w:rPr>
                <w:sz w:val="20"/>
                <w:szCs w:val="20"/>
                <w:color w:val="auto"/>
              </w:rPr>
            </w:pPr>
            <w:r>
              <w:rPr>
                <w:rFonts w:ascii="Arial" w:cs="Arial" w:eastAsia="Arial" w:hAnsi="Arial"/>
                <w:sz w:val="14"/>
                <w:szCs w:val="14"/>
                <w:color w:val="auto"/>
              </w:rPr>
              <w:t>999</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gridSpan w:val="4"/>
          </w:tcPr>
          <w:p>
            <w:pPr>
              <w:jc w:val="right"/>
              <w:ind w:right="100"/>
              <w:spacing w:after="0" w:line="149" w:lineRule="exact"/>
              <w:rPr>
                <w:sz w:val="20"/>
                <w:szCs w:val="20"/>
                <w:color w:val="auto"/>
              </w:rPr>
            </w:pPr>
            <w:r>
              <w:rPr>
                <w:rFonts w:ascii="Arial" w:cs="Arial" w:eastAsia="Arial" w:hAnsi="Arial"/>
                <w:sz w:val="14"/>
                <w:szCs w:val="14"/>
                <w:color w:val="auto"/>
              </w:rPr>
              <w:t>999,000</w:t>
            </w:r>
          </w:p>
        </w:tc>
        <w:tc>
          <w:tcPr>
            <w:tcW w:w="940" w:type="dxa"/>
            <w:vAlign w:val="bottom"/>
            <w:gridSpan w:val="6"/>
          </w:tcPr>
          <w:p>
            <w:pPr>
              <w:jc w:val="right"/>
              <w:ind w:right="40"/>
              <w:spacing w:after="0" w:line="149" w:lineRule="exact"/>
              <w:rPr>
                <w:sz w:val="20"/>
                <w:szCs w:val="20"/>
                <w:color w:val="auto"/>
              </w:rPr>
            </w:pPr>
            <w:r>
              <w:rPr>
                <w:rFonts w:ascii="Arial" w:cs="Arial" w:eastAsia="Arial" w:hAnsi="Arial"/>
                <w:sz w:val="14"/>
                <w:szCs w:val="14"/>
                <w:color w:val="auto"/>
              </w:rPr>
              <w:t>933,306</w:t>
            </w:r>
          </w:p>
        </w:tc>
        <w:tc>
          <w:tcPr>
            <w:tcW w:w="70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0.7%</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3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Finalsite Holdings, Inc.</w:t>
            </w:r>
          </w:p>
        </w:tc>
        <w:tc>
          <w:tcPr>
            <w:tcW w:w="1720" w:type="dxa"/>
            <w:vAlign w:val="bottom"/>
            <w:shd w:val="clear" w:color="auto" w:fill="CCEEFF"/>
          </w:tcPr>
          <w:p>
            <w:pPr>
              <w:ind w:left="80"/>
              <w:spacing w:after="0" w:line="130" w:lineRule="exact"/>
              <w:rPr>
                <w:sz w:val="20"/>
                <w:szCs w:val="20"/>
                <w:color w:val="auto"/>
              </w:rPr>
            </w:pPr>
            <w:r>
              <w:rPr>
                <w:rFonts w:ascii="Arial" w:cs="Arial" w:eastAsia="Arial" w:hAnsi="Arial"/>
                <w:sz w:val="14"/>
                <w:szCs w:val="14"/>
                <w:color w:val="auto"/>
              </w:rPr>
              <w:t>Software as a Service</w:t>
            </w:r>
          </w:p>
        </w:tc>
        <w:tc>
          <w:tcPr>
            <w:tcW w:w="2800" w:type="dxa"/>
            <w:vAlign w:val="bottom"/>
            <w:gridSpan w:val="4"/>
            <w:shd w:val="clear" w:color="auto" w:fill="CCEEFF"/>
          </w:tcPr>
          <w:p>
            <w:pPr>
              <w:spacing w:after="0" w:line="130" w:lineRule="exact"/>
              <w:rPr>
                <w:sz w:val="20"/>
                <w:szCs w:val="20"/>
                <w:color w:val="auto"/>
              </w:rPr>
            </w:pPr>
            <w:r>
              <w:rPr>
                <w:rFonts w:ascii="Arial" w:cs="Arial" w:eastAsia="Arial" w:hAnsi="Arial"/>
                <w:sz w:val="14"/>
                <w:szCs w:val="14"/>
                <w:color w:val="auto"/>
              </w:rPr>
              <w:t>Second Lien Term Loan 10.25% Cash,</w:t>
            </w:r>
          </w:p>
        </w:tc>
        <w:tc>
          <w:tcPr>
            <w:tcW w:w="1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380" w:type="dxa"/>
            <w:vAlign w:val="bottom"/>
            <w:shd w:val="clear" w:color="auto" w:fill="CCEEFF"/>
          </w:tcPr>
          <w:p>
            <w:pPr>
              <w:spacing w:after="0"/>
              <w:rPr>
                <w:sz w:val="14"/>
                <w:szCs w:val="14"/>
                <w:color w:val="auto"/>
              </w:rPr>
            </w:pPr>
          </w:p>
        </w:tc>
        <w:tc>
          <w:tcPr>
            <w:tcW w:w="172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20"/>
                <w:szCs w:val="20"/>
                <w:color w:val="auto"/>
              </w:rPr>
            </w:pPr>
            <w:r>
              <w:rPr>
                <w:rFonts w:ascii="Arial" w:cs="Arial" w:eastAsia="Arial" w:hAnsi="Arial"/>
                <w:sz w:val="14"/>
                <w:szCs w:val="14"/>
                <w:color w:val="auto"/>
              </w:rPr>
              <w:t>11/21/2019</w:t>
            </w:r>
          </w:p>
        </w:tc>
        <w:tc>
          <w:tcPr>
            <w:tcW w:w="1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08"/>
              <w:spacing w:after="0"/>
              <w:rPr>
                <w:sz w:val="20"/>
                <w:szCs w:val="20"/>
                <w:color w:val="auto"/>
              </w:rPr>
            </w:pPr>
            <w:r>
              <w:rPr>
                <w:rFonts w:ascii="Arial" w:cs="Arial" w:eastAsia="Arial" w:hAnsi="Arial"/>
                <w:sz w:val="14"/>
                <w:szCs w:val="14"/>
                <w:color w:val="auto"/>
                <w:w w:val="96"/>
              </w:rPr>
              <w:t>7,500,000</w:t>
            </w: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60" w:type="dxa"/>
            <w:vAlign w:val="bottom"/>
            <w:gridSpan w:val="4"/>
            <w:shd w:val="clear" w:color="auto" w:fill="CCEEFF"/>
          </w:tcPr>
          <w:p>
            <w:pPr>
              <w:jc w:val="right"/>
              <w:ind w:right="100"/>
              <w:spacing w:after="0"/>
              <w:rPr>
                <w:sz w:val="20"/>
                <w:szCs w:val="20"/>
                <w:color w:val="auto"/>
              </w:rPr>
            </w:pPr>
            <w:r>
              <w:rPr>
                <w:rFonts w:ascii="Arial" w:cs="Arial" w:eastAsia="Arial" w:hAnsi="Arial"/>
                <w:sz w:val="14"/>
                <w:szCs w:val="14"/>
                <w:color w:val="auto"/>
              </w:rPr>
              <w:t>7,438,341</w:t>
            </w:r>
          </w:p>
        </w:tc>
        <w:tc>
          <w:tcPr>
            <w:tcW w:w="940" w:type="dxa"/>
            <w:vAlign w:val="bottom"/>
            <w:gridSpan w:val="6"/>
            <w:shd w:val="clear" w:color="auto" w:fill="CCEEFF"/>
          </w:tcPr>
          <w:p>
            <w:pPr>
              <w:jc w:val="right"/>
              <w:ind w:right="40"/>
              <w:spacing w:after="0"/>
              <w:rPr>
                <w:sz w:val="20"/>
                <w:szCs w:val="20"/>
                <w:color w:val="auto"/>
              </w:rPr>
            </w:pPr>
            <w:r>
              <w:rPr>
                <w:rFonts w:ascii="Arial" w:cs="Arial" w:eastAsia="Arial" w:hAnsi="Arial"/>
                <w:sz w:val="14"/>
                <w:szCs w:val="14"/>
                <w:color w:val="auto"/>
              </w:rPr>
              <w:t>7,500,000</w:t>
            </w:r>
          </w:p>
        </w:tc>
        <w:tc>
          <w:tcPr>
            <w:tcW w:w="70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5.9%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80" w:type="dxa"/>
            <w:vAlign w:val="bottom"/>
          </w:tcPr>
          <w:p>
            <w:pPr>
              <w:spacing w:after="0" w:line="149" w:lineRule="exact"/>
              <w:rPr>
                <w:sz w:val="20"/>
                <w:szCs w:val="20"/>
                <w:color w:val="auto"/>
              </w:rPr>
            </w:pPr>
            <w:r>
              <w:rPr>
                <w:rFonts w:ascii="Arial" w:cs="Arial" w:eastAsia="Arial" w:hAnsi="Arial"/>
                <w:sz w:val="14"/>
                <w:szCs w:val="14"/>
                <w:color w:val="auto"/>
              </w:rPr>
              <w:t>Identity Automation Systems (g)</w:t>
            </w:r>
          </w:p>
        </w:tc>
        <w:tc>
          <w:tcPr>
            <w:tcW w:w="1720" w:type="dxa"/>
            <w:vAlign w:val="bottom"/>
          </w:tcPr>
          <w:p>
            <w:pPr>
              <w:ind w:left="80"/>
              <w:spacing w:after="0" w:line="149" w:lineRule="exact"/>
              <w:rPr>
                <w:sz w:val="20"/>
                <w:szCs w:val="20"/>
                <w:color w:val="auto"/>
              </w:rPr>
            </w:pPr>
            <w:r>
              <w:rPr>
                <w:rFonts w:ascii="Arial" w:cs="Arial" w:eastAsia="Arial" w:hAnsi="Arial"/>
                <w:sz w:val="14"/>
                <w:szCs w:val="14"/>
                <w:color w:val="auto"/>
              </w:rPr>
              <w:t>Software as a Service</w:t>
            </w:r>
          </w:p>
        </w:tc>
        <w:tc>
          <w:tcPr>
            <w:tcW w:w="1840" w:type="dxa"/>
            <w:vAlign w:val="bottom"/>
            <w:gridSpan w:val="2"/>
          </w:tcPr>
          <w:p>
            <w:pPr>
              <w:spacing w:after="0" w:line="149" w:lineRule="exact"/>
              <w:rPr>
                <w:sz w:val="20"/>
                <w:szCs w:val="20"/>
                <w:color w:val="auto"/>
              </w:rPr>
            </w:pPr>
            <w:r>
              <w:rPr>
                <w:rFonts w:ascii="Arial" w:cs="Arial" w:eastAsia="Arial" w:hAnsi="Arial"/>
                <w:sz w:val="14"/>
                <w:szCs w:val="14"/>
                <w:color w:val="auto"/>
                <w:w w:val="99"/>
              </w:rPr>
              <w:t>Common Stock Class A Units</w:t>
            </w:r>
          </w:p>
        </w:tc>
        <w:tc>
          <w:tcPr>
            <w:tcW w:w="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right"/>
              <w:ind w:right="108"/>
              <w:spacing w:after="0" w:line="149" w:lineRule="exact"/>
              <w:rPr>
                <w:sz w:val="20"/>
                <w:szCs w:val="20"/>
                <w:color w:val="auto"/>
              </w:rPr>
            </w:pPr>
            <w:r>
              <w:rPr>
                <w:rFonts w:ascii="Arial" w:cs="Arial" w:eastAsia="Arial" w:hAnsi="Arial"/>
                <w:sz w:val="14"/>
                <w:szCs w:val="14"/>
                <w:color w:val="auto"/>
              </w:rPr>
              <w:t>232,616</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gridSpan w:val="4"/>
          </w:tcPr>
          <w:p>
            <w:pPr>
              <w:jc w:val="right"/>
              <w:ind w:right="100"/>
              <w:spacing w:after="0" w:line="149" w:lineRule="exact"/>
              <w:rPr>
                <w:sz w:val="20"/>
                <w:szCs w:val="20"/>
                <w:color w:val="auto"/>
              </w:rPr>
            </w:pPr>
            <w:r>
              <w:rPr>
                <w:rFonts w:ascii="Arial" w:cs="Arial" w:eastAsia="Arial" w:hAnsi="Arial"/>
                <w:sz w:val="14"/>
                <w:szCs w:val="14"/>
                <w:color w:val="auto"/>
              </w:rPr>
              <w:t>232,616</w:t>
            </w:r>
          </w:p>
        </w:tc>
        <w:tc>
          <w:tcPr>
            <w:tcW w:w="940" w:type="dxa"/>
            <w:vAlign w:val="bottom"/>
            <w:gridSpan w:val="6"/>
          </w:tcPr>
          <w:p>
            <w:pPr>
              <w:jc w:val="right"/>
              <w:ind w:right="40"/>
              <w:spacing w:after="0" w:line="149" w:lineRule="exact"/>
              <w:rPr>
                <w:sz w:val="20"/>
                <w:szCs w:val="20"/>
                <w:color w:val="auto"/>
              </w:rPr>
            </w:pPr>
            <w:r>
              <w:rPr>
                <w:rFonts w:ascii="Arial" w:cs="Arial" w:eastAsia="Arial" w:hAnsi="Arial"/>
                <w:sz w:val="14"/>
                <w:szCs w:val="14"/>
                <w:color w:val="auto"/>
              </w:rPr>
              <w:t>239,594</w:t>
            </w:r>
          </w:p>
        </w:tc>
        <w:tc>
          <w:tcPr>
            <w:tcW w:w="70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Identity Automation Systems</w:t>
            </w:r>
          </w:p>
        </w:tc>
        <w:tc>
          <w:tcPr>
            <w:tcW w:w="172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Software as a Service</w:t>
            </w:r>
          </w:p>
        </w:tc>
        <w:tc>
          <w:tcPr>
            <w:tcW w:w="2800" w:type="dxa"/>
            <w:vAlign w:val="bottom"/>
            <w:gridSpan w:val="4"/>
            <w:shd w:val="clear" w:color="auto" w:fill="CCEEFF"/>
          </w:tcPr>
          <w:p>
            <w:pPr>
              <w:spacing w:after="0" w:line="149" w:lineRule="exact"/>
              <w:rPr>
                <w:sz w:val="20"/>
                <w:szCs w:val="20"/>
                <w:color w:val="auto"/>
              </w:rPr>
            </w:pPr>
            <w:r>
              <w:rPr>
                <w:rFonts w:ascii="Arial" w:cs="Arial" w:eastAsia="Arial" w:hAnsi="Arial"/>
                <w:sz w:val="14"/>
                <w:szCs w:val="14"/>
                <w:color w:val="auto"/>
                <w:w w:val="96"/>
              </w:rPr>
              <w:t>First Lien Term Loan 10.25% Cash, 8/25/2019</w:t>
            </w: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w w:val="96"/>
              </w:rPr>
              <w:t>4,400,000</w:t>
            </w: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60" w:type="dxa"/>
            <w:vAlign w:val="bottom"/>
            <w:gridSpan w:val="4"/>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4,364,787</w:t>
            </w:r>
          </w:p>
        </w:tc>
        <w:tc>
          <w:tcPr>
            <w:tcW w:w="940" w:type="dxa"/>
            <w:vAlign w:val="bottom"/>
            <w:gridSpan w:val="6"/>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4,400,000</w:t>
            </w:r>
          </w:p>
        </w:tc>
        <w:tc>
          <w:tcPr>
            <w:tcW w:w="70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80" w:type="dxa"/>
            <w:vAlign w:val="bottom"/>
          </w:tcPr>
          <w:p>
            <w:pPr>
              <w:spacing w:after="0" w:line="149" w:lineRule="exact"/>
              <w:rPr>
                <w:sz w:val="20"/>
                <w:szCs w:val="20"/>
                <w:color w:val="auto"/>
              </w:rPr>
            </w:pPr>
            <w:r>
              <w:rPr>
                <w:rFonts w:ascii="Arial" w:cs="Arial" w:eastAsia="Arial" w:hAnsi="Arial"/>
                <w:sz w:val="14"/>
                <w:szCs w:val="14"/>
                <w:color w:val="auto"/>
              </w:rPr>
              <w:t>Mercury Network, LLC</w:t>
            </w:r>
          </w:p>
        </w:tc>
        <w:tc>
          <w:tcPr>
            <w:tcW w:w="1720" w:type="dxa"/>
            <w:vAlign w:val="bottom"/>
          </w:tcPr>
          <w:p>
            <w:pPr>
              <w:ind w:left="80"/>
              <w:spacing w:after="0" w:line="149" w:lineRule="exact"/>
              <w:rPr>
                <w:sz w:val="20"/>
                <w:szCs w:val="20"/>
                <w:color w:val="auto"/>
              </w:rPr>
            </w:pPr>
            <w:r>
              <w:rPr>
                <w:rFonts w:ascii="Arial" w:cs="Arial" w:eastAsia="Arial" w:hAnsi="Arial"/>
                <w:sz w:val="14"/>
                <w:szCs w:val="14"/>
                <w:color w:val="auto"/>
              </w:rPr>
              <w:t>Software as a Service</w:t>
            </w:r>
          </w:p>
        </w:tc>
        <w:tc>
          <w:tcPr>
            <w:tcW w:w="2800" w:type="dxa"/>
            <w:vAlign w:val="bottom"/>
            <w:gridSpan w:val="4"/>
          </w:tcPr>
          <w:p>
            <w:pPr>
              <w:spacing w:after="0" w:line="149" w:lineRule="exact"/>
              <w:rPr>
                <w:sz w:val="20"/>
                <w:szCs w:val="20"/>
                <w:color w:val="auto"/>
              </w:rPr>
            </w:pPr>
            <w:r>
              <w:rPr>
                <w:rFonts w:ascii="Arial" w:cs="Arial" w:eastAsia="Arial" w:hAnsi="Arial"/>
                <w:sz w:val="14"/>
                <w:szCs w:val="14"/>
                <w:color w:val="auto"/>
                <w:w w:val="96"/>
              </w:rPr>
              <w:t>First Lien Term Loan 10.25% Cash, 4/20/2020</w:t>
            </w:r>
          </w:p>
        </w:tc>
        <w:tc>
          <w:tcPr>
            <w:tcW w:w="1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08"/>
              <w:spacing w:after="0" w:line="149" w:lineRule="exact"/>
              <w:rPr>
                <w:sz w:val="20"/>
                <w:szCs w:val="20"/>
                <w:color w:val="auto"/>
              </w:rPr>
            </w:pPr>
            <w:r>
              <w:rPr>
                <w:rFonts w:ascii="Arial" w:cs="Arial" w:eastAsia="Arial" w:hAnsi="Arial"/>
                <w:sz w:val="14"/>
                <w:szCs w:val="14"/>
                <w:color w:val="auto"/>
                <w:w w:val="96"/>
              </w:rPr>
              <w:t>9,045,653</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gridSpan w:val="4"/>
          </w:tcPr>
          <w:p>
            <w:pPr>
              <w:jc w:val="right"/>
              <w:ind w:right="100"/>
              <w:spacing w:after="0" w:line="149" w:lineRule="exact"/>
              <w:rPr>
                <w:sz w:val="20"/>
                <w:szCs w:val="20"/>
                <w:color w:val="auto"/>
              </w:rPr>
            </w:pPr>
            <w:r>
              <w:rPr>
                <w:rFonts w:ascii="Arial" w:cs="Arial" w:eastAsia="Arial" w:hAnsi="Arial"/>
                <w:sz w:val="14"/>
                <w:szCs w:val="14"/>
                <w:color w:val="auto"/>
              </w:rPr>
              <w:t>8,961,339</w:t>
            </w:r>
          </w:p>
        </w:tc>
        <w:tc>
          <w:tcPr>
            <w:tcW w:w="940" w:type="dxa"/>
            <w:vAlign w:val="bottom"/>
            <w:gridSpan w:val="6"/>
          </w:tcPr>
          <w:p>
            <w:pPr>
              <w:jc w:val="right"/>
              <w:ind w:right="40"/>
              <w:spacing w:after="0" w:line="149" w:lineRule="exact"/>
              <w:rPr>
                <w:sz w:val="20"/>
                <w:szCs w:val="20"/>
                <w:color w:val="auto"/>
              </w:rPr>
            </w:pPr>
            <w:r>
              <w:rPr>
                <w:rFonts w:ascii="Arial" w:cs="Arial" w:eastAsia="Arial" w:hAnsi="Arial"/>
                <w:sz w:val="14"/>
                <w:szCs w:val="14"/>
                <w:color w:val="auto"/>
              </w:rPr>
              <w:t>9,045,653</w:t>
            </w:r>
          </w:p>
        </w:tc>
        <w:tc>
          <w:tcPr>
            <w:tcW w:w="70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7.1%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Mercury Network, LLC (g)</w:t>
            </w:r>
          </w:p>
        </w:tc>
        <w:tc>
          <w:tcPr>
            <w:tcW w:w="172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Software as a Service</w:t>
            </w:r>
          </w:p>
        </w:tc>
        <w:tc>
          <w:tcPr>
            <w:tcW w:w="18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Common Stock</w:t>
            </w:r>
          </w:p>
        </w:tc>
        <w:tc>
          <w:tcPr>
            <w:tcW w:w="9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413,043</w:t>
            </w: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6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413,043</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413,043</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800" w:type="dxa"/>
            <w:vAlign w:val="bottom"/>
            <w:gridSpan w:val="4"/>
            <w:vMerge w:val="restart"/>
          </w:tcPr>
          <w:p>
            <w:pPr>
              <w:jc w:val="right"/>
              <w:ind w:right="80"/>
              <w:spacing w:after="0"/>
              <w:rPr>
                <w:sz w:val="20"/>
                <w:szCs w:val="20"/>
                <w:color w:val="auto"/>
              </w:rPr>
            </w:pPr>
            <w:r>
              <w:rPr>
                <w:rFonts w:ascii="Arial" w:cs="Arial" w:eastAsia="Arial" w:hAnsi="Arial"/>
                <w:sz w:val="14"/>
                <w:szCs w:val="14"/>
                <w:color w:val="auto"/>
              </w:rPr>
              <w:t>Total Software as a Service</w:t>
            </w: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338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2800" w:type="dxa"/>
            <w:vAlign w:val="bottom"/>
            <w:gridSpan w:val="4"/>
            <w:vMerge w:val="continue"/>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gridSpan w:val="3"/>
          </w:tcPr>
          <w:p>
            <w:pPr>
              <w:jc w:val="right"/>
              <w:spacing w:after="0" w:line="155" w:lineRule="exact"/>
              <w:rPr>
                <w:sz w:val="20"/>
                <w:szCs w:val="20"/>
                <w:color w:val="auto"/>
              </w:rPr>
            </w:pPr>
            <w:r>
              <w:rPr>
                <w:rFonts w:ascii="Arial" w:cs="Arial" w:eastAsia="Arial" w:hAnsi="Arial"/>
                <w:sz w:val="14"/>
                <w:szCs w:val="14"/>
                <w:color w:val="auto"/>
                <w:w w:val="91"/>
              </w:rPr>
              <w:t>36,324,824</w:t>
            </w:r>
          </w:p>
        </w:tc>
        <w:tc>
          <w:tcPr>
            <w:tcW w:w="100" w:type="dxa"/>
            <w:vAlign w:val="bottom"/>
            <w:vMerge w:val="continue"/>
          </w:tcPr>
          <w:p>
            <w:pPr>
              <w:spacing w:after="0"/>
              <w:rPr>
                <w:sz w:val="13"/>
                <w:szCs w:val="13"/>
                <w:color w:val="auto"/>
              </w:rPr>
            </w:pPr>
          </w:p>
        </w:tc>
        <w:tc>
          <w:tcPr>
            <w:tcW w:w="80" w:type="dxa"/>
            <w:vAlign w:val="bottom"/>
            <w:vMerge w:val="continue"/>
          </w:tcPr>
          <w:p>
            <w:pPr>
              <w:spacing w:after="0"/>
              <w:rPr>
                <w:sz w:val="13"/>
                <w:szCs w:val="13"/>
                <w:color w:val="auto"/>
              </w:rPr>
            </w:pPr>
          </w:p>
        </w:tc>
        <w:tc>
          <w:tcPr>
            <w:tcW w:w="820" w:type="dxa"/>
            <w:vAlign w:val="bottom"/>
            <w:gridSpan w:val="4"/>
          </w:tcPr>
          <w:p>
            <w:pPr>
              <w:jc w:val="right"/>
              <w:spacing w:after="0" w:line="155" w:lineRule="exact"/>
              <w:rPr>
                <w:sz w:val="20"/>
                <w:szCs w:val="20"/>
                <w:color w:val="auto"/>
              </w:rPr>
            </w:pPr>
            <w:r>
              <w:rPr>
                <w:rFonts w:ascii="Arial" w:cs="Arial" w:eastAsia="Arial" w:hAnsi="Arial"/>
                <w:sz w:val="14"/>
                <w:szCs w:val="14"/>
                <w:color w:val="auto"/>
              </w:rPr>
              <w:t>36,649,554</w:t>
            </w:r>
          </w:p>
        </w:tc>
        <w:tc>
          <w:tcPr>
            <w:tcW w:w="40" w:type="dxa"/>
            <w:vAlign w:val="bottom"/>
            <w:vMerge w:val="continue"/>
          </w:tcPr>
          <w:p>
            <w:pPr>
              <w:spacing w:after="0"/>
              <w:rPr>
                <w:sz w:val="13"/>
                <w:szCs w:val="13"/>
                <w:color w:val="auto"/>
              </w:rPr>
            </w:pPr>
          </w:p>
        </w:tc>
        <w:tc>
          <w:tcPr>
            <w:tcW w:w="140" w:type="dxa"/>
            <w:vAlign w:val="bottom"/>
            <w:vMerge w:val="continue"/>
          </w:tcPr>
          <w:p>
            <w:pPr>
              <w:spacing w:after="0"/>
              <w:rPr>
                <w:sz w:val="13"/>
                <w:szCs w:val="13"/>
                <w:color w:val="auto"/>
              </w:rPr>
            </w:pPr>
          </w:p>
        </w:tc>
        <w:tc>
          <w:tcPr>
            <w:tcW w:w="56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28.8%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3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33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Sub Total Non-control/Non-affiliated investments</w:t>
            </w:r>
          </w:p>
        </w:tc>
        <w:tc>
          <w:tcPr>
            <w:tcW w:w="1720" w:type="dxa"/>
            <w:vAlign w:val="bottom"/>
            <w:shd w:val="clear" w:color="auto" w:fill="CCEEFF"/>
          </w:tcPr>
          <w:p>
            <w:pPr>
              <w:spacing w:after="0"/>
              <w:rPr>
                <w:sz w:val="12"/>
                <w:szCs w:val="12"/>
                <w:color w:val="auto"/>
              </w:rPr>
            </w:pPr>
          </w:p>
        </w:tc>
        <w:tc>
          <w:tcPr>
            <w:tcW w:w="16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spacing w:after="0"/>
              <w:rPr>
                <w:sz w:val="12"/>
                <w:szCs w:val="12"/>
                <w:color w:val="auto"/>
              </w:rPr>
            </w:pPr>
          </w:p>
        </w:tc>
        <w:tc>
          <w:tcPr>
            <w:tcW w:w="820" w:type="dxa"/>
            <w:vAlign w:val="bottom"/>
            <w:gridSpan w:val="5"/>
            <w:shd w:val="clear" w:color="auto" w:fill="CCEEFF"/>
          </w:tcPr>
          <w:p>
            <w:pPr>
              <w:jc w:val="right"/>
              <w:spacing w:after="0" w:line="149" w:lineRule="exact"/>
              <w:rPr>
                <w:sz w:val="20"/>
                <w:szCs w:val="20"/>
                <w:color w:val="auto"/>
              </w:rPr>
            </w:pPr>
            <w:r>
              <w:rPr>
                <w:rFonts w:ascii="Arial" w:cs="Arial" w:eastAsia="Arial" w:hAnsi="Arial"/>
                <w:sz w:val="14"/>
                <w:szCs w:val="14"/>
                <w:color w:val="auto"/>
              </w:rPr>
              <w:t>225,051,428</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225,261,956</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177.0%</w:t>
            </w:r>
          </w:p>
        </w:tc>
        <w:tc>
          <w:tcPr>
            <w:tcW w:w="0" w:type="dxa"/>
            <w:vAlign w:val="bottom"/>
          </w:tcPr>
          <w:p>
            <w:pPr>
              <w:spacing w:after="0"/>
              <w:rPr>
                <w:sz w:val="1"/>
                <w:szCs w:val="1"/>
                <w:color w:val="auto"/>
              </w:rPr>
            </w:pPr>
          </w:p>
        </w:tc>
      </w:tr>
      <w:tr>
        <w:trPr>
          <w:trHeight w:val="156"/>
        </w:trPr>
        <w:tc>
          <w:tcPr>
            <w:tcW w:w="340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Control investments - 12.4% (b)</w:t>
            </w:r>
          </w:p>
        </w:tc>
        <w:tc>
          <w:tcPr>
            <w:tcW w:w="172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3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5"/>
              </w:rPr>
              <w:t>Saratoga Investment Corp. CLO 2013-1, Ltd. (a), (d), (e),</w:t>
            </w:r>
          </w:p>
        </w:tc>
        <w:tc>
          <w:tcPr>
            <w:tcW w:w="1720" w:type="dxa"/>
            <w:vAlign w:val="bottom"/>
            <w:shd w:val="clear" w:color="auto" w:fill="CCEEFF"/>
          </w:tcPr>
          <w:p>
            <w:pPr>
              <w:ind w:left="80"/>
              <w:spacing w:after="0" w:line="130" w:lineRule="exact"/>
              <w:rPr>
                <w:sz w:val="20"/>
                <w:szCs w:val="20"/>
                <w:color w:val="auto"/>
              </w:rPr>
            </w:pPr>
            <w:r>
              <w:rPr>
                <w:rFonts w:ascii="Arial" w:cs="Arial" w:eastAsia="Arial" w:hAnsi="Arial"/>
                <w:sz w:val="14"/>
                <w:szCs w:val="14"/>
                <w:color w:val="auto"/>
              </w:rPr>
              <w:t>Structured Finance</w:t>
            </w:r>
          </w:p>
        </w:tc>
        <w:tc>
          <w:tcPr>
            <w:tcW w:w="2800" w:type="dxa"/>
            <w:vAlign w:val="bottom"/>
            <w:gridSpan w:val="4"/>
            <w:shd w:val="clear" w:color="auto" w:fill="CCEEFF"/>
          </w:tcPr>
          <w:p>
            <w:pPr>
              <w:spacing w:after="0" w:line="130" w:lineRule="exact"/>
              <w:rPr>
                <w:sz w:val="20"/>
                <w:szCs w:val="20"/>
                <w:color w:val="auto"/>
              </w:rPr>
            </w:pPr>
            <w:r>
              <w:rPr>
                <w:rFonts w:ascii="Arial" w:cs="Arial" w:eastAsia="Arial" w:hAnsi="Arial"/>
                <w:sz w:val="14"/>
                <w:szCs w:val="14"/>
                <w:color w:val="auto"/>
              </w:rPr>
              <w:t>Other/Structured Finance Securities 21.81%,</w:t>
            </w:r>
          </w:p>
        </w:tc>
        <w:tc>
          <w:tcPr>
            <w:tcW w:w="1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3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(f)</w:t>
            </w:r>
          </w:p>
        </w:tc>
        <w:tc>
          <w:tcPr>
            <w:tcW w:w="1720" w:type="dxa"/>
            <w:vAlign w:val="bottom"/>
            <w:shd w:val="clear" w:color="auto" w:fill="CCEEFF"/>
          </w:tcPr>
          <w:p>
            <w:pPr>
              <w:ind w:left="80"/>
              <w:spacing w:after="0"/>
              <w:rPr>
                <w:sz w:val="20"/>
                <w:szCs w:val="20"/>
                <w:color w:val="auto"/>
              </w:rPr>
            </w:pPr>
            <w:r>
              <w:rPr>
                <w:rFonts w:ascii="Arial" w:cs="Arial" w:eastAsia="Arial" w:hAnsi="Arial"/>
                <w:sz w:val="14"/>
                <w:szCs w:val="14"/>
                <w:color w:val="auto"/>
              </w:rPr>
              <w:t>Securities</w:t>
            </w:r>
          </w:p>
        </w:tc>
        <w:tc>
          <w:tcPr>
            <w:tcW w:w="1660" w:type="dxa"/>
            <w:vAlign w:val="bottom"/>
            <w:shd w:val="clear" w:color="auto" w:fill="CCEEFF"/>
          </w:tcPr>
          <w:p>
            <w:pPr>
              <w:spacing w:after="0"/>
              <w:rPr>
                <w:sz w:val="20"/>
                <w:szCs w:val="20"/>
                <w:color w:val="auto"/>
              </w:rPr>
            </w:pPr>
            <w:r>
              <w:rPr>
                <w:rFonts w:ascii="Arial" w:cs="Arial" w:eastAsia="Arial" w:hAnsi="Arial"/>
                <w:sz w:val="14"/>
                <w:szCs w:val="14"/>
                <w:color w:val="auto"/>
              </w:rPr>
              <w:t>10/17/2023</w:t>
            </w:r>
          </w:p>
        </w:tc>
        <w:tc>
          <w:tcPr>
            <w:tcW w:w="1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940" w:type="dxa"/>
            <w:vAlign w:val="bottom"/>
            <w:gridSpan w:val="3"/>
            <w:shd w:val="clear" w:color="auto" w:fill="CCEEFF"/>
          </w:tcPr>
          <w:p>
            <w:pPr>
              <w:jc w:val="right"/>
              <w:ind w:right="108"/>
              <w:spacing w:after="0"/>
              <w:rPr>
                <w:sz w:val="20"/>
                <w:szCs w:val="20"/>
                <w:color w:val="auto"/>
              </w:rPr>
            </w:pPr>
            <w:r>
              <w:rPr>
                <w:rFonts w:ascii="Arial" w:cs="Arial" w:eastAsia="Arial" w:hAnsi="Arial"/>
                <w:sz w:val="14"/>
                <w:szCs w:val="14"/>
                <w:color w:val="auto"/>
                <w:w w:val="95"/>
              </w:rPr>
              <w:t>$30,000,000</w:t>
            </w: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w w:val="91"/>
              </w:rPr>
              <w:t>13,667,666</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gridSpan w:val="4"/>
            <w:shd w:val="clear" w:color="auto" w:fill="CCEEFF"/>
          </w:tcPr>
          <w:p>
            <w:pPr>
              <w:jc w:val="right"/>
              <w:spacing w:after="0"/>
              <w:rPr>
                <w:sz w:val="20"/>
                <w:szCs w:val="20"/>
                <w:color w:val="auto"/>
              </w:rPr>
            </w:pPr>
            <w:r>
              <w:rPr>
                <w:rFonts w:ascii="Arial" w:cs="Arial" w:eastAsia="Arial" w:hAnsi="Arial"/>
                <w:sz w:val="14"/>
                <w:szCs w:val="14"/>
                <w:color w:val="auto"/>
              </w:rPr>
              <w:t>15,775,843</w:t>
            </w: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12.4%</w:t>
            </w:r>
          </w:p>
        </w:tc>
        <w:tc>
          <w:tcPr>
            <w:tcW w:w="0" w:type="dxa"/>
            <w:vAlign w:val="bottom"/>
          </w:tcPr>
          <w:p>
            <w:pPr>
              <w:spacing w:after="0"/>
              <w:rPr>
                <w:sz w:val="1"/>
                <w:szCs w:val="1"/>
                <w:color w:val="auto"/>
              </w:rPr>
            </w:pPr>
          </w:p>
        </w:tc>
      </w:tr>
      <w:tr>
        <w:trPr>
          <w:trHeight w:val="20"/>
        </w:trPr>
        <w:tc>
          <w:tcPr>
            <w:tcW w:w="34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Sub Total Control investments</w:t>
            </w:r>
          </w:p>
        </w:tc>
        <w:tc>
          <w:tcPr>
            <w:tcW w:w="17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400" w:type="dxa"/>
            <w:vAlign w:val="bottom"/>
            <w:gridSpan w:val="2"/>
            <w:vMerge w:val="continue"/>
          </w:tcPr>
          <w:p>
            <w:pPr>
              <w:spacing w:after="0"/>
              <w:rPr>
                <w:sz w:val="13"/>
                <w:szCs w:val="13"/>
                <w:color w:val="auto"/>
              </w:rPr>
            </w:pPr>
          </w:p>
        </w:tc>
        <w:tc>
          <w:tcPr>
            <w:tcW w:w="172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gridSpan w:val="3"/>
          </w:tcPr>
          <w:p>
            <w:pPr>
              <w:jc w:val="right"/>
              <w:spacing w:after="0" w:line="155" w:lineRule="exact"/>
              <w:rPr>
                <w:sz w:val="20"/>
                <w:szCs w:val="20"/>
                <w:color w:val="auto"/>
              </w:rPr>
            </w:pPr>
            <w:r>
              <w:rPr>
                <w:rFonts w:ascii="Arial" w:cs="Arial" w:eastAsia="Arial" w:hAnsi="Arial"/>
                <w:sz w:val="14"/>
                <w:szCs w:val="14"/>
                <w:color w:val="auto"/>
                <w:w w:val="91"/>
              </w:rPr>
              <w:t>13,667,666</w:t>
            </w:r>
          </w:p>
        </w:tc>
        <w:tc>
          <w:tcPr>
            <w:tcW w:w="100" w:type="dxa"/>
            <w:vAlign w:val="bottom"/>
            <w:vMerge w:val="continue"/>
          </w:tcPr>
          <w:p>
            <w:pPr>
              <w:spacing w:after="0"/>
              <w:rPr>
                <w:sz w:val="13"/>
                <w:szCs w:val="13"/>
                <w:color w:val="auto"/>
              </w:rPr>
            </w:pPr>
          </w:p>
        </w:tc>
        <w:tc>
          <w:tcPr>
            <w:tcW w:w="80" w:type="dxa"/>
            <w:vAlign w:val="bottom"/>
            <w:vMerge w:val="continue"/>
          </w:tcPr>
          <w:p>
            <w:pPr>
              <w:spacing w:after="0"/>
              <w:rPr>
                <w:sz w:val="13"/>
                <w:szCs w:val="13"/>
                <w:color w:val="auto"/>
              </w:rPr>
            </w:pPr>
          </w:p>
        </w:tc>
        <w:tc>
          <w:tcPr>
            <w:tcW w:w="820" w:type="dxa"/>
            <w:vAlign w:val="bottom"/>
            <w:gridSpan w:val="4"/>
          </w:tcPr>
          <w:p>
            <w:pPr>
              <w:jc w:val="right"/>
              <w:spacing w:after="0" w:line="155" w:lineRule="exact"/>
              <w:rPr>
                <w:sz w:val="20"/>
                <w:szCs w:val="20"/>
                <w:color w:val="auto"/>
              </w:rPr>
            </w:pPr>
            <w:r>
              <w:rPr>
                <w:rFonts w:ascii="Arial" w:cs="Arial" w:eastAsia="Arial" w:hAnsi="Arial"/>
                <w:sz w:val="14"/>
                <w:szCs w:val="14"/>
                <w:color w:val="auto"/>
              </w:rPr>
              <w:t>15,775,843</w:t>
            </w:r>
          </w:p>
        </w:tc>
        <w:tc>
          <w:tcPr>
            <w:tcW w:w="40" w:type="dxa"/>
            <w:vAlign w:val="bottom"/>
            <w:vMerge w:val="continue"/>
          </w:tcPr>
          <w:p>
            <w:pPr>
              <w:spacing w:after="0"/>
              <w:rPr>
                <w:sz w:val="13"/>
                <w:szCs w:val="13"/>
                <w:color w:val="auto"/>
              </w:rPr>
            </w:pPr>
          </w:p>
        </w:tc>
        <w:tc>
          <w:tcPr>
            <w:tcW w:w="140" w:type="dxa"/>
            <w:vAlign w:val="bottom"/>
            <w:vMerge w:val="continue"/>
          </w:tcPr>
          <w:p>
            <w:pPr>
              <w:spacing w:after="0"/>
              <w:rPr>
                <w:sz w:val="13"/>
                <w:szCs w:val="13"/>
                <w:color w:val="auto"/>
              </w:rPr>
            </w:pPr>
          </w:p>
        </w:tc>
        <w:tc>
          <w:tcPr>
            <w:tcW w:w="56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12.4%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3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33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INVESTMENTS - 189.4% (b)</w:t>
            </w:r>
          </w:p>
        </w:tc>
        <w:tc>
          <w:tcPr>
            <w:tcW w:w="1720" w:type="dxa"/>
            <w:vAlign w:val="bottom"/>
            <w:shd w:val="clear" w:color="auto" w:fill="CCEEFF"/>
          </w:tcPr>
          <w:p>
            <w:pPr>
              <w:spacing w:after="0"/>
              <w:rPr>
                <w:sz w:val="12"/>
                <w:szCs w:val="12"/>
                <w:color w:val="auto"/>
              </w:rPr>
            </w:pPr>
          </w:p>
        </w:tc>
        <w:tc>
          <w:tcPr>
            <w:tcW w:w="16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spacing w:after="0"/>
              <w:rPr>
                <w:sz w:val="12"/>
                <w:szCs w:val="12"/>
                <w:color w:val="auto"/>
              </w:rPr>
            </w:pPr>
          </w:p>
        </w:tc>
        <w:tc>
          <w:tcPr>
            <w:tcW w:w="820" w:type="dxa"/>
            <w:vAlign w:val="bottom"/>
            <w:gridSpan w:val="5"/>
            <w:shd w:val="clear" w:color="auto" w:fill="CCEEFF"/>
          </w:tcPr>
          <w:p>
            <w:pPr>
              <w:jc w:val="right"/>
              <w:spacing w:after="0" w:line="149" w:lineRule="exact"/>
              <w:rPr>
                <w:sz w:val="20"/>
                <w:szCs w:val="20"/>
                <w:color w:val="auto"/>
              </w:rPr>
            </w:pPr>
            <w:r>
              <w:rPr>
                <w:rFonts w:ascii="Arial" w:cs="Arial" w:eastAsia="Arial" w:hAnsi="Arial"/>
                <w:sz w:val="14"/>
                <w:szCs w:val="14"/>
                <w:b w:val="1"/>
                <w:bCs w:val="1"/>
                <w:u w:val="single" w:color="auto"/>
                <w:color w:val="auto"/>
                <w:w w:val="89"/>
              </w:rPr>
              <w:t>$</w:t>
            </w:r>
            <w:r>
              <w:rPr>
                <w:rFonts w:ascii="Arial" w:cs="Arial" w:eastAsia="Arial" w:hAnsi="Arial"/>
                <w:sz w:val="14"/>
                <w:szCs w:val="14"/>
                <w:b w:val="1"/>
                <w:bCs w:val="1"/>
                <w:color w:val="auto"/>
                <w:w w:val="89"/>
              </w:rPr>
              <w:t xml:space="preserve"> 238,719,094</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b w:val="1"/>
                <w:bCs w:val="1"/>
                <w:u w:val="single" w:color="auto"/>
                <w:color w:val="auto"/>
                <w:w w:val="89"/>
              </w:rPr>
              <w:t>$</w:t>
            </w:r>
            <w:r>
              <w:rPr>
                <w:rFonts w:ascii="Arial" w:cs="Arial" w:eastAsia="Arial" w:hAnsi="Arial"/>
                <w:sz w:val="14"/>
                <w:szCs w:val="14"/>
                <w:b w:val="1"/>
                <w:bCs w:val="1"/>
                <w:color w:val="auto"/>
                <w:w w:val="89"/>
              </w:rPr>
              <w:t xml:space="preserve"> 241,037,799</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b w:val="1"/>
                <w:bCs w:val="1"/>
                <w:color w:val="auto"/>
              </w:rPr>
              <w:t>189.4%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3"/>
        </w:trPr>
        <w:tc>
          <w:tcPr>
            <w:tcW w:w="2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Principal/</w:t>
            </w: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gridSpan w:val="3"/>
            <w:vMerge w:val="restart"/>
          </w:tcPr>
          <w:p>
            <w:pPr>
              <w:jc w:val="center"/>
              <w:ind w:right="20"/>
              <w:spacing w:after="0"/>
              <w:rPr>
                <w:sz w:val="20"/>
                <w:szCs w:val="20"/>
                <w:color w:val="auto"/>
              </w:rPr>
            </w:pPr>
            <w:r>
              <w:rPr>
                <w:rFonts w:ascii="Arial" w:cs="Arial" w:eastAsia="Arial" w:hAnsi="Arial"/>
                <w:sz w:val="14"/>
                <w:szCs w:val="14"/>
                <w:b w:val="1"/>
                <w:bCs w:val="1"/>
                <w:color w:val="auto"/>
                <w:w w:val="89"/>
              </w:rPr>
              <w:t>Cost</w:t>
            </w:r>
          </w:p>
        </w:tc>
        <w:tc>
          <w:tcPr>
            <w:tcW w:w="360" w:type="dxa"/>
            <w:vAlign w:val="bottom"/>
          </w:tcPr>
          <w:p>
            <w:pPr>
              <w:spacing w:after="0"/>
              <w:rPr>
                <w:sz w:val="24"/>
                <w:szCs w:val="24"/>
                <w:color w:val="auto"/>
              </w:rPr>
            </w:pPr>
          </w:p>
        </w:tc>
        <w:tc>
          <w:tcPr>
            <w:tcW w:w="860" w:type="dxa"/>
            <w:vAlign w:val="bottom"/>
            <w:gridSpan w:val="6"/>
            <w:vMerge w:val="restart"/>
          </w:tcPr>
          <w:p>
            <w:pPr>
              <w:spacing w:after="0"/>
              <w:rPr>
                <w:sz w:val="20"/>
                <w:szCs w:val="20"/>
                <w:color w:val="auto"/>
              </w:rPr>
            </w:pPr>
            <w:r>
              <w:rPr>
                <w:rFonts w:ascii="Arial" w:cs="Arial" w:eastAsia="Arial" w:hAnsi="Arial"/>
                <w:sz w:val="14"/>
                <w:szCs w:val="14"/>
                <w:b w:val="1"/>
                <w:bCs w:val="1"/>
                <w:color w:val="auto"/>
                <w:w w:val="95"/>
              </w:rPr>
              <w:t>Fair Value (c)</w:t>
            </w: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140" w:type="dxa"/>
            <w:vAlign w:val="bottom"/>
            <w:gridSpan w:val="3"/>
          </w:tcPr>
          <w:p>
            <w:pPr>
              <w:ind w:left="20"/>
              <w:spacing w:after="0"/>
              <w:rPr>
                <w:sz w:val="20"/>
                <w:szCs w:val="20"/>
                <w:color w:val="auto"/>
              </w:rPr>
            </w:pPr>
            <w:r>
              <w:rPr>
                <w:rFonts w:ascii="Arial" w:cs="Arial" w:eastAsia="Arial" w:hAnsi="Arial"/>
                <w:sz w:val="14"/>
                <w:szCs w:val="14"/>
                <w:b w:val="1"/>
                <w:bCs w:val="1"/>
                <w:color w:val="auto"/>
                <w:w w:val="91"/>
              </w:rPr>
              <w:t>Number of Shares</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gridSpan w:val="3"/>
            <w:vMerge w:val="continue"/>
          </w:tcPr>
          <w:p>
            <w:pPr>
              <w:spacing w:after="0"/>
              <w:rPr>
                <w:sz w:val="14"/>
                <w:szCs w:val="14"/>
                <w:color w:val="auto"/>
              </w:rPr>
            </w:pPr>
          </w:p>
        </w:tc>
        <w:tc>
          <w:tcPr>
            <w:tcW w:w="360" w:type="dxa"/>
            <w:vAlign w:val="bottom"/>
          </w:tcPr>
          <w:p>
            <w:pPr>
              <w:spacing w:after="0"/>
              <w:rPr>
                <w:sz w:val="14"/>
                <w:szCs w:val="14"/>
                <w:color w:val="auto"/>
              </w:rPr>
            </w:pPr>
          </w:p>
        </w:tc>
        <w:tc>
          <w:tcPr>
            <w:tcW w:w="860" w:type="dxa"/>
            <w:vAlign w:val="bottom"/>
            <w:gridSpan w:val="6"/>
            <w:vMerge w:val="continue"/>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gridSpan w:val="5"/>
          </w:tcPr>
          <w:p>
            <w:pPr>
              <w:jc w:val="right"/>
              <w:ind w:right="200"/>
              <w:spacing w:after="0"/>
              <w:rPr>
                <w:sz w:val="20"/>
                <w:szCs w:val="20"/>
                <w:color w:val="auto"/>
              </w:rPr>
            </w:pPr>
            <w:r>
              <w:rPr>
                <w:rFonts w:ascii="Arial" w:cs="Arial" w:eastAsia="Arial" w:hAnsi="Arial"/>
                <w:sz w:val="14"/>
                <w:szCs w:val="14"/>
                <w:b w:val="1"/>
                <w:bCs w:val="1"/>
                <w:color w:val="auto"/>
                <w:w w:val="82"/>
              </w:rPr>
              <w:t>Net Assets</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100" w:type="dxa"/>
            <w:vAlign w:val="bottom"/>
            <w:tcBorders>
              <w:top w:val="single" w:sz="8" w:color="CCEEFF"/>
            </w:tcBorders>
            <w:gridSpan w:val="2"/>
            <w:shd w:val="clear" w:color="auto" w:fill="CCEEFF"/>
          </w:tcPr>
          <w:p>
            <w:pPr>
              <w:spacing w:after="0" w:line="129" w:lineRule="exact"/>
              <w:rPr>
                <w:sz w:val="20"/>
                <w:szCs w:val="20"/>
                <w:color w:val="auto"/>
              </w:rPr>
            </w:pPr>
            <w:r>
              <w:rPr>
                <w:rFonts w:ascii="Arial" w:cs="Arial" w:eastAsia="Arial" w:hAnsi="Arial"/>
                <w:sz w:val="14"/>
                <w:szCs w:val="14"/>
                <w:b w:val="1"/>
                <w:bCs w:val="1"/>
                <w:color w:val="auto"/>
                <w:w w:val="89"/>
              </w:rPr>
              <w:t>Cash and cash equivalents and cash and cash equivalents, reserve accounts - 21.3%</w:t>
            </w:r>
          </w:p>
        </w:tc>
        <w:tc>
          <w:tcPr>
            <w:tcW w:w="166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94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3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36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3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38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80" w:type="dxa"/>
            <w:vAlign w:val="bottom"/>
          </w:tcPr>
          <w:p>
            <w:pPr>
              <w:spacing w:after="0" w:line="149" w:lineRule="exact"/>
              <w:rPr>
                <w:sz w:val="20"/>
                <w:szCs w:val="20"/>
                <w:color w:val="auto"/>
              </w:rPr>
            </w:pPr>
            <w:r>
              <w:rPr>
                <w:rFonts w:ascii="Arial" w:cs="Arial" w:eastAsia="Arial" w:hAnsi="Arial"/>
                <w:sz w:val="14"/>
                <w:szCs w:val="14"/>
                <w:color w:val="auto"/>
              </w:rPr>
              <w:t>U.S. Bank Money Market (n)</w:t>
            </w:r>
          </w:p>
        </w:tc>
        <w:tc>
          <w:tcPr>
            <w:tcW w:w="172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8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27,164,689</w:t>
            </w:r>
          </w:p>
        </w:tc>
        <w:tc>
          <w:tcPr>
            <w:tcW w:w="140" w:type="dxa"/>
            <w:vAlign w:val="bottom"/>
          </w:tcPr>
          <w:p>
            <w:pPr>
              <w:spacing w:after="0"/>
              <w:rPr>
                <w:sz w:val="12"/>
                <w:szCs w:val="12"/>
                <w:color w:val="auto"/>
              </w:rPr>
            </w:pPr>
          </w:p>
        </w:tc>
        <w:tc>
          <w:tcPr>
            <w:tcW w:w="960" w:type="dxa"/>
            <w:vAlign w:val="bottom"/>
            <w:gridSpan w:val="4"/>
          </w:tcPr>
          <w:p>
            <w:pPr>
              <w:jc w:val="center"/>
              <w:ind w:left="128"/>
              <w:spacing w:after="0" w:line="149" w:lineRule="exact"/>
              <w:rPr>
                <w:sz w:val="20"/>
                <w:szCs w:val="20"/>
                <w:color w:val="auto"/>
              </w:rPr>
            </w:pPr>
            <w:r>
              <w:rPr>
                <w:rFonts w:ascii="Arial" w:cs="Arial" w:eastAsia="Arial" w:hAnsi="Arial"/>
                <w:sz w:val="14"/>
                <w:szCs w:val="14"/>
                <w:u w:val="single" w:color="auto"/>
                <w:color w:val="auto"/>
                <w:w w:val="92"/>
              </w:rPr>
              <w:t>$</w:t>
            </w:r>
            <w:r>
              <w:rPr>
                <w:rFonts w:ascii="Arial" w:cs="Arial" w:eastAsia="Arial" w:hAnsi="Arial"/>
                <w:sz w:val="14"/>
                <w:szCs w:val="14"/>
                <w:color w:val="auto"/>
                <w:w w:val="92"/>
              </w:rPr>
              <w:t>27,164,689</w:t>
            </w:r>
          </w:p>
        </w:tc>
        <w:tc>
          <w:tcPr>
            <w:tcW w:w="440" w:type="dxa"/>
            <w:vAlign w:val="bottom"/>
            <w:gridSpan w:val="2"/>
          </w:tcPr>
          <w:p>
            <w:pPr>
              <w:ind w:left="360"/>
              <w:spacing w:after="0" w:line="149" w:lineRule="exact"/>
              <w:rPr>
                <w:sz w:val="20"/>
                <w:szCs w:val="20"/>
                <w:color w:val="auto"/>
              </w:rPr>
            </w:pPr>
            <w:r>
              <w:rPr>
                <w:rFonts w:ascii="Arial" w:cs="Arial" w:eastAsia="Arial" w:hAnsi="Arial"/>
                <w:sz w:val="14"/>
                <w:szCs w:val="14"/>
                <w:color w:val="auto"/>
                <w:w w:val="76"/>
              </w:rPr>
              <w:t>$</w:t>
            </w:r>
          </w:p>
        </w:tc>
        <w:tc>
          <w:tcPr>
            <w:tcW w:w="780" w:type="dxa"/>
            <w:vAlign w:val="bottom"/>
            <w:gridSpan w:val="5"/>
          </w:tcPr>
          <w:p>
            <w:pPr>
              <w:jc w:val="right"/>
              <w:ind w:right="20"/>
              <w:spacing w:after="0" w:line="149" w:lineRule="exact"/>
              <w:rPr>
                <w:sz w:val="20"/>
                <w:szCs w:val="20"/>
                <w:color w:val="auto"/>
              </w:rPr>
            </w:pPr>
            <w:r>
              <w:rPr>
                <w:rFonts w:ascii="Arial" w:cs="Arial" w:eastAsia="Arial" w:hAnsi="Arial"/>
                <w:sz w:val="14"/>
                <w:szCs w:val="14"/>
                <w:color w:val="auto"/>
              </w:rPr>
              <w:t>27,164,689</w:t>
            </w: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21.3%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3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51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w w:val="92"/>
              </w:rPr>
              <w:t>Total cash and cash equivalents and cash and cash equivalents, reserve accounts</w:t>
            </w:r>
          </w:p>
        </w:tc>
        <w:tc>
          <w:tcPr>
            <w:tcW w:w="16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w:t>
            </w:r>
          </w:p>
        </w:tc>
        <w:tc>
          <w:tcPr>
            <w:tcW w:w="9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b w:val="1"/>
                <w:bCs w:val="1"/>
                <w:color w:val="auto"/>
              </w:rPr>
              <w:t>27,164,689</w:t>
            </w:r>
          </w:p>
        </w:tc>
        <w:tc>
          <w:tcPr>
            <w:tcW w:w="140" w:type="dxa"/>
            <w:vAlign w:val="bottom"/>
            <w:shd w:val="clear" w:color="auto" w:fill="CCEEFF"/>
          </w:tcPr>
          <w:p>
            <w:pPr>
              <w:spacing w:after="0"/>
              <w:rPr>
                <w:sz w:val="12"/>
                <w:szCs w:val="12"/>
                <w:color w:val="auto"/>
              </w:rPr>
            </w:pPr>
          </w:p>
        </w:tc>
        <w:tc>
          <w:tcPr>
            <w:tcW w:w="960" w:type="dxa"/>
            <w:vAlign w:val="bottom"/>
            <w:gridSpan w:val="4"/>
            <w:shd w:val="clear" w:color="auto" w:fill="CCEEFF"/>
          </w:tcPr>
          <w:p>
            <w:pPr>
              <w:jc w:val="center"/>
              <w:ind w:left="128"/>
              <w:spacing w:after="0" w:line="149" w:lineRule="exact"/>
              <w:rPr>
                <w:sz w:val="20"/>
                <w:szCs w:val="20"/>
                <w:color w:val="auto"/>
              </w:rPr>
            </w:pPr>
            <w:r>
              <w:rPr>
                <w:rFonts w:ascii="Arial" w:cs="Arial" w:eastAsia="Arial" w:hAnsi="Arial"/>
                <w:sz w:val="14"/>
                <w:szCs w:val="14"/>
                <w:b w:val="1"/>
                <w:bCs w:val="1"/>
                <w:u w:val="single" w:color="auto"/>
                <w:color w:val="auto"/>
                <w:w w:val="92"/>
              </w:rPr>
              <w:t>$</w:t>
            </w:r>
            <w:r>
              <w:rPr>
                <w:rFonts w:ascii="Arial" w:cs="Arial" w:eastAsia="Arial" w:hAnsi="Arial"/>
                <w:sz w:val="14"/>
                <w:szCs w:val="14"/>
                <w:b w:val="1"/>
                <w:bCs w:val="1"/>
                <w:color w:val="auto"/>
                <w:w w:val="92"/>
              </w:rPr>
              <w:t>27,164,689</w:t>
            </w:r>
          </w:p>
        </w:tc>
        <w:tc>
          <w:tcPr>
            <w:tcW w:w="440" w:type="dxa"/>
            <w:vAlign w:val="bottom"/>
            <w:gridSpan w:val="2"/>
            <w:shd w:val="clear" w:color="auto" w:fill="CCEEFF"/>
          </w:tcPr>
          <w:p>
            <w:pPr>
              <w:ind w:left="360"/>
              <w:spacing w:after="0" w:line="149" w:lineRule="exact"/>
              <w:rPr>
                <w:sz w:val="20"/>
                <w:szCs w:val="20"/>
                <w:color w:val="auto"/>
              </w:rPr>
            </w:pPr>
            <w:r>
              <w:rPr>
                <w:rFonts w:ascii="Arial" w:cs="Arial" w:eastAsia="Arial" w:hAnsi="Arial"/>
                <w:sz w:val="14"/>
                <w:szCs w:val="14"/>
                <w:b w:val="1"/>
                <w:bCs w:val="1"/>
                <w:color w:val="auto"/>
                <w:w w:val="76"/>
              </w:rPr>
              <w:t>$</w:t>
            </w:r>
          </w:p>
        </w:tc>
        <w:tc>
          <w:tcPr>
            <w:tcW w:w="780" w:type="dxa"/>
            <w:vAlign w:val="bottom"/>
            <w:gridSpan w:val="5"/>
            <w:shd w:val="clear" w:color="auto" w:fill="CCEEFF"/>
          </w:tcPr>
          <w:p>
            <w:pPr>
              <w:jc w:val="right"/>
              <w:ind w:right="20"/>
              <w:spacing w:after="0" w:line="149" w:lineRule="exact"/>
              <w:rPr>
                <w:sz w:val="20"/>
                <w:szCs w:val="20"/>
                <w:color w:val="auto"/>
              </w:rPr>
            </w:pPr>
            <w:r>
              <w:rPr>
                <w:rFonts w:ascii="Arial" w:cs="Arial" w:eastAsia="Arial" w:hAnsi="Arial"/>
                <w:sz w:val="14"/>
                <w:szCs w:val="14"/>
                <w:b w:val="1"/>
                <w:bCs w:val="1"/>
                <w:color w:val="auto"/>
              </w:rPr>
              <w:t>27,164,689</w:t>
            </w: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0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b w:val="1"/>
                <w:bCs w:val="1"/>
                <w:color w:val="auto"/>
              </w:rPr>
              <w:t>21.3%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260" w:hanging="452"/>
        <w:spacing w:after="0" w:line="291" w:lineRule="auto"/>
        <w:tabs>
          <w:tab w:leader="none" w:pos="460" w:val="left"/>
        </w:tabs>
        <w:numPr>
          <w:ilvl w:val="0"/>
          <w:numId w:val="3"/>
        </w:numPr>
        <w:rPr>
          <w:rFonts w:ascii="Arial" w:cs="Arial" w:eastAsia="Arial" w:hAnsi="Arial"/>
          <w:sz w:val="16"/>
          <w:szCs w:val="16"/>
          <w:color w:val="auto"/>
        </w:rPr>
      </w:pPr>
      <w:r>
        <w:rPr>
          <w:rFonts w:ascii="Arial" w:cs="Arial" w:eastAsia="Arial" w:hAnsi="Arial"/>
          <w:sz w:val="16"/>
          <w:szCs w:val="16"/>
          <w:color w:val="auto"/>
        </w:rPr>
        <w:t>Represents a non-qualifying investment as defined under Section 55 (a) of the Investment Company Act of 1940, as amended. Non-qualifying assets represent 7.0% of the Company’s portfolio at fair value. As a BDC, the Company can only invest 30% of its portfolio in non-qualifying assets.</w:t>
      </w:r>
    </w:p>
    <w:p>
      <w:pPr>
        <w:ind w:left="460" w:hanging="452"/>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Percentages are based on net assets of $127,273,366 as of November 30, 2015.</w:t>
      </w:r>
    </w:p>
    <w:p>
      <w:pPr>
        <w:spacing w:after="0" w:line="9" w:lineRule="exact"/>
        <w:rPr>
          <w:rFonts w:ascii="Arial" w:cs="Arial" w:eastAsia="Arial" w:hAnsi="Arial"/>
          <w:sz w:val="18"/>
          <w:szCs w:val="18"/>
          <w:color w:val="auto"/>
        </w:rPr>
      </w:pPr>
    </w:p>
    <w:p>
      <w:pPr>
        <w:ind w:left="460" w:right="220" w:hanging="452"/>
        <w:spacing w:after="0" w:line="250"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Because there is no readily available market value for these investments, the fair value of these investments is approved in good faith by our board of directors. (see Note 3 to the consolidated financial statements).</w:t>
      </w:r>
    </w:p>
    <w:p>
      <w:pPr>
        <w:ind w:left="460" w:hanging="452"/>
        <w:spacing w:after="0"/>
        <w:tabs>
          <w:tab w:leader="none" w:pos="46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These securities are pledged as collateral under a senior secured revolving credit facility (see Note 6 to the consolidated financial statements).</w:t>
      </w:r>
    </w:p>
    <w:p>
      <w:pPr>
        <w:spacing w:after="0" w:line="20" w:lineRule="exact"/>
        <w:rPr>
          <w:rFonts w:ascii="Arial" w:cs="Arial" w:eastAsia="Arial" w:hAnsi="Arial"/>
          <w:sz w:val="17"/>
          <w:szCs w:val="17"/>
          <w:color w:val="auto"/>
        </w:rPr>
      </w:pPr>
    </w:p>
    <w:p>
      <w:pPr>
        <w:ind w:left="460" w:right="260" w:hanging="452"/>
        <w:spacing w:after="0" w:line="281" w:lineRule="auto"/>
        <w:tabs>
          <w:tab w:leader="none" w:pos="46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This investment does not have a stated interest rate that is payable thereon. As a result, the 21.81% interest rate in the table above represents the effective interest rate currently earned on the investment cost and is based on the current cash interest and other income generated by the investment.</w:t>
      </w:r>
    </w:p>
    <w:p>
      <w:pPr>
        <w:spacing w:after="0" w:line="1" w:lineRule="exact"/>
        <w:rPr>
          <w:rFonts w:ascii="Arial" w:cs="Arial" w:eastAsia="Arial" w:hAnsi="Arial"/>
          <w:sz w:val="16"/>
          <w:szCs w:val="16"/>
          <w:color w:val="auto"/>
        </w:rPr>
      </w:pPr>
    </w:p>
    <w:p>
      <w:pPr>
        <w:ind w:left="460" w:right="220" w:hanging="452"/>
        <w:spacing w:after="0" w:line="255"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As defined in the Investment Company Act, we “Control” this portfolio company because we own more than 25% of the portfolio company’s outstanding voting securities. Transactions during the period in which the issuer was both an Affiliate and a portfolio company that we Control are as follows: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Company</w:t>
            </w:r>
          </w:p>
        </w:tc>
        <w:tc>
          <w:tcPr>
            <w:tcW w:w="760" w:type="dxa"/>
            <w:vAlign w:val="bottom"/>
          </w:tcPr>
          <w:p>
            <w:pPr>
              <w:spacing w:after="0"/>
              <w:rPr>
                <w:sz w:val="14"/>
                <w:szCs w:val="14"/>
                <w:color w:val="auto"/>
              </w:rPr>
            </w:pPr>
          </w:p>
        </w:tc>
        <w:tc>
          <w:tcPr>
            <w:tcW w:w="62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84"/>
              </w:rPr>
              <w:t>Purchases</w:t>
            </w:r>
          </w:p>
        </w:tc>
        <w:tc>
          <w:tcPr>
            <w:tcW w:w="340" w:type="dxa"/>
            <w:vAlign w:val="bottom"/>
          </w:tcPr>
          <w:p>
            <w:pPr>
              <w:spacing w:after="0"/>
              <w:rPr>
                <w:sz w:val="14"/>
                <w:szCs w:val="14"/>
                <w:color w:val="auto"/>
              </w:rPr>
            </w:pPr>
          </w:p>
        </w:tc>
        <w:tc>
          <w:tcPr>
            <w:tcW w:w="8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87"/>
              </w:rPr>
              <w:t>Redemptions</w:t>
            </w:r>
          </w:p>
        </w:tc>
        <w:tc>
          <w:tcPr>
            <w:tcW w:w="360" w:type="dxa"/>
            <w:vAlign w:val="bottom"/>
          </w:tcPr>
          <w:p>
            <w:pPr>
              <w:spacing w:after="0"/>
              <w:rPr>
                <w:sz w:val="14"/>
                <w:szCs w:val="14"/>
                <w:color w:val="auto"/>
              </w:rPr>
            </w:pPr>
          </w:p>
        </w:tc>
        <w:tc>
          <w:tcPr>
            <w:tcW w:w="380" w:type="dxa"/>
            <w:vAlign w:val="bottom"/>
          </w:tcPr>
          <w:p>
            <w:pPr>
              <w:ind w:left="40"/>
              <w:spacing w:after="0"/>
              <w:rPr>
                <w:sz w:val="20"/>
                <w:szCs w:val="20"/>
                <w:color w:val="auto"/>
              </w:rPr>
            </w:pPr>
            <w:r>
              <w:rPr>
                <w:rFonts w:ascii="Arial" w:cs="Arial" w:eastAsia="Arial" w:hAnsi="Arial"/>
                <w:sz w:val="14"/>
                <w:szCs w:val="14"/>
                <w:b w:val="1"/>
                <w:bCs w:val="1"/>
                <w:color w:val="auto"/>
                <w:w w:val="87"/>
              </w:rPr>
              <w:t>Sales</w:t>
            </w:r>
          </w:p>
        </w:tc>
        <w:tc>
          <w:tcPr>
            <w:tcW w:w="360" w:type="dxa"/>
            <w:vAlign w:val="bottom"/>
          </w:tcPr>
          <w:p>
            <w:pPr>
              <w:spacing w:after="0"/>
              <w:rPr>
                <w:sz w:val="14"/>
                <w:szCs w:val="14"/>
                <w:color w:val="auto"/>
              </w:rPr>
            </w:pPr>
          </w:p>
        </w:tc>
        <w:tc>
          <w:tcPr>
            <w:tcW w:w="10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4"/>
              </w:rPr>
              <w:t>Interest</w:t>
            </w:r>
          </w:p>
        </w:tc>
        <w:tc>
          <w:tcPr>
            <w:tcW w:w="18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5"/>
              </w:rPr>
              <w:t>Management</w:t>
            </w:r>
          </w:p>
        </w:tc>
        <w:tc>
          <w:tcPr>
            <w:tcW w:w="360" w:type="dxa"/>
            <w:vAlign w:val="bottom"/>
          </w:tcPr>
          <w:p>
            <w:pPr>
              <w:spacing w:after="0"/>
              <w:rPr>
                <w:sz w:val="14"/>
                <w:szCs w:val="14"/>
                <w:color w:val="auto"/>
              </w:rPr>
            </w:pPr>
          </w:p>
        </w:tc>
        <w:tc>
          <w:tcPr>
            <w:tcW w:w="900" w:type="dxa"/>
            <w:vAlign w:val="bottom"/>
            <w:gridSpan w:val="2"/>
          </w:tcPr>
          <w:p>
            <w:pPr>
              <w:ind w:left="60"/>
              <w:spacing w:after="0"/>
              <w:rPr>
                <w:sz w:val="20"/>
                <w:szCs w:val="20"/>
                <w:color w:val="auto"/>
              </w:rPr>
            </w:pPr>
            <w:r>
              <w:rPr>
                <w:rFonts w:ascii="Arial" w:cs="Arial" w:eastAsia="Arial" w:hAnsi="Arial"/>
                <w:sz w:val="14"/>
                <w:szCs w:val="14"/>
                <w:b w:val="1"/>
                <w:bCs w:val="1"/>
                <w:color w:val="auto"/>
                <w:w w:val="98"/>
              </w:rPr>
              <w:t>Net Realized</w:t>
            </w:r>
          </w:p>
        </w:tc>
        <w:tc>
          <w:tcPr>
            <w:tcW w:w="380" w:type="dxa"/>
            <w:vAlign w:val="bottom"/>
          </w:tcPr>
          <w:p>
            <w:pPr>
              <w:spacing w:after="0"/>
              <w:rPr>
                <w:sz w:val="14"/>
                <w:szCs w:val="14"/>
                <w:color w:val="auto"/>
              </w:rPr>
            </w:pPr>
          </w:p>
        </w:tc>
        <w:tc>
          <w:tcPr>
            <w:tcW w:w="10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Net Unrealized</w:t>
            </w:r>
          </w:p>
        </w:tc>
        <w:tc>
          <w:tcPr>
            <w:tcW w:w="0" w:type="dxa"/>
            <w:vAlign w:val="bottom"/>
          </w:tcPr>
          <w:p>
            <w:pPr>
              <w:spacing w:after="0"/>
              <w:rPr>
                <w:sz w:val="1"/>
                <w:szCs w:val="1"/>
                <w:color w:val="auto"/>
              </w:rPr>
            </w:pPr>
          </w:p>
        </w:tc>
      </w:tr>
      <w:tr>
        <w:trPr>
          <w:trHeight w:val="171"/>
        </w:trPr>
        <w:tc>
          <w:tcPr>
            <w:tcW w:w="3100" w:type="dxa"/>
            <w:vAlign w:val="bottom"/>
            <w:gridSpan w:val="2"/>
            <w:vMerge w:val="continue"/>
          </w:tcPr>
          <w:p>
            <w:pPr>
              <w:spacing w:after="0"/>
              <w:rPr>
                <w:sz w:val="14"/>
                <w:szCs w:val="14"/>
                <w:color w:val="auto"/>
              </w:rPr>
            </w:pPr>
          </w:p>
        </w:tc>
        <w:tc>
          <w:tcPr>
            <w:tcW w:w="760" w:type="dxa"/>
            <w:vAlign w:val="bottom"/>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34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380" w:type="dxa"/>
            <w:vAlign w:val="bottom"/>
          </w:tcPr>
          <w:p>
            <w:pPr>
              <w:spacing w:after="0"/>
              <w:rPr>
                <w:sz w:val="20"/>
                <w:szCs w:val="20"/>
                <w:color w:val="auto"/>
              </w:rPr>
            </w:pPr>
            <w:r>
              <w:rPr>
                <w:rFonts w:ascii="Arial" w:cs="Arial" w:eastAsia="Arial" w:hAnsi="Arial"/>
                <w:sz w:val="14"/>
                <w:szCs w:val="14"/>
                <w:b w:val="1"/>
                <w:bCs w:val="1"/>
                <w:color w:val="auto"/>
                <w:w w:val="88"/>
              </w:rPr>
              <w:t>(Cost)</w:t>
            </w:r>
          </w:p>
        </w:tc>
        <w:tc>
          <w:tcPr>
            <w:tcW w:w="360" w:type="dxa"/>
            <w:vAlign w:val="bottom"/>
          </w:tcPr>
          <w:p>
            <w:pPr>
              <w:spacing w:after="0"/>
              <w:rPr>
                <w:sz w:val="14"/>
                <w:szCs w:val="14"/>
                <w:color w:val="auto"/>
              </w:rPr>
            </w:pPr>
          </w:p>
        </w:tc>
        <w:tc>
          <w:tcPr>
            <w:tcW w:w="10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9"/>
              </w:rPr>
              <w:t>Income</w:t>
            </w:r>
          </w:p>
        </w:tc>
        <w:tc>
          <w:tcPr>
            <w:tcW w:w="18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0"/>
              </w:rPr>
              <w:t>Fee Income</w:t>
            </w:r>
          </w:p>
        </w:tc>
        <w:tc>
          <w:tcPr>
            <w:tcW w:w="360" w:type="dxa"/>
            <w:vAlign w:val="bottom"/>
          </w:tcPr>
          <w:p>
            <w:pPr>
              <w:spacing w:after="0"/>
              <w:rPr>
                <w:sz w:val="14"/>
                <w:szCs w:val="14"/>
                <w:color w:val="auto"/>
              </w:rPr>
            </w:pPr>
          </w:p>
        </w:tc>
        <w:tc>
          <w:tcPr>
            <w:tcW w:w="900" w:type="dxa"/>
            <w:vAlign w:val="bottom"/>
            <w:gridSpan w:val="2"/>
          </w:tcPr>
          <w:p>
            <w:pPr>
              <w:spacing w:after="0"/>
              <w:rPr>
                <w:sz w:val="20"/>
                <w:szCs w:val="20"/>
                <w:color w:val="auto"/>
              </w:rPr>
            </w:pPr>
            <w:r>
              <w:rPr>
                <w:rFonts w:ascii="Arial" w:cs="Arial" w:eastAsia="Arial" w:hAnsi="Arial"/>
                <w:sz w:val="14"/>
                <w:szCs w:val="14"/>
                <w:b w:val="1"/>
                <w:bCs w:val="1"/>
                <w:color w:val="auto"/>
                <w:w w:val="87"/>
              </w:rPr>
              <w:t>Gains/(Losses)</w:t>
            </w:r>
          </w:p>
        </w:tc>
        <w:tc>
          <w:tcPr>
            <w:tcW w:w="380" w:type="dxa"/>
            <w:vAlign w:val="bottom"/>
          </w:tcPr>
          <w:p>
            <w:pPr>
              <w:spacing w:after="0"/>
              <w:rPr>
                <w:sz w:val="14"/>
                <w:szCs w:val="14"/>
                <w:color w:val="auto"/>
              </w:rPr>
            </w:pPr>
          </w:p>
        </w:tc>
        <w:tc>
          <w:tcPr>
            <w:tcW w:w="10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Appreciation</w:t>
            </w:r>
          </w:p>
        </w:tc>
        <w:tc>
          <w:tcPr>
            <w:tcW w:w="0" w:type="dxa"/>
            <w:vAlign w:val="bottom"/>
          </w:tcPr>
          <w:p>
            <w:pPr>
              <w:spacing w:after="0"/>
              <w:rPr>
                <w:sz w:val="1"/>
                <w:szCs w:val="1"/>
                <w:color w:val="auto"/>
              </w:rPr>
            </w:pPr>
          </w:p>
        </w:tc>
      </w:tr>
      <w:tr>
        <w:trPr>
          <w:trHeight w:val="182"/>
        </w:trPr>
        <w:tc>
          <w:tcPr>
            <w:tcW w:w="600" w:type="dxa"/>
            <w:vAlign w:val="bottom"/>
            <w:tcBorders>
              <w:top w:val="single" w:sz="8" w:color="auto"/>
            </w:tcBorders>
            <w:shd w:val="clear" w:color="auto" w:fill="CCEEFF"/>
          </w:tcPr>
          <w:p>
            <w:pPr>
              <w:spacing w:after="0" w:line="182" w:lineRule="exact"/>
              <w:rPr>
                <w:sz w:val="20"/>
                <w:szCs w:val="20"/>
                <w:color w:val="auto"/>
              </w:rPr>
            </w:pPr>
            <w:r>
              <w:rPr>
                <w:rFonts w:ascii="Arial" w:cs="Arial" w:eastAsia="Arial" w:hAnsi="Arial"/>
                <w:sz w:val="18"/>
                <w:szCs w:val="18"/>
                <w:color w:val="auto"/>
                <w:w w:val="79"/>
              </w:rPr>
              <w:t>Saratoga</w:t>
            </w:r>
          </w:p>
        </w:tc>
        <w:tc>
          <w:tcPr>
            <w:tcW w:w="2500" w:type="dxa"/>
            <w:vAlign w:val="bottom"/>
            <w:tcBorders>
              <w:top w:val="single" w:sz="8" w:color="CCEEFF"/>
            </w:tcBorders>
            <w:shd w:val="clear" w:color="auto" w:fill="CCEEFF"/>
          </w:tcPr>
          <w:p>
            <w:pPr>
              <w:ind w:left="80"/>
              <w:spacing w:after="0" w:line="182" w:lineRule="exact"/>
              <w:rPr>
                <w:sz w:val="20"/>
                <w:szCs w:val="20"/>
                <w:color w:val="auto"/>
              </w:rPr>
            </w:pPr>
            <w:r>
              <w:rPr>
                <w:rFonts w:ascii="Arial" w:cs="Arial" w:eastAsia="Arial" w:hAnsi="Arial"/>
                <w:sz w:val="18"/>
                <w:szCs w:val="18"/>
                <w:color w:val="auto"/>
              </w:rPr>
              <w:t>Investment Corp. CLO</w:t>
            </w:r>
          </w:p>
        </w:tc>
        <w:tc>
          <w:tcPr>
            <w:tcW w:w="76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40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CCEEFF"/>
            </w:tcBorders>
            <w:shd w:val="clear" w:color="auto" w:fill="CCEEFF"/>
          </w:tcPr>
          <w:p>
            <w:pPr>
              <w:spacing w:after="0"/>
              <w:rPr>
                <w:sz w:val="15"/>
                <w:szCs w:val="15"/>
                <w:color w:val="auto"/>
              </w:rPr>
            </w:pPr>
          </w:p>
        </w:tc>
        <w:tc>
          <w:tcPr>
            <w:tcW w:w="38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CCEEFF"/>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CCEEFF"/>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spacing w:after="0"/>
              <w:rPr>
                <w:sz w:val="15"/>
                <w:szCs w:val="15"/>
                <w:color w:val="auto"/>
              </w:rPr>
            </w:pPr>
          </w:p>
        </w:tc>
        <w:tc>
          <w:tcPr>
            <w:tcW w:w="380" w:type="dxa"/>
            <w:vAlign w:val="bottom"/>
            <w:tcBorders>
              <w:top w:val="single" w:sz="8" w:color="CCEEFF"/>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1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2013-1, Ltd.</w:t>
            </w:r>
          </w:p>
        </w:tc>
        <w:tc>
          <w:tcPr>
            <w:tcW w:w="98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80" w:type="dxa"/>
            <w:vAlign w:val="bottom"/>
            <w:gridSpan w:val="3"/>
            <w:shd w:val="clear" w:color="auto" w:fill="CCEEFF"/>
          </w:tcPr>
          <w:p>
            <w:pPr>
              <w:jc w:val="center"/>
              <w:ind w:left="90"/>
              <w:spacing w:after="0"/>
              <w:rPr>
                <w:sz w:val="20"/>
                <w:szCs w:val="20"/>
                <w:color w:val="auto"/>
              </w:rPr>
            </w:pPr>
            <w:r>
              <w:rPr>
                <w:rFonts w:ascii="Arial" w:cs="Arial" w:eastAsia="Arial" w:hAnsi="Arial"/>
                <w:sz w:val="18"/>
                <w:szCs w:val="18"/>
                <w:u w:val="single" w:color="auto"/>
                <w:color w:val="auto"/>
                <w:w w:val="93"/>
              </w:rPr>
              <w:t>$</w:t>
            </w:r>
            <w:r>
              <w:rPr>
                <w:rFonts w:ascii="Arial" w:cs="Arial" w:eastAsia="Arial" w:hAnsi="Arial"/>
                <w:sz w:val="18"/>
                <w:szCs w:val="18"/>
                <w:color w:val="auto"/>
                <w:w w:val="93"/>
              </w:rPr>
              <w:t>2,020,301</w:t>
            </w:r>
          </w:p>
        </w:tc>
        <w:tc>
          <w:tcPr>
            <w:tcW w:w="1000" w:type="dxa"/>
            <w:vAlign w:val="bottom"/>
            <w:gridSpan w:val="2"/>
            <w:shd w:val="clear" w:color="auto" w:fill="CCEEFF"/>
          </w:tcPr>
          <w:p>
            <w:pPr>
              <w:jc w:val="center"/>
              <w:ind w:left="9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1,121,286</w:t>
            </w:r>
          </w:p>
        </w:tc>
        <w:tc>
          <w:tcPr>
            <w:tcW w:w="7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center"/>
              <w:ind w:left="290"/>
              <w:spacing w:after="0"/>
              <w:rPr>
                <w:sz w:val="20"/>
                <w:szCs w:val="20"/>
                <w:color w:val="auto"/>
              </w:rPr>
            </w:pPr>
            <w:r>
              <w:rPr>
                <w:rFonts w:ascii="Arial" w:cs="Arial" w:eastAsia="Arial" w:hAnsi="Arial"/>
                <w:sz w:val="18"/>
                <w:szCs w:val="18"/>
                <w:color w:val="auto"/>
                <w:w w:val="91"/>
              </w:rPr>
              <w:t>$  2,108,177</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Non-income producing at November 30, 2015.</w:t>
      </w:r>
    </w:p>
    <w:p>
      <w:pPr>
        <w:spacing w:after="0" w:line="23" w:lineRule="exact"/>
        <w:rPr>
          <w:rFonts w:ascii="Arial" w:cs="Arial" w:eastAsia="Arial" w:hAnsi="Arial"/>
          <w:sz w:val="18"/>
          <w:szCs w:val="18"/>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Includes securities issued by an affiliate of the company.</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Non-U.S. company. The principal place of business for Polar Holding Company, Ltd. is Canada.</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investment has an unfunded commitment as of November 30, 2015 (See Note 7).</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Includes an analysis of the fair value of any unfunded loan commitments.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entire commitment was unfunded at November 30, 2015. As such, no interest is being earned on this investment.</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investment was on non-accrual status as of November 30, 2015</w:t>
      </w:r>
    </w:p>
    <w:p>
      <w:pPr>
        <w:spacing w:after="0" w:line="9" w:lineRule="exact"/>
        <w:rPr>
          <w:rFonts w:ascii="Arial" w:cs="Arial" w:eastAsia="Arial" w:hAnsi="Arial"/>
          <w:sz w:val="18"/>
          <w:szCs w:val="18"/>
          <w:color w:val="auto"/>
        </w:rPr>
      </w:pPr>
    </w:p>
    <w:p>
      <w:pPr>
        <w:ind w:left="460" w:right="280" w:hanging="452"/>
        <w:spacing w:after="0" w:line="261"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Included within cash and cash equivalents and cash and cash equivalents, reserve accounts in the Company’s Consolidated Statements of Assets and Liabilities as of November 30, 2015.</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Saratoga Investment Corp.</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February 28, 2015</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0" w:type="dxa"/>
            <w:vAlign w:val="bottom"/>
            <w:vMerge w:val="restart"/>
          </w:tcPr>
          <w:p>
            <w:pPr>
              <w:jc w:val="right"/>
              <w:ind w:right="488"/>
              <w:spacing w:after="0"/>
              <w:rPr>
                <w:sz w:val="20"/>
                <w:szCs w:val="20"/>
                <w:color w:val="auto"/>
              </w:rPr>
            </w:pPr>
            <w:r>
              <w:rPr>
                <w:rFonts w:ascii="Arial" w:cs="Arial" w:eastAsia="Arial" w:hAnsi="Arial"/>
                <w:sz w:val="14"/>
                <w:szCs w:val="14"/>
                <w:b w:val="1"/>
                <w:bCs w:val="1"/>
                <w:color w:val="auto"/>
              </w:rPr>
              <w:t>Investment Interest Rate /</w:t>
            </w:r>
          </w:p>
        </w:tc>
        <w:tc>
          <w:tcPr>
            <w:tcW w:w="92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5"/>
              </w:rPr>
              <w:t>Principal/</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44"/>
        </w:trPr>
        <w:tc>
          <w:tcPr>
            <w:tcW w:w="35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Company</w:t>
            </w:r>
          </w:p>
        </w:tc>
        <w:tc>
          <w:tcPr>
            <w:tcW w:w="320" w:type="dxa"/>
            <w:vAlign w:val="bottom"/>
          </w:tcPr>
          <w:p>
            <w:pPr>
              <w:spacing w:after="0"/>
              <w:rPr>
                <w:sz w:val="12"/>
                <w:szCs w:val="12"/>
                <w:color w:val="auto"/>
              </w:rPr>
            </w:pPr>
          </w:p>
        </w:tc>
        <w:tc>
          <w:tcPr>
            <w:tcW w:w="1220" w:type="dxa"/>
            <w:vAlign w:val="bottom"/>
            <w:vMerge w:val="restart"/>
          </w:tcPr>
          <w:p>
            <w:pPr>
              <w:ind w:left="340"/>
              <w:spacing w:after="0"/>
              <w:rPr>
                <w:sz w:val="20"/>
                <w:szCs w:val="20"/>
                <w:color w:val="auto"/>
              </w:rPr>
            </w:pPr>
            <w:r>
              <w:rPr>
                <w:rFonts w:ascii="Arial" w:cs="Arial" w:eastAsia="Arial" w:hAnsi="Arial"/>
                <w:sz w:val="14"/>
                <w:szCs w:val="14"/>
                <w:b w:val="1"/>
                <w:bCs w:val="1"/>
                <w:color w:val="auto"/>
              </w:rPr>
              <w:t>Industry</w:t>
            </w:r>
          </w:p>
        </w:tc>
        <w:tc>
          <w:tcPr>
            <w:tcW w:w="100" w:type="dxa"/>
            <w:vAlign w:val="bottom"/>
          </w:tcPr>
          <w:p>
            <w:pPr>
              <w:spacing w:after="0"/>
              <w:rPr>
                <w:sz w:val="12"/>
                <w:szCs w:val="12"/>
                <w:color w:val="auto"/>
              </w:rPr>
            </w:pPr>
          </w:p>
        </w:tc>
        <w:tc>
          <w:tcPr>
            <w:tcW w:w="26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center"/>
              <w:ind w:right="280"/>
              <w:spacing w:after="0" w:line="145" w:lineRule="exact"/>
              <w:rPr>
                <w:sz w:val="20"/>
                <w:szCs w:val="20"/>
                <w:color w:val="auto"/>
              </w:rPr>
            </w:pPr>
            <w:r>
              <w:rPr>
                <w:rFonts w:ascii="Arial" w:cs="Arial" w:eastAsia="Arial" w:hAnsi="Arial"/>
                <w:sz w:val="14"/>
                <w:szCs w:val="14"/>
                <w:b w:val="1"/>
                <w:bCs w:val="1"/>
                <w:color w:val="auto"/>
                <w:w w:val="98"/>
              </w:rPr>
              <w:t>Number</w:t>
            </w:r>
          </w:p>
        </w:tc>
        <w:tc>
          <w:tcPr>
            <w:tcW w:w="80" w:type="dxa"/>
            <w:vAlign w:val="bottom"/>
          </w:tcPr>
          <w:p>
            <w:pPr>
              <w:spacing w:after="0"/>
              <w:rPr>
                <w:sz w:val="12"/>
                <w:szCs w:val="12"/>
                <w:color w:val="auto"/>
              </w:rPr>
            </w:pPr>
          </w:p>
        </w:tc>
        <w:tc>
          <w:tcPr>
            <w:tcW w:w="84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Cost</w:t>
            </w:r>
          </w:p>
        </w:tc>
        <w:tc>
          <w:tcPr>
            <w:tcW w:w="10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Fair Value (c)</w:t>
            </w:r>
          </w:p>
        </w:tc>
        <w:tc>
          <w:tcPr>
            <w:tcW w:w="8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3520" w:type="dxa"/>
            <w:vAlign w:val="bottom"/>
            <w:gridSpan w:val="3"/>
            <w:vMerge w:val="continue"/>
          </w:tcPr>
          <w:p>
            <w:pPr>
              <w:spacing w:after="0"/>
              <w:rPr>
                <w:sz w:val="15"/>
                <w:szCs w:val="15"/>
                <w:color w:val="auto"/>
              </w:rPr>
            </w:pPr>
          </w:p>
        </w:tc>
        <w:tc>
          <w:tcPr>
            <w:tcW w:w="320" w:type="dxa"/>
            <w:vAlign w:val="bottom"/>
          </w:tcPr>
          <w:p>
            <w:pPr>
              <w:spacing w:after="0"/>
              <w:rPr>
                <w:sz w:val="15"/>
                <w:szCs w:val="15"/>
                <w:color w:val="auto"/>
              </w:rPr>
            </w:pPr>
          </w:p>
        </w:tc>
        <w:tc>
          <w:tcPr>
            <w:tcW w:w="12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600" w:type="dxa"/>
            <w:vAlign w:val="bottom"/>
          </w:tcPr>
          <w:p>
            <w:pPr>
              <w:jc w:val="right"/>
              <w:ind w:right="1008"/>
              <w:spacing w:after="0"/>
              <w:rPr>
                <w:sz w:val="20"/>
                <w:szCs w:val="20"/>
                <w:color w:val="auto"/>
              </w:rPr>
            </w:pPr>
            <w:r>
              <w:rPr>
                <w:rFonts w:ascii="Arial" w:cs="Arial" w:eastAsia="Arial" w:hAnsi="Arial"/>
                <w:sz w:val="14"/>
                <w:szCs w:val="14"/>
                <w:b w:val="1"/>
                <w:bCs w:val="1"/>
                <w:color w:val="auto"/>
              </w:rPr>
              <w:t>Maturity</w:t>
            </w:r>
          </w:p>
        </w:tc>
        <w:tc>
          <w:tcPr>
            <w:tcW w:w="80" w:type="dxa"/>
            <w:vAlign w:val="bottom"/>
          </w:tcPr>
          <w:p>
            <w:pPr>
              <w:spacing w:after="0"/>
              <w:rPr>
                <w:sz w:val="15"/>
                <w:szCs w:val="15"/>
                <w:color w:val="auto"/>
              </w:rPr>
            </w:pPr>
          </w:p>
        </w:tc>
        <w:tc>
          <w:tcPr>
            <w:tcW w:w="8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7"/>
              </w:rPr>
              <w:t>of Shares</w:t>
            </w:r>
          </w:p>
        </w:tc>
        <w:tc>
          <w:tcPr>
            <w:tcW w:w="8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1020" w:type="dxa"/>
            <w:vAlign w:val="bottom"/>
            <w:gridSpan w:val="3"/>
            <w:vMerge w:val="continue"/>
          </w:tcPr>
          <w:p>
            <w:pPr>
              <w:spacing w:after="0"/>
              <w:rPr>
                <w:sz w:val="15"/>
                <w:szCs w:val="15"/>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85"/>
              </w:rPr>
              <w:t>Net Assets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92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60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Borders>
              <w:lef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3500" w:type="dxa"/>
            <w:vAlign w:val="bottom"/>
            <w:gridSpan w:val="2"/>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Non-control/Non-affiliated investments - 182.3% (b)</w:t>
            </w:r>
          </w:p>
        </w:tc>
        <w:tc>
          <w:tcPr>
            <w:tcW w:w="32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00" w:type="dxa"/>
            <w:vAlign w:val="bottom"/>
            <w:tcBorders>
              <w:lef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500" w:type="dxa"/>
            <w:vAlign w:val="bottom"/>
            <w:gridSpan w:val="2"/>
          </w:tcPr>
          <w:p>
            <w:pPr>
              <w:spacing w:after="0" w:line="130" w:lineRule="exact"/>
              <w:rPr>
                <w:sz w:val="20"/>
                <w:szCs w:val="20"/>
                <w:color w:val="auto"/>
              </w:rPr>
            </w:pPr>
            <w:r>
              <w:rPr>
                <w:rFonts w:ascii="Arial" w:cs="Arial" w:eastAsia="Arial" w:hAnsi="Arial"/>
                <w:sz w:val="14"/>
                <w:szCs w:val="14"/>
                <w:color w:val="auto"/>
              </w:rPr>
              <w:t>National Truck Protection Co., Inc. (d), (g)</w:t>
            </w:r>
          </w:p>
        </w:tc>
        <w:tc>
          <w:tcPr>
            <w:tcW w:w="1540" w:type="dxa"/>
            <w:vAlign w:val="bottom"/>
            <w:gridSpan w:val="2"/>
          </w:tcPr>
          <w:p>
            <w:pPr>
              <w:ind w:left="320"/>
              <w:spacing w:after="0" w:line="130" w:lineRule="exact"/>
              <w:rPr>
                <w:sz w:val="20"/>
                <w:szCs w:val="20"/>
                <w:color w:val="auto"/>
              </w:rPr>
            </w:pPr>
            <w:r>
              <w:rPr>
                <w:rFonts w:ascii="Arial" w:cs="Arial" w:eastAsia="Arial" w:hAnsi="Arial"/>
                <w:sz w:val="14"/>
                <w:szCs w:val="14"/>
                <w:color w:val="auto"/>
              </w:rPr>
              <w:t>Automotive</w:t>
            </w:r>
          </w:p>
        </w:tc>
        <w:tc>
          <w:tcPr>
            <w:tcW w:w="2700" w:type="dxa"/>
            <w:vAlign w:val="bottom"/>
            <w:gridSpan w:val="2"/>
          </w:tcPr>
          <w:p>
            <w:pPr>
              <w:ind w:left="100"/>
              <w:spacing w:after="0" w:line="130" w:lineRule="exact"/>
              <w:rPr>
                <w:sz w:val="20"/>
                <w:szCs w:val="20"/>
                <w:color w:val="auto"/>
              </w:rPr>
            </w:pPr>
            <w:r>
              <w:rPr>
                <w:rFonts w:ascii="Arial" w:cs="Arial" w:eastAsia="Arial" w:hAnsi="Arial"/>
                <w:sz w:val="14"/>
                <w:szCs w:val="14"/>
                <w:color w:val="auto"/>
              </w:rPr>
              <w:t>Common Stock</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1540" w:type="dxa"/>
            <w:vAlign w:val="bottom"/>
            <w:gridSpan w:val="2"/>
          </w:tcPr>
          <w:p>
            <w:pPr>
              <w:ind w:left="320"/>
              <w:spacing w:after="0"/>
              <w:rPr>
                <w:sz w:val="20"/>
                <w:szCs w:val="20"/>
                <w:color w:val="auto"/>
              </w:rPr>
            </w:pPr>
            <w:r>
              <w:rPr>
                <w:rFonts w:ascii="Arial" w:cs="Arial" w:eastAsia="Arial" w:hAnsi="Arial"/>
                <w:sz w:val="14"/>
                <w:szCs w:val="14"/>
                <w:color w:val="auto"/>
              </w:rPr>
              <w:t>Aftermarket</w:t>
            </w:r>
          </w:p>
        </w:tc>
        <w:tc>
          <w:tcPr>
            <w:tcW w:w="10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4"/>
                <w:szCs w:val="14"/>
                <w:color w:val="auto"/>
              </w:rPr>
              <w:t>1,116</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tcPr>
          <w:p>
            <w:pPr>
              <w:jc w:val="right"/>
              <w:spacing w:after="0"/>
              <w:rPr>
                <w:sz w:val="20"/>
                <w:szCs w:val="20"/>
                <w:color w:val="auto"/>
              </w:rPr>
            </w:pPr>
            <w:r>
              <w:rPr>
                <w:rFonts w:ascii="Arial" w:cs="Arial" w:eastAsia="Arial" w:hAnsi="Arial"/>
                <w:sz w:val="14"/>
                <w:szCs w:val="14"/>
                <w:color w:val="auto"/>
                <w:w w:val="99"/>
              </w:rPr>
              <w:t>1,000,000</w:t>
            </w:r>
          </w:p>
        </w:tc>
        <w:tc>
          <w:tcPr>
            <w:tcW w:w="200" w:type="dxa"/>
            <w:vAlign w:val="bottom"/>
          </w:tcPr>
          <w:p>
            <w:pPr>
              <w:spacing w:after="0"/>
              <w:rPr>
                <w:sz w:val="14"/>
                <w:szCs w:val="14"/>
                <w:color w:val="auto"/>
              </w:rPr>
            </w:pPr>
          </w:p>
        </w:tc>
        <w:tc>
          <w:tcPr>
            <w:tcW w:w="120" w:type="dxa"/>
            <w:vAlign w:val="bottom"/>
          </w:tcPr>
          <w:p>
            <w:pPr>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1,769,432</w:t>
            </w:r>
          </w:p>
        </w:tc>
        <w:tc>
          <w:tcPr>
            <w:tcW w:w="800" w:type="dxa"/>
            <w:vAlign w:val="bottom"/>
            <w:gridSpan w:val="2"/>
          </w:tcPr>
          <w:p>
            <w:pPr>
              <w:jc w:val="right"/>
              <w:ind w:right="40"/>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5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National Truck Protection Co., Inc. (d)</w:t>
            </w:r>
          </w:p>
        </w:tc>
        <w:tc>
          <w:tcPr>
            <w:tcW w:w="1540" w:type="dxa"/>
            <w:vAlign w:val="bottom"/>
            <w:gridSpan w:val="2"/>
            <w:shd w:val="clear" w:color="auto" w:fill="CCEEFF"/>
          </w:tcPr>
          <w:p>
            <w:pPr>
              <w:ind w:left="320"/>
              <w:spacing w:after="0" w:line="130" w:lineRule="exact"/>
              <w:rPr>
                <w:sz w:val="20"/>
                <w:szCs w:val="20"/>
                <w:color w:val="auto"/>
              </w:rPr>
            </w:pPr>
            <w:r>
              <w:rPr>
                <w:rFonts w:ascii="Arial" w:cs="Arial" w:eastAsia="Arial" w:hAnsi="Arial"/>
                <w:sz w:val="14"/>
                <w:szCs w:val="14"/>
                <w:color w:val="auto"/>
              </w:rPr>
              <w:t>Automotive</w:t>
            </w:r>
          </w:p>
        </w:tc>
        <w:tc>
          <w:tcPr>
            <w:tcW w:w="2700" w:type="dxa"/>
            <w:vAlign w:val="bottom"/>
            <w:tcBorders>
              <w:right w:val="single" w:sz="8" w:color="CCEEFF"/>
            </w:tcBorders>
            <w:gridSpan w:val="2"/>
            <w:shd w:val="clear" w:color="auto" w:fill="CCEEFF"/>
          </w:tcPr>
          <w:p>
            <w:pPr>
              <w:ind w:left="100"/>
              <w:spacing w:after="0" w:line="130" w:lineRule="exact"/>
              <w:rPr>
                <w:sz w:val="20"/>
                <w:szCs w:val="20"/>
                <w:color w:val="auto"/>
              </w:rPr>
            </w:pPr>
            <w:r>
              <w:rPr>
                <w:rFonts w:ascii="Arial" w:cs="Arial" w:eastAsia="Arial" w:hAnsi="Arial"/>
                <w:sz w:val="14"/>
                <w:szCs w:val="14"/>
                <w:color w:val="auto"/>
              </w:rPr>
              <w:t>First Lien Term Loan 15.50% Cash,</w:t>
            </w: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00" w:type="dxa"/>
            <w:vAlign w:val="bottom"/>
            <w:tcBorders>
              <w:lef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920" w:type="dxa"/>
            <w:vAlign w:val="bottom"/>
            <w:shd w:val="clear" w:color="auto" w:fill="CCEEFF"/>
          </w:tcPr>
          <w:p>
            <w:pPr>
              <w:spacing w:after="0"/>
              <w:rPr>
                <w:sz w:val="14"/>
                <w:szCs w:val="14"/>
                <w:color w:val="auto"/>
              </w:rPr>
            </w:pPr>
          </w:p>
        </w:tc>
        <w:tc>
          <w:tcPr>
            <w:tcW w:w="1540" w:type="dxa"/>
            <w:vAlign w:val="bottom"/>
            <w:gridSpan w:val="2"/>
            <w:shd w:val="clear" w:color="auto" w:fill="CCEEFF"/>
          </w:tcPr>
          <w:p>
            <w:pPr>
              <w:ind w:left="320"/>
              <w:spacing w:after="0"/>
              <w:rPr>
                <w:sz w:val="20"/>
                <w:szCs w:val="20"/>
                <w:color w:val="auto"/>
              </w:rPr>
            </w:pPr>
            <w:r>
              <w:rPr>
                <w:rFonts w:ascii="Arial" w:cs="Arial" w:eastAsia="Arial" w:hAnsi="Arial"/>
                <w:sz w:val="14"/>
                <w:szCs w:val="14"/>
                <w:color w:val="auto"/>
              </w:rPr>
              <w:t>Aftermarket</w:t>
            </w:r>
          </w:p>
        </w:tc>
        <w:tc>
          <w:tcPr>
            <w:tcW w:w="2700" w:type="dxa"/>
            <w:vAlign w:val="bottom"/>
            <w:tcBorders>
              <w:right w:val="single" w:sz="8" w:color="CCEEFF"/>
            </w:tcBorders>
            <w:gridSpan w:val="2"/>
            <w:shd w:val="clear" w:color="auto" w:fill="CCEEFF"/>
          </w:tcPr>
          <w:p>
            <w:pPr>
              <w:ind w:left="100"/>
              <w:spacing w:after="0"/>
              <w:rPr>
                <w:sz w:val="20"/>
                <w:szCs w:val="20"/>
                <w:color w:val="auto"/>
              </w:rPr>
            </w:pPr>
            <w:r>
              <w:rPr>
                <w:rFonts w:ascii="Arial" w:cs="Arial" w:eastAsia="Arial" w:hAnsi="Arial"/>
                <w:sz w:val="14"/>
                <w:szCs w:val="14"/>
                <w:color w:val="auto"/>
              </w:rPr>
              <w:t>9/13/2018</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w w:val="99"/>
              </w:rPr>
              <w:t>7,737,848</w:t>
            </w: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7,737,848</w:t>
            </w:r>
          </w:p>
        </w:tc>
        <w:tc>
          <w:tcPr>
            <w:tcW w:w="200" w:type="dxa"/>
            <w:vAlign w:val="bottom"/>
            <w:tcBorders>
              <w:lef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7,737,848</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6.3%</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500" w:type="dxa"/>
            <w:vAlign w:val="bottom"/>
            <w:gridSpan w:val="2"/>
          </w:tcPr>
          <w:p>
            <w:pPr>
              <w:spacing w:after="0" w:line="130" w:lineRule="exact"/>
              <w:rPr>
                <w:sz w:val="20"/>
                <w:szCs w:val="20"/>
                <w:color w:val="auto"/>
              </w:rPr>
            </w:pPr>
            <w:r>
              <w:rPr>
                <w:rFonts w:ascii="Arial" w:cs="Arial" w:eastAsia="Arial" w:hAnsi="Arial"/>
                <w:sz w:val="14"/>
                <w:szCs w:val="14"/>
                <w:color w:val="auto"/>
              </w:rPr>
              <w:t>Take 5 Oil Change, L.L.C. (d), (g)</w:t>
            </w:r>
          </w:p>
        </w:tc>
        <w:tc>
          <w:tcPr>
            <w:tcW w:w="1540" w:type="dxa"/>
            <w:vAlign w:val="bottom"/>
            <w:gridSpan w:val="2"/>
          </w:tcPr>
          <w:p>
            <w:pPr>
              <w:ind w:left="320"/>
              <w:spacing w:after="0" w:line="130" w:lineRule="exact"/>
              <w:rPr>
                <w:sz w:val="20"/>
                <w:szCs w:val="20"/>
                <w:color w:val="auto"/>
              </w:rPr>
            </w:pPr>
            <w:r>
              <w:rPr>
                <w:rFonts w:ascii="Arial" w:cs="Arial" w:eastAsia="Arial" w:hAnsi="Arial"/>
                <w:sz w:val="14"/>
                <w:szCs w:val="14"/>
                <w:color w:val="auto"/>
              </w:rPr>
              <w:t>Automotive</w:t>
            </w:r>
          </w:p>
        </w:tc>
        <w:tc>
          <w:tcPr>
            <w:tcW w:w="2700" w:type="dxa"/>
            <w:vAlign w:val="bottom"/>
            <w:gridSpan w:val="2"/>
          </w:tcPr>
          <w:p>
            <w:pPr>
              <w:ind w:left="100"/>
              <w:spacing w:after="0" w:line="130" w:lineRule="exact"/>
              <w:rPr>
                <w:sz w:val="20"/>
                <w:szCs w:val="20"/>
                <w:color w:val="auto"/>
              </w:rPr>
            </w:pPr>
            <w:r>
              <w:rPr>
                <w:rFonts w:ascii="Arial" w:cs="Arial" w:eastAsia="Arial" w:hAnsi="Arial"/>
                <w:sz w:val="14"/>
                <w:szCs w:val="14"/>
                <w:color w:val="auto"/>
              </w:rPr>
              <w:t>Common Stock</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1540" w:type="dxa"/>
            <w:vAlign w:val="bottom"/>
            <w:gridSpan w:val="2"/>
          </w:tcPr>
          <w:p>
            <w:pPr>
              <w:ind w:left="320"/>
              <w:spacing w:after="0"/>
              <w:rPr>
                <w:sz w:val="20"/>
                <w:szCs w:val="20"/>
                <w:color w:val="auto"/>
              </w:rPr>
            </w:pPr>
            <w:r>
              <w:rPr>
                <w:rFonts w:ascii="Arial" w:cs="Arial" w:eastAsia="Arial" w:hAnsi="Arial"/>
                <w:sz w:val="14"/>
                <w:szCs w:val="14"/>
                <w:color w:val="auto"/>
              </w:rPr>
              <w:t>Aftermarket</w:t>
            </w:r>
          </w:p>
        </w:tc>
        <w:tc>
          <w:tcPr>
            <w:tcW w:w="10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4"/>
                <w:szCs w:val="14"/>
                <w:color w:val="auto"/>
              </w:rPr>
              <w:t>7,128</w:t>
            </w: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480,535</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1,472,502</w:t>
            </w:r>
          </w:p>
        </w:tc>
        <w:tc>
          <w:tcPr>
            <w:tcW w:w="180" w:type="dxa"/>
            <w:vAlign w:val="bottom"/>
          </w:tcPr>
          <w:p>
            <w:pPr>
              <w:spacing w:after="0"/>
              <w:rPr>
                <w:sz w:val="14"/>
                <w:szCs w:val="14"/>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9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0" w:type="dxa"/>
            <w:vAlign w:val="bottom"/>
            <w:tcBorders>
              <w:right w:val="single" w:sz="8" w:color="CCEEFF"/>
            </w:tcBorders>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Total Automotive Aftermarket</w:t>
            </w: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9,218,383</w:t>
            </w:r>
          </w:p>
        </w:tc>
        <w:tc>
          <w:tcPr>
            <w:tcW w:w="200" w:type="dxa"/>
            <w:vAlign w:val="bottom"/>
            <w:tcBorders>
              <w:lef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10,979,782</w:t>
            </w:r>
          </w:p>
        </w:tc>
        <w:tc>
          <w:tcPr>
            <w:tcW w:w="1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8.9%</w:t>
            </w:r>
          </w:p>
        </w:tc>
        <w:tc>
          <w:tcPr>
            <w:tcW w:w="0" w:type="dxa"/>
            <w:vAlign w:val="bottom"/>
          </w:tcPr>
          <w:p>
            <w:pPr>
              <w:spacing w:after="0"/>
              <w:rPr>
                <w:sz w:val="1"/>
                <w:szCs w:val="1"/>
                <w:color w:val="auto"/>
              </w:rPr>
            </w:pPr>
          </w:p>
        </w:tc>
      </w:tr>
      <w:tr>
        <w:trPr>
          <w:trHeight w:val="20"/>
        </w:trPr>
        <w:tc>
          <w:tcPr>
            <w:tcW w:w="3520" w:type="dxa"/>
            <w:vAlign w:val="bottom"/>
            <w:gridSpan w:val="3"/>
            <w:vMerge w:val="restart"/>
          </w:tcPr>
          <w:p>
            <w:pPr>
              <w:spacing w:after="0"/>
              <w:rPr>
                <w:sz w:val="20"/>
                <w:szCs w:val="20"/>
                <w:color w:val="auto"/>
              </w:rPr>
            </w:pPr>
            <w:r>
              <w:rPr>
                <w:rFonts w:ascii="Arial" w:cs="Arial" w:eastAsia="Arial" w:hAnsi="Arial"/>
                <w:sz w:val="14"/>
                <w:szCs w:val="14"/>
                <w:color w:val="auto"/>
              </w:rPr>
              <w:t>Legacy Cabinets Holdings (d), (g)</w:t>
            </w:r>
          </w:p>
        </w:tc>
        <w:tc>
          <w:tcPr>
            <w:tcW w:w="1540" w:type="dxa"/>
            <w:vAlign w:val="bottom"/>
            <w:gridSpan w:val="2"/>
            <w:vMerge w:val="restart"/>
          </w:tcPr>
          <w:p>
            <w:pPr>
              <w:ind w:left="320"/>
              <w:spacing w:after="0"/>
              <w:rPr>
                <w:sz w:val="20"/>
                <w:szCs w:val="20"/>
                <w:color w:val="auto"/>
              </w:rPr>
            </w:pPr>
            <w:r>
              <w:rPr>
                <w:rFonts w:ascii="Arial" w:cs="Arial" w:eastAsia="Arial" w:hAnsi="Arial"/>
                <w:sz w:val="14"/>
                <w:szCs w:val="14"/>
                <w:color w:val="auto"/>
              </w:rPr>
              <w:t>Building Products</w:t>
            </w:r>
          </w:p>
        </w:tc>
        <w:tc>
          <w:tcPr>
            <w:tcW w:w="2700" w:type="dxa"/>
            <w:vAlign w:val="bottom"/>
            <w:gridSpan w:val="2"/>
            <w:vMerge w:val="restart"/>
          </w:tcPr>
          <w:p>
            <w:pPr>
              <w:ind w:left="100"/>
              <w:spacing w:after="0"/>
              <w:rPr>
                <w:sz w:val="20"/>
                <w:szCs w:val="20"/>
                <w:color w:val="auto"/>
              </w:rPr>
            </w:pPr>
            <w:r>
              <w:rPr>
                <w:rFonts w:ascii="Arial" w:cs="Arial" w:eastAsia="Arial" w:hAnsi="Arial"/>
                <w:sz w:val="14"/>
                <w:szCs w:val="14"/>
                <w:color w:val="auto"/>
              </w:rPr>
              <w:t>Common Stock Voting A-1</w:t>
            </w:r>
          </w:p>
        </w:tc>
        <w:tc>
          <w:tcPr>
            <w:tcW w:w="80" w:type="dxa"/>
            <w:vAlign w:val="bottom"/>
          </w:tcPr>
          <w:p>
            <w:pPr>
              <w:spacing w:after="0" w:line="20" w:lineRule="exact"/>
              <w:rPr>
                <w:sz w:val="1"/>
                <w:szCs w:val="1"/>
                <w:color w:val="auto"/>
              </w:rPr>
            </w:pPr>
          </w:p>
        </w:tc>
        <w:tc>
          <w:tcPr>
            <w:tcW w:w="84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2,535</w:t>
            </w: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520" w:type="dxa"/>
            <w:vAlign w:val="bottom"/>
            <w:gridSpan w:val="3"/>
            <w:vMerge w:val="continue"/>
          </w:tcPr>
          <w:p>
            <w:pPr>
              <w:spacing w:after="0"/>
              <w:rPr>
                <w:sz w:val="13"/>
                <w:szCs w:val="13"/>
                <w:color w:val="auto"/>
              </w:rPr>
            </w:pPr>
          </w:p>
        </w:tc>
        <w:tc>
          <w:tcPr>
            <w:tcW w:w="1540" w:type="dxa"/>
            <w:vAlign w:val="bottom"/>
            <w:gridSpan w:val="2"/>
            <w:vMerge w:val="continue"/>
          </w:tcPr>
          <w:p>
            <w:pPr>
              <w:spacing w:after="0"/>
              <w:rPr>
                <w:sz w:val="13"/>
                <w:szCs w:val="13"/>
                <w:color w:val="auto"/>
              </w:rPr>
            </w:pPr>
          </w:p>
        </w:tc>
        <w:tc>
          <w:tcPr>
            <w:tcW w:w="270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jc w:val="right"/>
              <w:spacing w:after="0" w:line="155" w:lineRule="exact"/>
              <w:rPr>
                <w:sz w:val="20"/>
                <w:szCs w:val="20"/>
                <w:color w:val="auto"/>
              </w:rPr>
            </w:pPr>
            <w:r>
              <w:rPr>
                <w:rFonts w:ascii="Arial" w:cs="Arial" w:eastAsia="Arial" w:hAnsi="Arial"/>
                <w:sz w:val="14"/>
                <w:szCs w:val="14"/>
                <w:color w:val="auto"/>
              </w:rPr>
              <w:t>220,900</w:t>
            </w:r>
          </w:p>
        </w:tc>
        <w:tc>
          <w:tcPr>
            <w:tcW w:w="20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jc w:val="right"/>
              <w:spacing w:after="0" w:line="155" w:lineRule="exact"/>
              <w:rPr>
                <w:sz w:val="20"/>
                <w:szCs w:val="20"/>
                <w:color w:val="auto"/>
              </w:rPr>
            </w:pPr>
            <w:r>
              <w:rPr>
                <w:rFonts w:ascii="Arial" w:cs="Arial" w:eastAsia="Arial" w:hAnsi="Arial"/>
                <w:sz w:val="14"/>
                <w:szCs w:val="14"/>
                <w:color w:val="auto"/>
              </w:rPr>
              <w:t>1,493,470</w:t>
            </w:r>
          </w:p>
        </w:tc>
        <w:tc>
          <w:tcPr>
            <w:tcW w:w="180" w:type="dxa"/>
            <w:vAlign w:val="bottom"/>
            <w:vMerge w:val="continue"/>
          </w:tcPr>
          <w:p>
            <w:pPr>
              <w:spacing w:after="0"/>
              <w:rPr>
                <w:sz w:val="13"/>
                <w:szCs w:val="13"/>
                <w:color w:val="auto"/>
              </w:rPr>
            </w:pPr>
          </w:p>
        </w:tc>
        <w:tc>
          <w:tcPr>
            <w:tcW w:w="80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Legacy Cabinets Holdings (d), (g)</w:t>
            </w:r>
          </w:p>
        </w:tc>
        <w:tc>
          <w:tcPr>
            <w:tcW w:w="1540" w:type="dxa"/>
            <w:vAlign w:val="bottom"/>
            <w:gridSpan w:val="2"/>
            <w:shd w:val="clear" w:color="auto" w:fill="CCEEFF"/>
          </w:tcPr>
          <w:p>
            <w:pPr>
              <w:ind w:left="320"/>
              <w:spacing w:after="0" w:line="149" w:lineRule="exact"/>
              <w:rPr>
                <w:sz w:val="20"/>
                <w:szCs w:val="20"/>
                <w:color w:val="auto"/>
              </w:rPr>
            </w:pPr>
            <w:r>
              <w:rPr>
                <w:rFonts w:ascii="Arial" w:cs="Arial" w:eastAsia="Arial" w:hAnsi="Arial"/>
                <w:sz w:val="14"/>
                <w:szCs w:val="14"/>
                <w:color w:val="auto"/>
              </w:rPr>
              <w:t>Building Products</w:t>
            </w:r>
          </w:p>
        </w:tc>
        <w:tc>
          <w:tcPr>
            <w:tcW w:w="2700" w:type="dxa"/>
            <w:vAlign w:val="bottom"/>
            <w:tcBorders>
              <w:right w:val="single" w:sz="8" w:color="CCEEFF"/>
            </w:tcBorders>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Common Stock Voting B-1</w:t>
            </w: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1,600</w:t>
            </w: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139,424</w:t>
            </w:r>
          </w:p>
        </w:tc>
        <w:tc>
          <w:tcPr>
            <w:tcW w:w="200" w:type="dxa"/>
            <w:vAlign w:val="bottom"/>
            <w:tcBorders>
              <w:lef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942,624</w:t>
            </w:r>
          </w:p>
        </w:tc>
        <w:tc>
          <w:tcPr>
            <w:tcW w:w="8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0.8%</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500" w:type="dxa"/>
            <w:vAlign w:val="bottom"/>
            <w:gridSpan w:val="2"/>
          </w:tcPr>
          <w:p>
            <w:pPr>
              <w:spacing w:after="0" w:line="130" w:lineRule="exact"/>
              <w:rPr>
                <w:sz w:val="20"/>
                <w:szCs w:val="20"/>
                <w:color w:val="auto"/>
              </w:rPr>
            </w:pPr>
            <w:r>
              <w:rPr>
                <w:rFonts w:ascii="Arial" w:cs="Arial" w:eastAsia="Arial" w:hAnsi="Arial"/>
                <w:sz w:val="14"/>
                <w:szCs w:val="14"/>
                <w:color w:val="auto"/>
              </w:rPr>
              <w:t>Polar Holding Company, Ltd. (a), (i)</w:t>
            </w:r>
          </w:p>
        </w:tc>
        <w:tc>
          <w:tcPr>
            <w:tcW w:w="1540" w:type="dxa"/>
            <w:vAlign w:val="bottom"/>
            <w:gridSpan w:val="2"/>
          </w:tcPr>
          <w:p>
            <w:pPr>
              <w:ind w:left="320"/>
              <w:spacing w:after="0" w:line="130" w:lineRule="exact"/>
              <w:rPr>
                <w:sz w:val="20"/>
                <w:szCs w:val="20"/>
                <w:color w:val="auto"/>
              </w:rPr>
            </w:pPr>
            <w:r>
              <w:rPr>
                <w:rFonts w:ascii="Arial" w:cs="Arial" w:eastAsia="Arial" w:hAnsi="Arial"/>
                <w:sz w:val="14"/>
                <w:szCs w:val="14"/>
                <w:color w:val="auto"/>
              </w:rPr>
              <w:t>Building Products</w:t>
            </w:r>
          </w:p>
        </w:tc>
        <w:tc>
          <w:tcPr>
            <w:tcW w:w="2700" w:type="dxa"/>
            <w:vAlign w:val="bottom"/>
            <w:gridSpan w:val="2"/>
          </w:tcPr>
          <w:p>
            <w:pPr>
              <w:ind w:left="100"/>
              <w:spacing w:after="0" w:line="130" w:lineRule="exact"/>
              <w:rPr>
                <w:sz w:val="20"/>
                <w:szCs w:val="20"/>
                <w:color w:val="auto"/>
              </w:rPr>
            </w:pPr>
            <w:r>
              <w:rPr>
                <w:rFonts w:ascii="Arial" w:cs="Arial" w:eastAsia="Arial" w:hAnsi="Arial"/>
                <w:sz w:val="14"/>
                <w:szCs w:val="14"/>
                <w:color w:val="auto"/>
              </w:rPr>
              <w:t>First Lien Term Loan 10.00% Cash,</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700" w:type="dxa"/>
            <w:vAlign w:val="bottom"/>
            <w:gridSpan w:val="2"/>
          </w:tcPr>
          <w:p>
            <w:pPr>
              <w:ind w:left="100"/>
              <w:spacing w:after="0"/>
              <w:rPr>
                <w:sz w:val="20"/>
                <w:szCs w:val="20"/>
                <w:color w:val="auto"/>
              </w:rPr>
            </w:pPr>
            <w:r>
              <w:rPr>
                <w:rFonts w:ascii="Arial" w:cs="Arial" w:eastAsia="Arial" w:hAnsi="Arial"/>
                <w:sz w:val="14"/>
                <w:szCs w:val="14"/>
                <w:color w:val="auto"/>
              </w:rPr>
              <w:t>8/13/2016</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gridSpan w:val="2"/>
          </w:tcPr>
          <w:p>
            <w:pPr>
              <w:jc w:val="right"/>
              <w:ind w:right="200"/>
              <w:spacing w:after="0"/>
              <w:rPr>
                <w:sz w:val="20"/>
                <w:szCs w:val="20"/>
                <w:color w:val="auto"/>
              </w:rPr>
            </w:pPr>
            <w:r>
              <w:rPr>
                <w:rFonts w:ascii="Arial" w:cs="Arial" w:eastAsia="Arial" w:hAnsi="Arial"/>
                <w:sz w:val="14"/>
                <w:szCs w:val="14"/>
                <w:color w:val="auto"/>
                <w:w w:val="99"/>
              </w:rPr>
              <w:t>1,000,000</w:t>
            </w: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w w:val="99"/>
              </w:rPr>
              <w:t>1,000,000</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1,000,000</w:t>
            </w:r>
          </w:p>
        </w:tc>
        <w:tc>
          <w:tcPr>
            <w:tcW w:w="180" w:type="dxa"/>
            <w:vAlign w:val="bottom"/>
          </w:tcPr>
          <w:p>
            <w:pPr>
              <w:spacing w:after="0"/>
              <w:rPr>
                <w:sz w:val="14"/>
                <w:szCs w:val="14"/>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4"/>
                <w:szCs w:val="14"/>
                <w:color w:val="auto"/>
              </w:rPr>
              <w:t>0.8%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9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0" w:type="dxa"/>
            <w:vAlign w:val="bottom"/>
            <w:tcBorders>
              <w:right w:val="single" w:sz="8" w:color="CCEEFF"/>
            </w:tcBorders>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Total Building Products</w:t>
            </w: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1,360,324</w:t>
            </w:r>
          </w:p>
        </w:tc>
        <w:tc>
          <w:tcPr>
            <w:tcW w:w="200" w:type="dxa"/>
            <w:vAlign w:val="bottom"/>
            <w:tcBorders>
              <w:lef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3,436,094</w:t>
            </w:r>
          </w:p>
        </w:tc>
        <w:tc>
          <w:tcPr>
            <w:tcW w:w="1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2.8%</w:t>
            </w:r>
          </w:p>
        </w:tc>
        <w:tc>
          <w:tcPr>
            <w:tcW w:w="0" w:type="dxa"/>
            <w:vAlign w:val="bottom"/>
          </w:tcPr>
          <w:p>
            <w:pPr>
              <w:spacing w:after="0"/>
              <w:rPr>
                <w:sz w:val="1"/>
                <w:szCs w:val="1"/>
                <w:color w:val="auto"/>
              </w:rPr>
            </w:pPr>
          </w:p>
        </w:tc>
      </w:tr>
      <w:tr>
        <w:trPr>
          <w:trHeight w:val="137"/>
        </w:trPr>
        <w:tc>
          <w:tcPr>
            <w:tcW w:w="3520" w:type="dxa"/>
            <w:vAlign w:val="bottom"/>
            <w:gridSpan w:val="3"/>
          </w:tcPr>
          <w:p>
            <w:pPr>
              <w:spacing w:after="0" w:line="137" w:lineRule="exact"/>
              <w:rPr>
                <w:sz w:val="20"/>
                <w:szCs w:val="20"/>
                <w:color w:val="auto"/>
              </w:rPr>
            </w:pPr>
            <w:r>
              <w:rPr>
                <w:rFonts w:ascii="Arial" w:cs="Arial" w:eastAsia="Arial" w:hAnsi="Arial"/>
                <w:sz w:val="14"/>
                <w:szCs w:val="14"/>
                <w:color w:val="auto"/>
              </w:rPr>
              <w:t>BMC Software, Inc. (d)</w:t>
            </w:r>
          </w:p>
        </w:tc>
        <w:tc>
          <w:tcPr>
            <w:tcW w:w="1540" w:type="dxa"/>
            <w:vAlign w:val="bottom"/>
            <w:gridSpan w:val="2"/>
          </w:tcPr>
          <w:p>
            <w:pPr>
              <w:ind w:left="320"/>
              <w:spacing w:after="0" w:line="137" w:lineRule="exact"/>
              <w:rPr>
                <w:sz w:val="20"/>
                <w:szCs w:val="20"/>
                <w:color w:val="auto"/>
              </w:rPr>
            </w:pPr>
            <w:r>
              <w:rPr>
                <w:rFonts w:ascii="Arial" w:cs="Arial" w:eastAsia="Arial" w:hAnsi="Arial"/>
                <w:sz w:val="14"/>
                <w:szCs w:val="14"/>
                <w:color w:val="auto"/>
              </w:rPr>
              <w:t>Business Services</w:t>
            </w:r>
          </w:p>
        </w:tc>
        <w:tc>
          <w:tcPr>
            <w:tcW w:w="2700" w:type="dxa"/>
            <w:vAlign w:val="bottom"/>
            <w:gridSpan w:val="2"/>
          </w:tcPr>
          <w:p>
            <w:pPr>
              <w:ind w:left="100"/>
              <w:spacing w:after="0" w:line="137" w:lineRule="exact"/>
              <w:rPr>
                <w:sz w:val="20"/>
                <w:szCs w:val="20"/>
                <w:color w:val="auto"/>
              </w:rPr>
            </w:pPr>
            <w:r>
              <w:rPr>
                <w:rFonts w:ascii="Arial" w:cs="Arial" w:eastAsia="Arial" w:hAnsi="Arial"/>
                <w:sz w:val="14"/>
                <w:szCs w:val="14"/>
                <w:color w:val="auto"/>
              </w:rPr>
              <w:t>First Lien Term Loan 5.00% Cash,</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700" w:type="dxa"/>
            <w:vAlign w:val="bottom"/>
            <w:gridSpan w:val="2"/>
          </w:tcPr>
          <w:p>
            <w:pPr>
              <w:ind w:left="100"/>
              <w:spacing w:after="0"/>
              <w:rPr>
                <w:sz w:val="20"/>
                <w:szCs w:val="20"/>
                <w:color w:val="auto"/>
              </w:rPr>
            </w:pPr>
            <w:r>
              <w:rPr>
                <w:rFonts w:ascii="Arial" w:cs="Arial" w:eastAsia="Arial" w:hAnsi="Arial"/>
                <w:sz w:val="14"/>
                <w:szCs w:val="14"/>
                <w:color w:val="auto"/>
              </w:rPr>
              <w:t>9/10/2020</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gridSpan w:val="2"/>
          </w:tcPr>
          <w:p>
            <w:pPr>
              <w:jc w:val="right"/>
              <w:ind w:right="200"/>
              <w:spacing w:after="0"/>
              <w:rPr>
                <w:sz w:val="20"/>
                <w:szCs w:val="20"/>
                <w:color w:val="auto"/>
              </w:rPr>
            </w:pPr>
            <w:r>
              <w:rPr>
                <w:rFonts w:ascii="Arial" w:cs="Arial" w:eastAsia="Arial" w:hAnsi="Arial"/>
                <w:sz w:val="14"/>
                <w:szCs w:val="14"/>
                <w:color w:val="auto"/>
                <w:w w:val="99"/>
              </w:rPr>
              <w:t>5,731,667</w:t>
            </w: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w w:val="99"/>
              </w:rPr>
              <w:t>5,686,622</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5,478,327</w:t>
            </w:r>
          </w:p>
        </w:tc>
        <w:tc>
          <w:tcPr>
            <w:tcW w:w="800" w:type="dxa"/>
            <w:vAlign w:val="bottom"/>
            <w:gridSpan w:val="2"/>
          </w:tcPr>
          <w:p>
            <w:pPr>
              <w:jc w:val="right"/>
              <w:ind w:right="40"/>
              <w:spacing w:after="0"/>
              <w:rPr>
                <w:sz w:val="20"/>
                <w:szCs w:val="20"/>
                <w:color w:val="auto"/>
              </w:rPr>
            </w:pPr>
            <w:r>
              <w:rPr>
                <w:rFonts w:ascii="Arial" w:cs="Arial" w:eastAsia="Arial" w:hAnsi="Arial"/>
                <w:sz w:val="14"/>
                <w:szCs w:val="14"/>
                <w:color w:val="auto"/>
              </w:rPr>
              <w:t>4.5%</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5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Dispensing Dynamics International (d)</w:t>
            </w:r>
          </w:p>
        </w:tc>
        <w:tc>
          <w:tcPr>
            <w:tcW w:w="1540" w:type="dxa"/>
            <w:vAlign w:val="bottom"/>
            <w:gridSpan w:val="2"/>
            <w:shd w:val="clear" w:color="auto" w:fill="CCEEFF"/>
          </w:tcPr>
          <w:p>
            <w:pPr>
              <w:ind w:left="320"/>
              <w:spacing w:after="0" w:line="130" w:lineRule="exact"/>
              <w:rPr>
                <w:sz w:val="20"/>
                <w:szCs w:val="20"/>
                <w:color w:val="auto"/>
              </w:rPr>
            </w:pPr>
            <w:r>
              <w:rPr>
                <w:rFonts w:ascii="Arial" w:cs="Arial" w:eastAsia="Arial" w:hAnsi="Arial"/>
                <w:sz w:val="14"/>
                <w:szCs w:val="14"/>
                <w:color w:val="auto"/>
              </w:rPr>
              <w:t>Business Services</w:t>
            </w:r>
          </w:p>
        </w:tc>
        <w:tc>
          <w:tcPr>
            <w:tcW w:w="2700" w:type="dxa"/>
            <w:vAlign w:val="bottom"/>
            <w:tcBorders>
              <w:right w:val="single" w:sz="8" w:color="CCEEFF"/>
            </w:tcBorders>
            <w:gridSpan w:val="2"/>
            <w:shd w:val="clear" w:color="auto" w:fill="CCEEFF"/>
          </w:tcPr>
          <w:p>
            <w:pPr>
              <w:ind w:left="100"/>
              <w:spacing w:after="0" w:line="130" w:lineRule="exact"/>
              <w:rPr>
                <w:sz w:val="20"/>
                <w:szCs w:val="20"/>
                <w:color w:val="auto"/>
              </w:rPr>
            </w:pPr>
            <w:r>
              <w:rPr>
                <w:rFonts w:ascii="Arial" w:cs="Arial" w:eastAsia="Arial" w:hAnsi="Arial"/>
                <w:sz w:val="14"/>
                <w:szCs w:val="14"/>
                <w:color w:val="auto"/>
              </w:rPr>
              <w:t>Senior Secured Note 12.50% Cash,</w:t>
            </w: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00" w:type="dxa"/>
            <w:vAlign w:val="bottom"/>
            <w:tcBorders>
              <w:lef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9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2700" w:type="dxa"/>
            <w:vAlign w:val="bottom"/>
            <w:tcBorders>
              <w:right w:val="single" w:sz="8" w:color="CCEEFF"/>
            </w:tcBorders>
            <w:gridSpan w:val="2"/>
            <w:shd w:val="clear" w:color="auto" w:fill="CCEEFF"/>
          </w:tcPr>
          <w:p>
            <w:pPr>
              <w:ind w:left="100"/>
              <w:spacing w:after="0"/>
              <w:rPr>
                <w:sz w:val="20"/>
                <w:szCs w:val="20"/>
                <w:color w:val="auto"/>
              </w:rPr>
            </w:pPr>
            <w:r>
              <w:rPr>
                <w:rFonts w:ascii="Arial" w:cs="Arial" w:eastAsia="Arial" w:hAnsi="Arial"/>
                <w:sz w:val="14"/>
                <w:szCs w:val="14"/>
                <w:color w:val="auto"/>
              </w:rPr>
              <w:t>1/1/2018</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w w:val="99"/>
              </w:rPr>
              <w:t>7,000,000</w:t>
            </w: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6,910,112</w:t>
            </w:r>
          </w:p>
        </w:tc>
        <w:tc>
          <w:tcPr>
            <w:tcW w:w="200" w:type="dxa"/>
            <w:vAlign w:val="bottom"/>
            <w:tcBorders>
              <w:lef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7,350,000</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6.0%</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500" w:type="dxa"/>
            <w:vAlign w:val="bottom"/>
            <w:gridSpan w:val="2"/>
          </w:tcPr>
          <w:p>
            <w:pPr>
              <w:spacing w:after="0" w:line="130" w:lineRule="exact"/>
              <w:rPr>
                <w:sz w:val="20"/>
                <w:szCs w:val="20"/>
                <w:color w:val="auto"/>
              </w:rPr>
            </w:pPr>
            <w:r>
              <w:rPr>
                <w:rFonts w:ascii="Arial" w:cs="Arial" w:eastAsia="Arial" w:hAnsi="Arial"/>
                <w:sz w:val="14"/>
                <w:szCs w:val="14"/>
                <w:color w:val="auto"/>
              </w:rPr>
              <w:t>Easy Ice, LLC (d)</w:t>
            </w:r>
          </w:p>
        </w:tc>
        <w:tc>
          <w:tcPr>
            <w:tcW w:w="1540" w:type="dxa"/>
            <w:vAlign w:val="bottom"/>
            <w:gridSpan w:val="2"/>
          </w:tcPr>
          <w:p>
            <w:pPr>
              <w:ind w:left="320"/>
              <w:spacing w:after="0" w:line="130" w:lineRule="exact"/>
              <w:rPr>
                <w:sz w:val="20"/>
                <w:szCs w:val="20"/>
                <w:color w:val="auto"/>
              </w:rPr>
            </w:pPr>
            <w:r>
              <w:rPr>
                <w:rFonts w:ascii="Arial" w:cs="Arial" w:eastAsia="Arial" w:hAnsi="Arial"/>
                <w:sz w:val="14"/>
                <w:szCs w:val="14"/>
                <w:color w:val="auto"/>
              </w:rPr>
              <w:t>Business Services</w:t>
            </w:r>
          </w:p>
        </w:tc>
        <w:tc>
          <w:tcPr>
            <w:tcW w:w="2700" w:type="dxa"/>
            <w:vAlign w:val="bottom"/>
            <w:gridSpan w:val="2"/>
          </w:tcPr>
          <w:p>
            <w:pPr>
              <w:ind w:left="100"/>
              <w:spacing w:after="0" w:line="130" w:lineRule="exact"/>
              <w:rPr>
                <w:sz w:val="20"/>
                <w:szCs w:val="20"/>
                <w:color w:val="auto"/>
              </w:rPr>
            </w:pPr>
            <w:r>
              <w:rPr>
                <w:rFonts w:ascii="Arial" w:cs="Arial" w:eastAsia="Arial" w:hAnsi="Arial"/>
                <w:sz w:val="14"/>
                <w:szCs w:val="14"/>
                <w:color w:val="auto"/>
              </w:rPr>
              <w:t>First Lien Term Loan 9.50% Cash,</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700" w:type="dxa"/>
            <w:vAlign w:val="bottom"/>
            <w:gridSpan w:val="2"/>
          </w:tcPr>
          <w:p>
            <w:pPr>
              <w:ind w:left="100"/>
              <w:spacing w:after="0"/>
              <w:rPr>
                <w:sz w:val="20"/>
                <w:szCs w:val="20"/>
                <w:color w:val="auto"/>
              </w:rPr>
            </w:pPr>
            <w:r>
              <w:rPr>
                <w:rFonts w:ascii="Arial" w:cs="Arial" w:eastAsia="Arial" w:hAnsi="Arial"/>
                <w:sz w:val="14"/>
                <w:szCs w:val="14"/>
                <w:color w:val="auto"/>
              </w:rPr>
              <w:t>1/15/2020</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gridSpan w:val="2"/>
          </w:tcPr>
          <w:p>
            <w:pPr>
              <w:jc w:val="right"/>
              <w:ind w:right="200"/>
              <w:spacing w:after="0"/>
              <w:rPr>
                <w:sz w:val="20"/>
                <w:szCs w:val="20"/>
                <w:color w:val="auto"/>
              </w:rPr>
            </w:pPr>
            <w:r>
              <w:rPr>
                <w:rFonts w:ascii="Arial" w:cs="Arial" w:eastAsia="Arial" w:hAnsi="Arial"/>
                <w:sz w:val="14"/>
                <w:szCs w:val="14"/>
                <w:color w:val="auto"/>
                <w:w w:val="88"/>
              </w:rPr>
              <w:t>12,000,000</w:t>
            </w: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w w:val="88"/>
              </w:rPr>
              <w:t>11,872,639</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w w:val="99"/>
              </w:rPr>
              <w:t>12,000,000</w:t>
            </w:r>
          </w:p>
        </w:tc>
        <w:tc>
          <w:tcPr>
            <w:tcW w:w="800" w:type="dxa"/>
            <w:vAlign w:val="bottom"/>
            <w:gridSpan w:val="2"/>
          </w:tcPr>
          <w:p>
            <w:pPr>
              <w:jc w:val="right"/>
              <w:ind w:right="40"/>
              <w:spacing w:after="0"/>
              <w:rPr>
                <w:sz w:val="20"/>
                <w:szCs w:val="20"/>
                <w:color w:val="auto"/>
              </w:rPr>
            </w:pPr>
            <w:r>
              <w:rPr>
                <w:rFonts w:ascii="Arial" w:cs="Arial" w:eastAsia="Arial" w:hAnsi="Arial"/>
                <w:sz w:val="14"/>
                <w:szCs w:val="14"/>
                <w:color w:val="auto"/>
              </w:rPr>
              <w:t>9.6%</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5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Emily Street Enterprises, L.L.C.</w:t>
            </w:r>
          </w:p>
        </w:tc>
        <w:tc>
          <w:tcPr>
            <w:tcW w:w="1540" w:type="dxa"/>
            <w:vAlign w:val="bottom"/>
            <w:gridSpan w:val="2"/>
            <w:shd w:val="clear" w:color="auto" w:fill="CCEEFF"/>
          </w:tcPr>
          <w:p>
            <w:pPr>
              <w:ind w:left="320"/>
              <w:spacing w:after="0" w:line="130" w:lineRule="exact"/>
              <w:rPr>
                <w:sz w:val="20"/>
                <w:szCs w:val="20"/>
                <w:color w:val="auto"/>
              </w:rPr>
            </w:pPr>
            <w:r>
              <w:rPr>
                <w:rFonts w:ascii="Arial" w:cs="Arial" w:eastAsia="Arial" w:hAnsi="Arial"/>
                <w:sz w:val="14"/>
                <w:szCs w:val="14"/>
                <w:color w:val="auto"/>
              </w:rPr>
              <w:t>Business Services</w:t>
            </w:r>
          </w:p>
        </w:tc>
        <w:tc>
          <w:tcPr>
            <w:tcW w:w="2700" w:type="dxa"/>
            <w:vAlign w:val="bottom"/>
            <w:tcBorders>
              <w:right w:val="single" w:sz="8" w:color="CCEEFF"/>
            </w:tcBorders>
            <w:gridSpan w:val="2"/>
            <w:shd w:val="clear" w:color="auto" w:fill="CCEEFF"/>
          </w:tcPr>
          <w:p>
            <w:pPr>
              <w:ind w:left="100"/>
              <w:spacing w:after="0" w:line="130" w:lineRule="exact"/>
              <w:rPr>
                <w:sz w:val="20"/>
                <w:szCs w:val="20"/>
                <w:color w:val="auto"/>
              </w:rPr>
            </w:pPr>
            <w:r>
              <w:rPr>
                <w:rFonts w:ascii="Arial" w:cs="Arial" w:eastAsia="Arial" w:hAnsi="Arial"/>
                <w:sz w:val="14"/>
                <w:szCs w:val="14"/>
                <w:color w:val="auto"/>
              </w:rPr>
              <w:t>Senior Secured Note 10.00% Cash,</w:t>
            </w: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00" w:type="dxa"/>
            <w:vAlign w:val="bottom"/>
            <w:tcBorders>
              <w:lef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9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2700" w:type="dxa"/>
            <w:vAlign w:val="bottom"/>
            <w:tcBorders>
              <w:right w:val="single" w:sz="8" w:color="CCEEFF"/>
            </w:tcBorders>
            <w:gridSpan w:val="2"/>
            <w:shd w:val="clear" w:color="auto" w:fill="CCEEFF"/>
          </w:tcPr>
          <w:p>
            <w:pPr>
              <w:ind w:left="100"/>
              <w:spacing w:after="0"/>
              <w:rPr>
                <w:sz w:val="20"/>
                <w:szCs w:val="20"/>
                <w:color w:val="auto"/>
              </w:rPr>
            </w:pPr>
            <w:r>
              <w:rPr>
                <w:rFonts w:ascii="Arial" w:cs="Arial" w:eastAsia="Arial" w:hAnsi="Arial"/>
                <w:sz w:val="14"/>
                <w:szCs w:val="14"/>
                <w:color w:val="auto"/>
              </w:rPr>
              <w:t>1/23/2020</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w w:val="99"/>
              </w:rPr>
              <w:t>8,400,000</w:t>
            </w: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8,260,787</w:t>
            </w:r>
          </w:p>
        </w:tc>
        <w:tc>
          <w:tcPr>
            <w:tcW w:w="200" w:type="dxa"/>
            <w:vAlign w:val="bottom"/>
            <w:tcBorders>
              <w:lef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8,400,000</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6.9%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00" w:type="dxa"/>
            <w:vAlign w:val="bottom"/>
            <w:gridSpan w:val="2"/>
          </w:tcPr>
          <w:p>
            <w:pPr>
              <w:spacing w:after="0" w:line="149" w:lineRule="exact"/>
              <w:rPr>
                <w:sz w:val="20"/>
                <w:szCs w:val="20"/>
                <w:color w:val="auto"/>
              </w:rPr>
            </w:pPr>
            <w:r>
              <w:rPr>
                <w:rFonts w:ascii="Arial" w:cs="Arial" w:eastAsia="Arial" w:hAnsi="Arial"/>
                <w:sz w:val="14"/>
                <w:szCs w:val="14"/>
                <w:color w:val="auto"/>
              </w:rPr>
              <w:t>Emily Street Enterprises, L.L.C. (g)</w:t>
            </w:r>
          </w:p>
        </w:tc>
        <w:tc>
          <w:tcPr>
            <w:tcW w:w="1540" w:type="dxa"/>
            <w:vAlign w:val="bottom"/>
            <w:gridSpan w:val="2"/>
          </w:tcPr>
          <w:p>
            <w:pPr>
              <w:ind w:left="320"/>
              <w:spacing w:after="0" w:line="149" w:lineRule="exact"/>
              <w:rPr>
                <w:sz w:val="20"/>
                <w:szCs w:val="20"/>
                <w:color w:val="auto"/>
              </w:rPr>
            </w:pPr>
            <w:r>
              <w:rPr>
                <w:rFonts w:ascii="Arial" w:cs="Arial" w:eastAsia="Arial" w:hAnsi="Arial"/>
                <w:sz w:val="14"/>
                <w:szCs w:val="14"/>
                <w:color w:val="auto"/>
              </w:rPr>
              <w:t>Business Services</w:t>
            </w:r>
          </w:p>
        </w:tc>
        <w:tc>
          <w:tcPr>
            <w:tcW w:w="270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Warrant Membership Interests</w:t>
            </w:r>
          </w:p>
        </w:tc>
        <w:tc>
          <w:tcPr>
            <w:tcW w:w="80" w:type="dxa"/>
            <w:vAlign w:val="bottom"/>
          </w:tcPr>
          <w:p>
            <w:pPr>
              <w:spacing w:after="0"/>
              <w:rPr>
                <w:sz w:val="12"/>
                <w:szCs w:val="12"/>
                <w:color w:val="auto"/>
              </w:rPr>
            </w:pPr>
          </w:p>
        </w:tc>
        <w:tc>
          <w:tcPr>
            <w:tcW w:w="8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49,318</w:t>
            </w:r>
          </w:p>
        </w:tc>
        <w:tc>
          <w:tcPr>
            <w:tcW w:w="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400,000</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391,584</w:t>
            </w:r>
          </w:p>
        </w:tc>
        <w:tc>
          <w:tcPr>
            <w:tcW w:w="8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5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Help/Systems Holdings, Inc.(Help/Systems, LLC) (d)</w:t>
            </w:r>
          </w:p>
        </w:tc>
        <w:tc>
          <w:tcPr>
            <w:tcW w:w="1540" w:type="dxa"/>
            <w:vAlign w:val="bottom"/>
            <w:gridSpan w:val="2"/>
            <w:shd w:val="clear" w:color="auto" w:fill="CCEEFF"/>
          </w:tcPr>
          <w:p>
            <w:pPr>
              <w:ind w:left="320"/>
              <w:spacing w:after="0" w:line="130" w:lineRule="exact"/>
              <w:rPr>
                <w:sz w:val="20"/>
                <w:szCs w:val="20"/>
                <w:color w:val="auto"/>
              </w:rPr>
            </w:pPr>
            <w:r>
              <w:rPr>
                <w:rFonts w:ascii="Arial" w:cs="Arial" w:eastAsia="Arial" w:hAnsi="Arial"/>
                <w:sz w:val="14"/>
                <w:szCs w:val="14"/>
                <w:color w:val="auto"/>
              </w:rPr>
              <w:t>Business Services</w:t>
            </w:r>
          </w:p>
        </w:tc>
        <w:tc>
          <w:tcPr>
            <w:tcW w:w="2700" w:type="dxa"/>
            <w:vAlign w:val="bottom"/>
            <w:tcBorders>
              <w:right w:val="single" w:sz="8" w:color="CCEEFF"/>
            </w:tcBorders>
            <w:gridSpan w:val="2"/>
            <w:shd w:val="clear" w:color="auto" w:fill="CCEEFF"/>
          </w:tcPr>
          <w:p>
            <w:pPr>
              <w:ind w:left="100"/>
              <w:spacing w:after="0" w:line="130" w:lineRule="exact"/>
              <w:rPr>
                <w:sz w:val="20"/>
                <w:szCs w:val="20"/>
                <w:color w:val="auto"/>
              </w:rPr>
            </w:pPr>
            <w:r>
              <w:rPr>
                <w:rFonts w:ascii="Arial" w:cs="Arial" w:eastAsia="Arial" w:hAnsi="Arial"/>
                <w:sz w:val="14"/>
                <w:szCs w:val="14"/>
                <w:color w:val="auto"/>
              </w:rPr>
              <w:t>First Lien Term Loan 5.50% Cash,</w:t>
            </w: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00" w:type="dxa"/>
            <w:vAlign w:val="bottom"/>
            <w:tcBorders>
              <w:lef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9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2700" w:type="dxa"/>
            <w:vAlign w:val="bottom"/>
            <w:tcBorders>
              <w:right w:val="single" w:sz="8" w:color="CCEEFF"/>
            </w:tcBorders>
            <w:gridSpan w:val="2"/>
            <w:shd w:val="clear" w:color="auto" w:fill="CCEEFF"/>
          </w:tcPr>
          <w:p>
            <w:pPr>
              <w:ind w:left="100"/>
              <w:spacing w:after="0"/>
              <w:rPr>
                <w:sz w:val="20"/>
                <w:szCs w:val="20"/>
                <w:color w:val="auto"/>
              </w:rPr>
            </w:pPr>
            <w:r>
              <w:rPr>
                <w:rFonts w:ascii="Arial" w:cs="Arial" w:eastAsia="Arial" w:hAnsi="Arial"/>
                <w:sz w:val="14"/>
                <w:szCs w:val="14"/>
                <w:color w:val="auto"/>
              </w:rPr>
              <w:t>6/28/2019</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w w:val="99"/>
              </w:rPr>
              <w:t>1,955,051</w:t>
            </w: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1,941,417</w:t>
            </w:r>
          </w:p>
        </w:tc>
        <w:tc>
          <w:tcPr>
            <w:tcW w:w="200" w:type="dxa"/>
            <w:vAlign w:val="bottom"/>
            <w:tcBorders>
              <w:lef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1,925,725</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500" w:type="dxa"/>
            <w:vAlign w:val="bottom"/>
            <w:gridSpan w:val="2"/>
          </w:tcPr>
          <w:p>
            <w:pPr>
              <w:spacing w:after="0" w:line="130" w:lineRule="exact"/>
              <w:rPr>
                <w:sz w:val="20"/>
                <w:szCs w:val="20"/>
                <w:color w:val="auto"/>
              </w:rPr>
            </w:pPr>
            <w:r>
              <w:rPr>
                <w:rFonts w:ascii="Arial" w:cs="Arial" w:eastAsia="Arial" w:hAnsi="Arial"/>
                <w:sz w:val="14"/>
                <w:szCs w:val="14"/>
                <w:color w:val="auto"/>
              </w:rPr>
              <w:t>Help/Systems Holdings, Inc.(Help/Systems, LLC) (d)</w:t>
            </w:r>
          </w:p>
        </w:tc>
        <w:tc>
          <w:tcPr>
            <w:tcW w:w="1540" w:type="dxa"/>
            <w:vAlign w:val="bottom"/>
            <w:gridSpan w:val="2"/>
          </w:tcPr>
          <w:p>
            <w:pPr>
              <w:ind w:left="320"/>
              <w:spacing w:after="0" w:line="130" w:lineRule="exact"/>
              <w:rPr>
                <w:sz w:val="20"/>
                <w:szCs w:val="20"/>
                <w:color w:val="auto"/>
              </w:rPr>
            </w:pPr>
            <w:r>
              <w:rPr>
                <w:rFonts w:ascii="Arial" w:cs="Arial" w:eastAsia="Arial" w:hAnsi="Arial"/>
                <w:sz w:val="14"/>
                <w:szCs w:val="14"/>
                <w:color w:val="auto"/>
              </w:rPr>
              <w:t>Business Services</w:t>
            </w:r>
          </w:p>
        </w:tc>
        <w:tc>
          <w:tcPr>
            <w:tcW w:w="2700" w:type="dxa"/>
            <w:vAlign w:val="bottom"/>
            <w:gridSpan w:val="2"/>
          </w:tcPr>
          <w:p>
            <w:pPr>
              <w:ind w:left="100"/>
              <w:spacing w:after="0" w:line="130" w:lineRule="exact"/>
              <w:rPr>
                <w:sz w:val="20"/>
                <w:szCs w:val="20"/>
                <w:color w:val="auto"/>
              </w:rPr>
            </w:pPr>
            <w:r>
              <w:rPr>
                <w:rFonts w:ascii="Arial" w:cs="Arial" w:eastAsia="Arial" w:hAnsi="Arial"/>
                <w:sz w:val="14"/>
                <w:szCs w:val="14"/>
                <w:color w:val="auto"/>
              </w:rPr>
              <w:t>Second Lien Term Loan 9.50% Cash,</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700" w:type="dxa"/>
            <w:vAlign w:val="bottom"/>
            <w:gridSpan w:val="2"/>
          </w:tcPr>
          <w:p>
            <w:pPr>
              <w:ind w:left="100"/>
              <w:spacing w:after="0"/>
              <w:rPr>
                <w:sz w:val="20"/>
                <w:szCs w:val="20"/>
                <w:color w:val="auto"/>
              </w:rPr>
            </w:pPr>
            <w:r>
              <w:rPr>
                <w:rFonts w:ascii="Arial" w:cs="Arial" w:eastAsia="Arial" w:hAnsi="Arial"/>
                <w:sz w:val="14"/>
                <w:szCs w:val="14"/>
                <w:color w:val="auto"/>
              </w:rPr>
              <w:t>6/28/2020</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gridSpan w:val="2"/>
          </w:tcPr>
          <w:p>
            <w:pPr>
              <w:jc w:val="right"/>
              <w:ind w:right="200"/>
              <w:spacing w:after="0"/>
              <w:rPr>
                <w:sz w:val="20"/>
                <w:szCs w:val="20"/>
                <w:color w:val="auto"/>
              </w:rPr>
            </w:pPr>
            <w:r>
              <w:rPr>
                <w:rFonts w:ascii="Arial" w:cs="Arial" w:eastAsia="Arial" w:hAnsi="Arial"/>
                <w:sz w:val="14"/>
                <w:szCs w:val="14"/>
                <w:color w:val="auto"/>
                <w:w w:val="99"/>
              </w:rPr>
              <w:t>2,000,000</w:t>
            </w: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w w:val="99"/>
              </w:rPr>
              <w:t>1,975,767</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1,965,000</w:t>
            </w:r>
          </w:p>
        </w:tc>
        <w:tc>
          <w:tcPr>
            <w:tcW w:w="800" w:type="dxa"/>
            <w:vAlign w:val="bottom"/>
            <w:gridSpan w:val="2"/>
          </w:tcPr>
          <w:p>
            <w:pPr>
              <w:jc w:val="right"/>
              <w:ind w:right="40"/>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5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Knowland Technology Holdings, L.L.C.</w:t>
            </w:r>
          </w:p>
        </w:tc>
        <w:tc>
          <w:tcPr>
            <w:tcW w:w="1540" w:type="dxa"/>
            <w:vAlign w:val="bottom"/>
            <w:gridSpan w:val="2"/>
            <w:shd w:val="clear" w:color="auto" w:fill="CCEEFF"/>
          </w:tcPr>
          <w:p>
            <w:pPr>
              <w:ind w:left="320"/>
              <w:spacing w:after="0" w:line="130" w:lineRule="exact"/>
              <w:rPr>
                <w:sz w:val="20"/>
                <w:szCs w:val="20"/>
                <w:color w:val="auto"/>
              </w:rPr>
            </w:pPr>
            <w:r>
              <w:rPr>
                <w:rFonts w:ascii="Arial" w:cs="Arial" w:eastAsia="Arial" w:hAnsi="Arial"/>
                <w:sz w:val="14"/>
                <w:szCs w:val="14"/>
                <w:color w:val="auto"/>
              </w:rPr>
              <w:t>Business Services</w:t>
            </w:r>
          </w:p>
        </w:tc>
        <w:tc>
          <w:tcPr>
            <w:tcW w:w="2700" w:type="dxa"/>
            <w:vAlign w:val="bottom"/>
            <w:tcBorders>
              <w:right w:val="single" w:sz="8" w:color="CCEEFF"/>
            </w:tcBorders>
            <w:gridSpan w:val="2"/>
            <w:shd w:val="clear" w:color="auto" w:fill="CCEEFF"/>
          </w:tcPr>
          <w:p>
            <w:pPr>
              <w:ind w:left="100"/>
              <w:spacing w:after="0" w:line="130" w:lineRule="exact"/>
              <w:rPr>
                <w:sz w:val="20"/>
                <w:szCs w:val="20"/>
                <w:color w:val="auto"/>
              </w:rPr>
            </w:pPr>
            <w:r>
              <w:rPr>
                <w:rFonts w:ascii="Arial" w:cs="Arial" w:eastAsia="Arial" w:hAnsi="Arial"/>
                <w:sz w:val="14"/>
                <w:szCs w:val="14"/>
                <w:color w:val="auto"/>
              </w:rPr>
              <w:t>First Lien Term Loan 11.00% Cash,</w:t>
            </w: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00" w:type="dxa"/>
            <w:vAlign w:val="bottom"/>
            <w:tcBorders>
              <w:lef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9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2700" w:type="dxa"/>
            <w:vAlign w:val="bottom"/>
            <w:tcBorders>
              <w:right w:val="single" w:sz="8" w:color="CCEEFF"/>
            </w:tcBorders>
            <w:gridSpan w:val="2"/>
            <w:shd w:val="clear" w:color="auto" w:fill="CCEEFF"/>
          </w:tcPr>
          <w:p>
            <w:pPr>
              <w:ind w:left="100"/>
              <w:spacing w:after="0"/>
              <w:rPr>
                <w:sz w:val="20"/>
                <w:szCs w:val="20"/>
                <w:color w:val="auto"/>
              </w:rPr>
            </w:pPr>
            <w:r>
              <w:rPr>
                <w:rFonts w:ascii="Arial" w:cs="Arial" w:eastAsia="Arial" w:hAnsi="Arial"/>
                <w:sz w:val="14"/>
                <w:szCs w:val="14"/>
                <w:color w:val="auto"/>
              </w:rPr>
              <w:t>11/29/2017</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w w:val="99"/>
              </w:rPr>
              <w:t>5,259,171</w:t>
            </w: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5,205,142</w:t>
            </w:r>
          </w:p>
        </w:tc>
        <w:tc>
          <w:tcPr>
            <w:tcW w:w="200" w:type="dxa"/>
            <w:vAlign w:val="bottom"/>
            <w:tcBorders>
              <w:lef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5,259,171</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4.3%</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500" w:type="dxa"/>
            <w:vAlign w:val="bottom"/>
            <w:gridSpan w:val="2"/>
          </w:tcPr>
          <w:p>
            <w:pPr>
              <w:spacing w:after="0" w:line="130" w:lineRule="exact"/>
              <w:rPr>
                <w:sz w:val="20"/>
                <w:szCs w:val="20"/>
                <w:color w:val="auto"/>
              </w:rPr>
            </w:pPr>
            <w:r>
              <w:rPr>
                <w:rFonts w:ascii="Arial" w:cs="Arial" w:eastAsia="Arial" w:hAnsi="Arial"/>
                <w:sz w:val="14"/>
                <w:szCs w:val="14"/>
                <w:color w:val="auto"/>
              </w:rPr>
              <w:t>Knowland Technology Holdings, L.L.C. (j), (k), (l)</w:t>
            </w:r>
          </w:p>
        </w:tc>
        <w:tc>
          <w:tcPr>
            <w:tcW w:w="1540" w:type="dxa"/>
            <w:vAlign w:val="bottom"/>
            <w:gridSpan w:val="2"/>
          </w:tcPr>
          <w:p>
            <w:pPr>
              <w:ind w:left="320"/>
              <w:spacing w:after="0" w:line="130" w:lineRule="exact"/>
              <w:rPr>
                <w:sz w:val="20"/>
                <w:szCs w:val="20"/>
                <w:color w:val="auto"/>
              </w:rPr>
            </w:pPr>
            <w:r>
              <w:rPr>
                <w:rFonts w:ascii="Arial" w:cs="Arial" w:eastAsia="Arial" w:hAnsi="Arial"/>
                <w:sz w:val="14"/>
                <w:szCs w:val="14"/>
                <w:color w:val="auto"/>
              </w:rPr>
              <w:t>Business Services</w:t>
            </w:r>
          </w:p>
        </w:tc>
        <w:tc>
          <w:tcPr>
            <w:tcW w:w="2700" w:type="dxa"/>
            <w:vAlign w:val="bottom"/>
            <w:gridSpan w:val="2"/>
          </w:tcPr>
          <w:p>
            <w:pPr>
              <w:ind w:left="100"/>
              <w:spacing w:after="0" w:line="130" w:lineRule="exact"/>
              <w:rPr>
                <w:sz w:val="20"/>
                <w:szCs w:val="20"/>
                <w:color w:val="auto"/>
              </w:rPr>
            </w:pPr>
            <w:r>
              <w:rPr>
                <w:rFonts w:ascii="Arial" w:cs="Arial" w:eastAsia="Arial" w:hAnsi="Arial"/>
                <w:sz w:val="14"/>
                <w:szCs w:val="14"/>
                <w:color w:val="auto"/>
              </w:rPr>
              <w:t>Delayed Draw Term Loan 11.00% Cash,</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700" w:type="dxa"/>
            <w:vAlign w:val="bottom"/>
            <w:gridSpan w:val="2"/>
          </w:tcPr>
          <w:p>
            <w:pPr>
              <w:ind w:left="100"/>
              <w:spacing w:after="0"/>
              <w:rPr>
                <w:sz w:val="20"/>
                <w:szCs w:val="20"/>
                <w:color w:val="auto"/>
              </w:rPr>
            </w:pPr>
            <w:r>
              <w:rPr>
                <w:rFonts w:ascii="Arial" w:cs="Arial" w:eastAsia="Arial" w:hAnsi="Arial"/>
                <w:sz w:val="14"/>
                <w:szCs w:val="14"/>
                <w:color w:val="auto"/>
              </w:rPr>
              <w:t>11/29/2017</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40" w:type="dxa"/>
            <w:vAlign w:val="bottom"/>
            <w:gridSpan w:val="2"/>
          </w:tcPr>
          <w:p>
            <w:pPr>
              <w:ind w:left="4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900" w:type="dxa"/>
            <w:vAlign w:val="bottom"/>
            <w:gridSpan w:val="2"/>
          </w:tcPr>
          <w:p>
            <w:pPr>
              <w:ind w:left="50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40"/>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5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Vector Controls Holding Co., LLC (d)</w:t>
            </w:r>
          </w:p>
        </w:tc>
        <w:tc>
          <w:tcPr>
            <w:tcW w:w="1540" w:type="dxa"/>
            <w:vAlign w:val="bottom"/>
            <w:gridSpan w:val="2"/>
            <w:shd w:val="clear" w:color="auto" w:fill="CCEEFF"/>
          </w:tcPr>
          <w:p>
            <w:pPr>
              <w:ind w:left="320"/>
              <w:spacing w:after="0" w:line="130" w:lineRule="exact"/>
              <w:rPr>
                <w:sz w:val="20"/>
                <w:szCs w:val="20"/>
                <w:color w:val="auto"/>
              </w:rPr>
            </w:pPr>
            <w:r>
              <w:rPr>
                <w:rFonts w:ascii="Arial" w:cs="Arial" w:eastAsia="Arial" w:hAnsi="Arial"/>
                <w:sz w:val="14"/>
                <w:szCs w:val="14"/>
                <w:color w:val="auto"/>
              </w:rPr>
              <w:t>Business Services</w:t>
            </w:r>
          </w:p>
        </w:tc>
        <w:tc>
          <w:tcPr>
            <w:tcW w:w="2700" w:type="dxa"/>
            <w:vAlign w:val="bottom"/>
            <w:tcBorders>
              <w:right w:val="single" w:sz="8" w:color="CCEEFF"/>
            </w:tcBorders>
            <w:gridSpan w:val="2"/>
            <w:shd w:val="clear" w:color="auto" w:fill="CCEEFF"/>
          </w:tcPr>
          <w:p>
            <w:pPr>
              <w:ind w:left="100"/>
              <w:spacing w:after="0" w:line="130" w:lineRule="exact"/>
              <w:rPr>
                <w:sz w:val="20"/>
                <w:szCs w:val="20"/>
                <w:color w:val="auto"/>
              </w:rPr>
            </w:pPr>
            <w:r>
              <w:rPr>
                <w:rFonts w:ascii="Arial" w:cs="Arial" w:eastAsia="Arial" w:hAnsi="Arial"/>
                <w:sz w:val="14"/>
                <w:szCs w:val="14"/>
                <w:color w:val="auto"/>
              </w:rPr>
              <w:t>First Lien Term Loan, 14.00% (12.00%</w:t>
            </w: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00" w:type="dxa"/>
            <w:vAlign w:val="bottom"/>
            <w:tcBorders>
              <w:lef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9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2700" w:type="dxa"/>
            <w:vAlign w:val="bottom"/>
            <w:tcBorders>
              <w:right w:val="single" w:sz="8" w:color="CCEEFF"/>
            </w:tcBorders>
            <w:gridSpan w:val="2"/>
            <w:shd w:val="clear" w:color="auto" w:fill="CCEEFF"/>
          </w:tcPr>
          <w:p>
            <w:pPr>
              <w:ind w:left="100"/>
              <w:spacing w:after="0"/>
              <w:rPr>
                <w:sz w:val="20"/>
                <w:szCs w:val="20"/>
                <w:color w:val="auto"/>
              </w:rPr>
            </w:pPr>
            <w:r>
              <w:rPr>
                <w:rFonts w:ascii="Arial" w:cs="Arial" w:eastAsia="Arial" w:hAnsi="Arial"/>
                <w:sz w:val="14"/>
                <w:szCs w:val="14"/>
                <w:color w:val="auto"/>
              </w:rPr>
              <w:t>Cash/2.00% PIK), 3/6/2018</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w w:val="99"/>
              </w:rPr>
              <w:t>9,436,991</w:t>
            </w: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9,312,095</w:t>
            </w:r>
          </w:p>
        </w:tc>
        <w:tc>
          <w:tcPr>
            <w:tcW w:w="200" w:type="dxa"/>
            <w:vAlign w:val="bottom"/>
            <w:tcBorders>
              <w:lef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9,295,437</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7.6%</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500" w:type="dxa"/>
            <w:vAlign w:val="bottom"/>
            <w:gridSpan w:val="2"/>
          </w:tcPr>
          <w:p>
            <w:pPr>
              <w:spacing w:after="0" w:line="130" w:lineRule="exact"/>
              <w:rPr>
                <w:sz w:val="20"/>
                <w:szCs w:val="20"/>
                <w:color w:val="auto"/>
              </w:rPr>
            </w:pPr>
            <w:r>
              <w:rPr>
                <w:rFonts w:ascii="Arial" w:cs="Arial" w:eastAsia="Arial" w:hAnsi="Arial"/>
                <w:sz w:val="14"/>
                <w:szCs w:val="14"/>
                <w:color w:val="auto"/>
              </w:rPr>
              <w:t>Vector Controls Holding Co., LLC (d), (g)</w:t>
            </w:r>
          </w:p>
        </w:tc>
        <w:tc>
          <w:tcPr>
            <w:tcW w:w="1540" w:type="dxa"/>
            <w:vAlign w:val="bottom"/>
            <w:gridSpan w:val="2"/>
          </w:tcPr>
          <w:p>
            <w:pPr>
              <w:ind w:left="320"/>
              <w:spacing w:after="0" w:line="130" w:lineRule="exact"/>
              <w:rPr>
                <w:sz w:val="20"/>
                <w:szCs w:val="20"/>
                <w:color w:val="auto"/>
              </w:rPr>
            </w:pPr>
            <w:r>
              <w:rPr>
                <w:rFonts w:ascii="Arial" w:cs="Arial" w:eastAsia="Arial" w:hAnsi="Arial"/>
                <w:sz w:val="14"/>
                <w:szCs w:val="14"/>
                <w:color w:val="auto"/>
              </w:rPr>
              <w:t>Business Services</w:t>
            </w:r>
          </w:p>
        </w:tc>
        <w:tc>
          <w:tcPr>
            <w:tcW w:w="2700" w:type="dxa"/>
            <w:vAlign w:val="bottom"/>
            <w:gridSpan w:val="2"/>
          </w:tcPr>
          <w:p>
            <w:pPr>
              <w:ind w:left="100"/>
              <w:spacing w:after="0" w:line="130" w:lineRule="exact"/>
              <w:rPr>
                <w:sz w:val="20"/>
                <w:szCs w:val="20"/>
                <w:color w:val="auto"/>
              </w:rPr>
            </w:pPr>
            <w:r>
              <w:rPr>
                <w:rFonts w:ascii="Arial" w:cs="Arial" w:eastAsia="Arial" w:hAnsi="Arial"/>
                <w:sz w:val="14"/>
                <w:szCs w:val="14"/>
                <w:color w:val="auto"/>
              </w:rPr>
              <w:t>Warrants to Purchase Limited Liability</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700" w:type="dxa"/>
            <w:vAlign w:val="bottom"/>
            <w:gridSpan w:val="2"/>
          </w:tcPr>
          <w:p>
            <w:pPr>
              <w:ind w:left="100"/>
              <w:spacing w:after="0"/>
              <w:rPr>
                <w:sz w:val="20"/>
                <w:szCs w:val="20"/>
                <w:color w:val="auto"/>
              </w:rPr>
            </w:pPr>
            <w:r>
              <w:rPr>
                <w:rFonts w:ascii="Arial" w:cs="Arial" w:eastAsia="Arial" w:hAnsi="Arial"/>
                <w:sz w:val="14"/>
                <w:szCs w:val="14"/>
                <w:color w:val="auto"/>
              </w:rPr>
              <w:t>Company Interests</w:t>
            </w:r>
          </w:p>
        </w:tc>
        <w:tc>
          <w:tcPr>
            <w:tcW w:w="80" w:type="dxa"/>
            <w:vAlign w:val="bottom"/>
          </w:tcPr>
          <w:p>
            <w:pPr>
              <w:spacing w:after="0"/>
              <w:rPr>
                <w:sz w:val="14"/>
                <w:szCs w:val="14"/>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4"/>
                <w:szCs w:val="14"/>
                <w:color w:val="auto"/>
              </w:rPr>
              <w:t>101</w:t>
            </w:r>
          </w:p>
        </w:tc>
        <w:tc>
          <w:tcPr>
            <w:tcW w:w="80" w:type="dxa"/>
            <w:vAlign w:val="bottom"/>
          </w:tcPr>
          <w:p>
            <w:pPr>
              <w:spacing w:after="0"/>
              <w:rPr>
                <w:sz w:val="14"/>
                <w:szCs w:val="14"/>
                <w:color w:val="auto"/>
              </w:rPr>
            </w:pPr>
          </w:p>
        </w:tc>
        <w:tc>
          <w:tcPr>
            <w:tcW w:w="640" w:type="dxa"/>
            <w:vAlign w:val="bottom"/>
          </w:tcPr>
          <w:p>
            <w:pPr>
              <w:ind w:left="4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62,341</w:t>
            </w:r>
          </w:p>
        </w:tc>
        <w:tc>
          <w:tcPr>
            <w:tcW w:w="180" w:type="dxa"/>
            <w:vAlign w:val="bottom"/>
          </w:tcPr>
          <w:p>
            <w:pPr>
              <w:spacing w:after="0"/>
              <w:rPr>
                <w:sz w:val="14"/>
                <w:szCs w:val="14"/>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9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0" w:type="dxa"/>
            <w:vAlign w:val="bottom"/>
            <w:tcBorders>
              <w:right w:val="single" w:sz="8" w:color="CCEEFF"/>
            </w:tcBorders>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Total Business Services</w:t>
            </w: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8"/>
              </w:rPr>
              <w:t>51,564,581</w:t>
            </w:r>
          </w:p>
        </w:tc>
        <w:tc>
          <w:tcPr>
            <w:tcW w:w="200" w:type="dxa"/>
            <w:vAlign w:val="bottom"/>
            <w:tcBorders>
              <w:lef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52,127,585</w:t>
            </w:r>
          </w:p>
        </w:tc>
        <w:tc>
          <w:tcPr>
            <w:tcW w:w="1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42.5%</w:t>
            </w:r>
          </w:p>
        </w:tc>
        <w:tc>
          <w:tcPr>
            <w:tcW w:w="0" w:type="dxa"/>
            <w:vAlign w:val="bottom"/>
          </w:tcPr>
          <w:p>
            <w:pPr>
              <w:spacing w:after="0"/>
              <w:rPr>
                <w:sz w:val="1"/>
                <w:szCs w:val="1"/>
                <w:color w:val="auto"/>
              </w:rPr>
            </w:pPr>
          </w:p>
        </w:tc>
      </w:tr>
      <w:tr>
        <w:trPr>
          <w:trHeight w:val="137"/>
        </w:trPr>
        <w:tc>
          <w:tcPr>
            <w:tcW w:w="3520" w:type="dxa"/>
            <w:vAlign w:val="bottom"/>
            <w:gridSpan w:val="3"/>
          </w:tcPr>
          <w:p>
            <w:pPr>
              <w:spacing w:after="0" w:line="137" w:lineRule="exact"/>
              <w:rPr>
                <w:sz w:val="20"/>
                <w:szCs w:val="20"/>
                <w:color w:val="auto"/>
              </w:rPr>
            </w:pPr>
            <w:r>
              <w:rPr>
                <w:rFonts w:ascii="Arial" w:cs="Arial" w:eastAsia="Arial" w:hAnsi="Arial"/>
                <w:sz w:val="14"/>
                <w:szCs w:val="14"/>
                <w:color w:val="auto"/>
              </w:rPr>
              <w:t>Advanced Air &amp; Heat of Florida, LLC</w:t>
            </w:r>
          </w:p>
        </w:tc>
        <w:tc>
          <w:tcPr>
            <w:tcW w:w="1540" w:type="dxa"/>
            <w:vAlign w:val="bottom"/>
            <w:gridSpan w:val="2"/>
          </w:tcPr>
          <w:p>
            <w:pPr>
              <w:ind w:left="320"/>
              <w:spacing w:after="0" w:line="137" w:lineRule="exact"/>
              <w:rPr>
                <w:sz w:val="20"/>
                <w:szCs w:val="20"/>
                <w:color w:val="auto"/>
              </w:rPr>
            </w:pPr>
            <w:r>
              <w:rPr>
                <w:rFonts w:ascii="Arial" w:cs="Arial" w:eastAsia="Arial" w:hAnsi="Arial"/>
                <w:sz w:val="14"/>
                <w:szCs w:val="14"/>
                <w:color w:val="auto"/>
                <w:w w:val="96"/>
              </w:rPr>
              <w:t>Consumer Products</w:t>
            </w:r>
          </w:p>
        </w:tc>
        <w:tc>
          <w:tcPr>
            <w:tcW w:w="2700" w:type="dxa"/>
            <w:vAlign w:val="bottom"/>
            <w:gridSpan w:val="2"/>
          </w:tcPr>
          <w:p>
            <w:pPr>
              <w:ind w:left="100"/>
              <w:spacing w:after="0" w:line="137" w:lineRule="exact"/>
              <w:rPr>
                <w:sz w:val="20"/>
                <w:szCs w:val="20"/>
                <w:color w:val="auto"/>
              </w:rPr>
            </w:pPr>
            <w:r>
              <w:rPr>
                <w:rFonts w:ascii="Arial" w:cs="Arial" w:eastAsia="Arial" w:hAnsi="Arial"/>
                <w:sz w:val="14"/>
                <w:szCs w:val="14"/>
                <w:color w:val="auto"/>
              </w:rPr>
              <w:t>First Lien Term Loan 10.00% Cash,</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700" w:type="dxa"/>
            <w:vAlign w:val="bottom"/>
            <w:gridSpan w:val="2"/>
          </w:tcPr>
          <w:p>
            <w:pPr>
              <w:ind w:left="100"/>
              <w:spacing w:after="0"/>
              <w:rPr>
                <w:sz w:val="20"/>
                <w:szCs w:val="20"/>
                <w:color w:val="auto"/>
              </w:rPr>
            </w:pPr>
            <w:r>
              <w:rPr>
                <w:rFonts w:ascii="Arial" w:cs="Arial" w:eastAsia="Arial" w:hAnsi="Arial"/>
                <w:sz w:val="14"/>
                <w:szCs w:val="14"/>
                <w:color w:val="auto"/>
              </w:rPr>
              <w:t>1/31/2019</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gridSpan w:val="2"/>
          </w:tcPr>
          <w:p>
            <w:pPr>
              <w:jc w:val="right"/>
              <w:ind w:right="200"/>
              <w:spacing w:after="0"/>
              <w:rPr>
                <w:sz w:val="20"/>
                <w:szCs w:val="20"/>
                <w:color w:val="auto"/>
              </w:rPr>
            </w:pPr>
            <w:r>
              <w:rPr>
                <w:rFonts w:ascii="Arial" w:cs="Arial" w:eastAsia="Arial" w:hAnsi="Arial"/>
                <w:sz w:val="14"/>
                <w:szCs w:val="14"/>
                <w:color w:val="auto"/>
                <w:w w:val="99"/>
              </w:rPr>
              <w:t>5,955,441</w:t>
            </w: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w w:val="99"/>
              </w:rPr>
              <w:t>5,881,694</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5,955,441</w:t>
            </w:r>
          </w:p>
        </w:tc>
        <w:tc>
          <w:tcPr>
            <w:tcW w:w="800" w:type="dxa"/>
            <w:vAlign w:val="bottom"/>
            <w:gridSpan w:val="2"/>
          </w:tcPr>
          <w:p>
            <w:pPr>
              <w:jc w:val="right"/>
              <w:ind w:right="40"/>
              <w:spacing w:after="0"/>
              <w:rPr>
                <w:sz w:val="20"/>
                <w:szCs w:val="20"/>
                <w:color w:val="auto"/>
              </w:rPr>
            </w:pPr>
            <w:r>
              <w:rPr>
                <w:rFonts w:ascii="Arial" w:cs="Arial" w:eastAsia="Arial" w:hAnsi="Arial"/>
                <w:sz w:val="14"/>
                <w:szCs w:val="14"/>
                <w:color w:val="auto"/>
              </w:rPr>
              <w:t>5.0%</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5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Targus Group International, Inc. (d)</w:t>
            </w:r>
          </w:p>
        </w:tc>
        <w:tc>
          <w:tcPr>
            <w:tcW w:w="1540" w:type="dxa"/>
            <w:vAlign w:val="bottom"/>
            <w:gridSpan w:val="2"/>
            <w:shd w:val="clear" w:color="auto" w:fill="CCEEFF"/>
          </w:tcPr>
          <w:p>
            <w:pPr>
              <w:ind w:left="320"/>
              <w:spacing w:after="0" w:line="130" w:lineRule="exact"/>
              <w:rPr>
                <w:sz w:val="20"/>
                <w:szCs w:val="20"/>
                <w:color w:val="auto"/>
              </w:rPr>
            </w:pPr>
            <w:r>
              <w:rPr>
                <w:rFonts w:ascii="Arial" w:cs="Arial" w:eastAsia="Arial" w:hAnsi="Arial"/>
                <w:sz w:val="14"/>
                <w:szCs w:val="14"/>
                <w:color w:val="auto"/>
                <w:w w:val="96"/>
              </w:rPr>
              <w:t>Consumer Products</w:t>
            </w:r>
          </w:p>
        </w:tc>
        <w:tc>
          <w:tcPr>
            <w:tcW w:w="2700" w:type="dxa"/>
            <w:vAlign w:val="bottom"/>
            <w:tcBorders>
              <w:right w:val="single" w:sz="8" w:color="CCEEFF"/>
            </w:tcBorders>
            <w:gridSpan w:val="2"/>
            <w:shd w:val="clear" w:color="auto" w:fill="CCEEFF"/>
          </w:tcPr>
          <w:p>
            <w:pPr>
              <w:ind w:left="100"/>
              <w:spacing w:after="0" w:line="130" w:lineRule="exact"/>
              <w:rPr>
                <w:sz w:val="20"/>
                <w:szCs w:val="20"/>
                <w:color w:val="auto"/>
              </w:rPr>
            </w:pPr>
            <w:r>
              <w:rPr>
                <w:rFonts w:ascii="Arial" w:cs="Arial" w:eastAsia="Arial" w:hAnsi="Arial"/>
                <w:sz w:val="14"/>
                <w:szCs w:val="14"/>
                <w:color w:val="auto"/>
              </w:rPr>
              <w:t>First Lien Term Loan, 12.00% (11.00%</w:t>
            </w: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00" w:type="dxa"/>
            <w:vAlign w:val="bottom"/>
            <w:tcBorders>
              <w:lef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9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2700" w:type="dxa"/>
            <w:vAlign w:val="bottom"/>
            <w:tcBorders>
              <w:right w:val="single" w:sz="8" w:color="CCEEFF"/>
            </w:tcBorders>
            <w:gridSpan w:val="2"/>
            <w:shd w:val="clear" w:color="auto" w:fill="CCEEFF"/>
          </w:tcPr>
          <w:p>
            <w:pPr>
              <w:ind w:left="100"/>
              <w:spacing w:after="0"/>
              <w:rPr>
                <w:sz w:val="20"/>
                <w:szCs w:val="20"/>
                <w:color w:val="auto"/>
              </w:rPr>
            </w:pPr>
            <w:r>
              <w:rPr>
                <w:rFonts w:ascii="Arial" w:cs="Arial" w:eastAsia="Arial" w:hAnsi="Arial"/>
                <w:sz w:val="14"/>
                <w:szCs w:val="14"/>
                <w:color w:val="auto"/>
              </w:rPr>
              <w:t>Cash/1.00 PIK), 5/24/2016</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w w:val="99"/>
              </w:rPr>
              <w:t>3,569,127</w:t>
            </w: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3,537,732</w:t>
            </w:r>
          </w:p>
        </w:tc>
        <w:tc>
          <w:tcPr>
            <w:tcW w:w="200" w:type="dxa"/>
            <w:vAlign w:val="bottom"/>
            <w:tcBorders>
              <w:lef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3,283,597</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2.7%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00" w:type="dxa"/>
            <w:vAlign w:val="bottom"/>
            <w:gridSpan w:val="2"/>
          </w:tcPr>
          <w:p>
            <w:pPr>
              <w:spacing w:after="0" w:line="149" w:lineRule="exact"/>
              <w:rPr>
                <w:sz w:val="20"/>
                <w:szCs w:val="20"/>
                <w:color w:val="auto"/>
              </w:rPr>
            </w:pPr>
            <w:r>
              <w:rPr>
                <w:rFonts w:ascii="Arial" w:cs="Arial" w:eastAsia="Arial" w:hAnsi="Arial"/>
                <w:sz w:val="14"/>
                <w:szCs w:val="14"/>
                <w:color w:val="auto"/>
              </w:rPr>
              <w:t>Targus Holdings, Inc. (d), (g)</w:t>
            </w:r>
          </w:p>
        </w:tc>
        <w:tc>
          <w:tcPr>
            <w:tcW w:w="1540" w:type="dxa"/>
            <w:vAlign w:val="bottom"/>
            <w:gridSpan w:val="2"/>
          </w:tcPr>
          <w:p>
            <w:pPr>
              <w:ind w:left="320"/>
              <w:spacing w:after="0" w:line="149" w:lineRule="exact"/>
              <w:rPr>
                <w:sz w:val="20"/>
                <w:szCs w:val="20"/>
                <w:color w:val="auto"/>
              </w:rPr>
            </w:pPr>
            <w:r>
              <w:rPr>
                <w:rFonts w:ascii="Arial" w:cs="Arial" w:eastAsia="Arial" w:hAnsi="Arial"/>
                <w:sz w:val="14"/>
                <w:szCs w:val="14"/>
                <w:color w:val="auto"/>
                <w:w w:val="96"/>
              </w:rPr>
              <w:t>Consumer Products</w:t>
            </w:r>
          </w:p>
        </w:tc>
        <w:tc>
          <w:tcPr>
            <w:tcW w:w="270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Common Stock</w:t>
            </w:r>
          </w:p>
        </w:tc>
        <w:tc>
          <w:tcPr>
            <w:tcW w:w="80" w:type="dxa"/>
            <w:vAlign w:val="bottom"/>
          </w:tcPr>
          <w:p>
            <w:pPr>
              <w:spacing w:after="0"/>
              <w:rPr>
                <w:sz w:val="12"/>
                <w:szCs w:val="12"/>
                <w:color w:val="auto"/>
              </w:rPr>
            </w:pPr>
          </w:p>
        </w:tc>
        <w:tc>
          <w:tcPr>
            <w:tcW w:w="8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62,413</w:t>
            </w:r>
          </w:p>
        </w:tc>
        <w:tc>
          <w:tcPr>
            <w:tcW w:w="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566,765</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ind w:left="50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Targus Holdings, Inc. (d), (g)</w:t>
            </w:r>
          </w:p>
        </w:tc>
        <w:tc>
          <w:tcPr>
            <w:tcW w:w="1540" w:type="dxa"/>
            <w:vAlign w:val="bottom"/>
            <w:gridSpan w:val="2"/>
            <w:shd w:val="clear" w:color="auto" w:fill="CCEEFF"/>
          </w:tcPr>
          <w:p>
            <w:pPr>
              <w:ind w:left="320"/>
              <w:spacing w:after="0" w:line="149" w:lineRule="exact"/>
              <w:rPr>
                <w:sz w:val="20"/>
                <w:szCs w:val="20"/>
                <w:color w:val="auto"/>
              </w:rPr>
            </w:pPr>
            <w:r>
              <w:rPr>
                <w:rFonts w:ascii="Arial" w:cs="Arial" w:eastAsia="Arial" w:hAnsi="Arial"/>
                <w:sz w:val="14"/>
                <w:szCs w:val="14"/>
                <w:color w:val="auto"/>
                <w:w w:val="96"/>
              </w:rPr>
              <w:t>Consumer Products</w:t>
            </w:r>
          </w:p>
        </w:tc>
        <w:tc>
          <w:tcPr>
            <w:tcW w:w="2700" w:type="dxa"/>
            <w:vAlign w:val="bottom"/>
            <w:tcBorders>
              <w:right w:val="single" w:sz="8" w:color="CCEEFF"/>
            </w:tcBorders>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Unsecured Note 10.00% PIK, 6/14/2019</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8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w w:val="99"/>
              </w:rPr>
              <w:t>2,054,158</w:t>
            </w: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2,054,158</w:t>
            </w:r>
          </w:p>
        </w:tc>
        <w:tc>
          <w:tcPr>
            <w:tcW w:w="200" w:type="dxa"/>
            <w:vAlign w:val="bottom"/>
            <w:tcBorders>
              <w:lef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ind w:left="50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00" w:type="dxa"/>
            <w:vAlign w:val="bottom"/>
            <w:gridSpan w:val="2"/>
          </w:tcPr>
          <w:p>
            <w:pPr>
              <w:spacing w:after="0" w:line="149" w:lineRule="exact"/>
              <w:rPr>
                <w:sz w:val="20"/>
                <w:szCs w:val="20"/>
                <w:color w:val="auto"/>
              </w:rPr>
            </w:pPr>
            <w:r>
              <w:rPr>
                <w:rFonts w:ascii="Arial" w:cs="Arial" w:eastAsia="Arial" w:hAnsi="Arial"/>
                <w:sz w:val="14"/>
                <w:szCs w:val="14"/>
                <w:color w:val="auto"/>
              </w:rPr>
              <w:t>Targus Holdings, Inc. (d), (g)</w:t>
            </w:r>
          </w:p>
        </w:tc>
        <w:tc>
          <w:tcPr>
            <w:tcW w:w="1540" w:type="dxa"/>
            <w:vAlign w:val="bottom"/>
            <w:gridSpan w:val="2"/>
          </w:tcPr>
          <w:p>
            <w:pPr>
              <w:ind w:left="320"/>
              <w:spacing w:after="0" w:line="149" w:lineRule="exact"/>
              <w:rPr>
                <w:sz w:val="20"/>
                <w:szCs w:val="20"/>
                <w:color w:val="auto"/>
              </w:rPr>
            </w:pPr>
            <w:r>
              <w:rPr>
                <w:rFonts w:ascii="Arial" w:cs="Arial" w:eastAsia="Arial" w:hAnsi="Arial"/>
                <w:sz w:val="14"/>
                <w:szCs w:val="14"/>
                <w:color w:val="auto"/>
                <w:w w:val="96"/>
              </w:rPr>
              <w:t>Consumer Products</w:t>
            </w:r>
          </w:p>
        </w:tc>
        <w:tc>
          <w:tcPr>
            <w:tcW w:w="2700" w:type="dxa"/>
            <w:vAlign w:val="bottom"/>
            <w:gridSpan w:val="2"/>
          </w:tcPr>
          <w:p>
            <w:pPr>
              <w:ind w:left="100"/>
              <w:spacing w:after="0" w:line="149" w:lineRule="exact"/>
              <w:rPr>
                <w:sz w:val="20"/>
                <w:szCs w:val="20"/>
                <w:color w:val="auto"/>
              </w:rPr>
            </w:pPr>
            <w:r>
              <w:rPr>
                <w:rFonts w:ascii="Arial" w:cs="Arial" w:eastAsia="Arial" w:hAnsi="Arial"/>
                <w:sz w:val="14"/>
                <w:szCs w:val="14"/>
                <w:color w:val="auto"/>
                <w:w w:val="99"/>
              </w:rPr>
              <w:t>Unsecured Note 16.00% PIK, 10/26/2018</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8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429,797</w:t>
            </w:r>
          </w:p>
        </w:tc>
        <w:tc>
          <w:tcPr>
            <w:tcW w:w="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425,227</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ind w:left="50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9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0" w:type="dxa"/>
            <w:vAlign w:val="bottom"/>
            <w:tcBorders>
              <w:right w:val="single" w:sz="8" w:color="CCEEFF"/>
            </w:tcBorders>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Total Consumer Products</w:t>
            </w: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8"/>
              </w:rPr>
              <w:t>12,465,576</w:t>
            </w:r>
          </w:p>
        </w:tc>
        <w:tc>
          <w:tcPr>
            <w:tcW w:w="200" w:type="dxa"/>
            <w:vAlign w:val="bottom"/>
            <w:tcBorders>
              <w:lef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9,239,038</w:t>
            </w:r>
          </w:p>
        </w:tc>
        <w:tc>
          <w:tcPr>
            <w:tcW w:w="1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7.7%</w:t>
            </w:r>
          </w:p>
        </w:tc>
        <w:tc>
          <w:tcPr>
            <w:tcW w:w="0" w:type="dxa"/>
            <w:vAlign w:val="bottom"/>
          </w:tcPr>
          <w:p>
            <w:pPr>
              <w:spacing w:after="0"/>
              <w:rPr>
                <w:sz w:val="1"/>
                <w:szCs w:val="1"/>
                <w:color w:val="auto"/>
              </w:rPr>
            </w:pPr>
          </w:p>
        </w:tc>
      </w:tr>
      <w:tr>
        <w:trPr>
          <w:trHeight w:val="137"/>
        </w:trPr>
        <w:tc>
          <w:tcPr>
            <w:tcW w:w="3520" w:type="dxa"/>
            <w:vAlign w:val="bottom"/>
            <w:gridSpan w:val="3"/>
          </w:tcPr>
          <w:p>
            <w:pPr>
              <w:spacing w:after="0" w:line="137" w:lineRule="exact"/>
              <w:rPr>
                <w:sz w:val="20"/>
                <w:szCs w:val="20"/>
                <w:color w:val="auto"/>
              </w:rPr>
            </w:pPr>
            <w:r>
              <w:rPr>
                <w:rFonts w:ascii="Arial" w:cs="Arial" w:eastAsia="Arial" w:hAnsi="Arial"/>
                <w:sz w:val="14"/>
                <w:szCs w:val="14"/>
                <w:color w:val="auto"/>
              </w:rPr>
              <w:t>CFF Acquisition L.L.C. (d)</w:t>
            </w:r>
          </w:p>
        </w:tc>
        <w:tc>
          <w:tcPr>
            <w:tcW w:w="1540" w:type="dxa"/>
            <w:vAlign w:val="bottom"/>
            <w:gridSpan w:val="2"/>
          </w:tcPr>
          <w:p>
            <w:pPr>
              <w:ind w:left="320"/>
              <w:spacing w:after="0" w:line="137" w:lineRule="exact"/>
              <w:rPr>
                <w:sz w:val="20"/>
                <w:szCs w:val="20"/>
                <w:color w:val="auto"/>
              </w:rPr>
            </w:pPr>
            <w:r>
              <w:rPr>
                <w:rFonts w:ascii="Arial" w:cs="Arial" w:eastAsia="Arial" w:hAnsi="Arial"/>
                <w:sz w:val="14"/>
                <w:szCs w:val="14"/>
                <w:color w:val="auto"/>
                <w:w w:val="98"/>
              </w:rPr>
              <w:t>Consumer Services</w:t>
            </w:r>
          </w:p>
        </w:tc>
        <w:tc>
          <w:tcPr>
            <w:tcW w:w="2700" w:type="dxa"/>
            <w:vAlign w:val="bottom"/>
            <w:gridSpan w:val="2"/>
          </w:tcPr>
          <w:p>
            <w:pPr>
              <w:ind w:left="100"/>
              <w:spacing w:after="0" w:line="137" w:lineRule="exact"/>
              <w:rPr>
                <w:sz w:val="20"/>
                <w:szCs w:val="20"/>
                <w:color w:val="auto"/>
              </w:rPr>
            </w:pPr>
            <w:r>
              <w:rPr>
                <w:rFonts w:ascii="Arial" w:cs="Arial" w:eastAsia="Arial" w:hAnsi="Arial"/>
                <w:sz w:val="14"/>
                <w:szCs w:val="14"/>
                <w:color w:val="auto"/>
              </w:rPr>
              <w:t>First Lien Term Loan 7.50% Cash,</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700" w:type="dxa"/>
            <w:vAlign w:val="bottom"/>
            <w:gridSpan w:val="2"/>
          </w:tcPr>
          <w:p>
            <w:pPr>
              <w:ind w:left="100"/>
              <w:spacing w:after="0"/>
              <w:rPr>
                <w:sz w:val="20"/>
                <w:szCs w:val="20"/>
                <w:color w:val="auto"/>
              </w:rPr>
            </w:pPr>
            <w:r>
              <w:rPr>
                <w:rFonts w:ascii="Arial" w:cs="Arial" w:eastAsia="Arial" w:hAnsi="Arial"/>
                <w:sz w:val="14"/>
                <w:szCs w:val="14"/>
                <w:color w:val="auto"/>
              </w:rPr>
              <w:t>7/31/2015</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gridSpan w:val="2"/>
          </w:tcPr>
          <w:p>
            <w:pPr>
              <w:jc w:val="right"/>
              <w:ind w:right="200"/>
              <w:spacing w:after="0"/>
              <w:rPr>
                <w:sz w:val="20"/>
                <w:szCs w:val="20"/>
                <w:color w:val="auto"/>
              </w:rPr>
            </w:pPr>
            <w:r>
              <w:rPr>
                <w:rFonts w:ascii="Arial" w:cs="Arial" w:eastAsia="Arial" w:hAnsi="Arial"/>
                <w:sz w:val="14"/>
                <w:szCs w:val="14"/>
                <w:color w:val="auto"/>
              </w:rPr>
              <w:t>716,179</w:t>
            </w: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714,270</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716,179</w:t>
            </w:r>
          </w:p>
        </w:tc>
        <w:tc>
          <w:tcPr>
            <w:tcW w:w="800" w:type="dxa"/>
            <w:vAlign w:val="bottom"/>
            <w:gridSpan w:val="2"/>
          </w:tcPr>
          <w:p>
            <w:pPr>
              <w:jc w:val="right"/>
              <w:ind w:right="40"/>
              <w:spacing w:after="0"/>
              <w:rPr>
                <w:sz w:val="20"/>
                <w:szCs w:val="20"/>
                <w:color w:val="auto"/>
              </w:rPr>
            </w:pPr>
            <w:r>
              <w:rPr>
                <w:rFonts w:ascii="Arial" w:cs="Arial" w:eastAsia="Arial" w:hAnsi="Arial"/>
                <w:sz w:val="14"/>
                <w:szCs w:val="14"/>
                <w:color w:val="auto"/>
              </w:rPr>
              <w:t>0.6%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Expedited Travel L.L.C. (g)</w:t>
            </w:r>
          </w:p>
        </w:tc>
        <w:tc>
          <w:tcPr>
            <w:tcW w:w="1540" w:type="dxa"/>
            <w:vAlign w:val="bottom"/>
            <w:gridSpan w:val="2"/>
            <w:shd w:val="clear" w:color="auto" w:fill="CCEEFF"/>
          </w:tcPr>
          <w:p>
            <w:pPr>
              <w:ind w:left="320"/>
              <w:spacing w:after="0" w:line="149" w:lineRule="exact"/>
              <w:rPr>
                <w:sz w:val="20"/>
                <w:szCs w:val="20"/>
                <w:color w:val="auto"/>
              </w:rPr>
            </w:pPr>
            <w:r>
              <w:rPr>
                <w:rFonts w:ascii="Arial" w:cs="Arial" w:eastAsia="Arial" w:hAnsi="Arial"/>
                <w:sz w:val="14"/>
                <w:szCs w:val="14"/>
                <w:color w:val="auto"/>
                <w:w w:val="98"/>
              </w:rPr>
              <w:t>Consumer Services</w:t>
            </w:r>
          </w:p>
        </w:tc>
        <w:tc>
          <w:tcPr>
            <w:tcW w:w="2700" w:type="dxa"/>
            <w:vAlign w:val="bottom"/>
            <w:tcBorders>
              <w:right w:val="single" w:sz="8" w:color="CCEEFF"/>
            </w:tcBorders>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Common Stock</w:t>
            </w: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w w:val="99"/>
              </w:rPr>
              <w:t>1,000,000</w:t>
            </w: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1,000,000</w:t>
            </w:r>
          </w:p>
        </w:tc>
        <w:tc>
          <w:tcPr>
            <w:tcW w:w="200" w:type="dxa"/>
            <w:vAlign w:val="bottom"/>
            <w:tcBorders>
              <w:lef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1,069,157</w:t>
            </w:r>
          </w:p>
        </w:tc>
        <w:tc>
          <w:tcPr>
            <w:tcW w:w="8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0.9%</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500" w:type="dxa"/>
            <w:vAlign w:val="bottom"/>
            <w:gridSpan w:val="2"/>
          </w:tcPr>
          <w:p>
            <w:pPr>
              <w:spacing w:after="0" w:line="130" w:lineRule="exact"/>
              <w:rPr>
                <w:sz w:val="20"/>
                <w:szCs w:val="20"/>
                <w:color w:val="auto"/>
              </w:rPr>
            </w:pPr>
            <w:r>
              <w:rPr>
                <w:rFonts w:ascii="Arial" w:cs="Arial" w:eastAsia="Arial" w:hAnsi="Arial"/>
                <w:sz w:val="14"/>
                <w:szCs w:val="14"/>
                <w:color w:val="auto"/>
              </w:rPr>
              <w:t>Expedited Travel L.L.C.</w:t>
            </w:r>
          </w:p>
        </w:tc>
        <w:tc>
          <w:tcPr>
            <w:tcW w:w="1540" w:type="dxa"/>
            <w:vAlign w:val="bottom"/>
            <w:gridSpan w:val="2"/>
          </w:tcPr>
          <w:p>
            <w:pPr>
              <w:ind w:left="320"/>
              <w:spacing w:after="0" w:line="130" w:lineRule="exact"/>
              <w:rPr>
                <w:sz w:val="20"/>
                <w:szCs w:val="20"/>
                <w:color w:val="auto"/>
              </w:rPr>
            </w:pPr>
            <w:r>
              <w:rPr>
                <w:rFonts w:ascii="Arial" w:cs="Arial" w:eastAsia="Arial" w:hAnsi="Arial"/>
                <w:sz w:val="14"/>
                <w:szCs w:val="14"/>
                <w:color w:val="auto"/>
                <w:w w:val="98"/>
              </w:rPr>
              <w:t>Consumer Services</w:t>
            </w:r>
          </w:p>
        </w:tc>
        <w:tc>
          <w:tcPr>
            <w:tcW w:w="2700" w:type="dxa"/>
            <w:vAlign w:val="bottom"/>
            <w:gridSpan w:val="2"/>
          </w:tcPr>
          <w:p>
            <w:pPr>
              <w:ind w:left="100"/>
              <w:spacing w:after="0" w:line="130" w:lineRule="exact"/>
              <w:rPr>
                <w:sz w:val="20"/>
                <w:szCs w:val="20"/>
                <w:color w:val="auto"/>
              </w:rPr>
            </w:pPr>
            <w:r>
              <w:rPr>
                <w:rFonts w:ascii="Arial" w:cs="Arial" w:eastAsia="Arial" w:hAnsi="Arial"/>
                <w:sz w:val="14"/>
                <w:szCs w:val="14"/>
                <w:color w:val="auto"/>
              </w:rPr>
              <w:t>First Lien Term Loan 10.00% Cash,</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700" w:type="dxa"/>
            <w:vAlign w:val="bottom"/>
            <w:gridSpan w:val="2"/>
          </w:tcPr>
          <w:p>
            <w:pPr>
              <w:ind w:left="100"/>
              <w:spacing w:after="0"/>
              <w:rPr>
                <w:sz w:val="20"/>
                <w:szCs w:val="20"/>
                <w:color w:val="auto"/>
              </w:rPr>
            </w:pPr>
            <w:r>
              <w:rPr>
                <w:rFonts w:ascii="Arial" w:cs="Arial" w:eastAsia="Arial" w:hAnsi="Arial"/>
                <w:sz w:val="14"/>
                <w:szCs w:val="14"/>
                <w:color w:val="auto"/>
              </w:rPr>
              <w:t>10/10/2019</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gridSpan w:val="2"/>
          </w:tcPr>
          <w:p>
            <w:pPr>
              <w:jc w:val="right"/>
              <w:ind w:right="200"/>
              <w:spacing w:after="0"/>
              <w:rPr>
                <w:sz w:val="20"/>
                <w:szCs w:val="20"/>
                <w:color w:val="auto"/>
              </w:rPr>
            </w:pPr>
            <w:r>
              <w:rPr>
                <w:rFonts w:ascii="Arial" w:cs="Arial" w:eastAsia="Arial" w:hAnsi="Arial"/>
                <w:sz w:val="14"/>
                <w:szCs w:val="14"/>
                <w:color w:val="auto"/>
                <w:w w:val="88"/>
              </w:rPr>
              <w:t>13,750,000</w:t>
            </w: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w w:val="88"/>
              </w:rPr>
              <w:t>13,609,579</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w w:val="99"/>
              </w:rPr>
              <w:t>13,750,000</w:t>
            </w:r>
          </w:p>
        </w:tc>
        <w:tc>
          <w:tcPr>
            <w:tcW w:w="800" w:type="dxa"/>
            <w:vAlign w:val="bottom"/>
            <w:gridSpan w:val="2"/>
          </w:tcPr>
          <w:p>
            <w:pPr>
              <w:jc w:val="right"/>
              <w:ind w:right="40"/>
              <w:spacing w:after="0"/>
              <w:rPr>
                <w:sz w:val="20"/>
                <w:szCs w:val="20"/>
                <w:color w:val="auto"/>
              </w:rPr>
            </w:pPr>
            <w:r>
              <w:rPr>
                <w:rFonts w:ascii="Arial" w:cs="Arial" w:eastAsia="Arial" w:hAnsi="Arial"/>
                <w:sz w:val="14"/>
                <w:szCs w:val="14"/>
                <w:color w:val="auto"/>
              </w:rPr>
              <w:t>11.2%</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5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PrePaid Legal Services, Inc. (d)</w:t>
            </w:r>
          </w:p>
        </w:tc>
        <w:tc>
          <w:tcPr>
            <w:tcW w:w="1540" w:type="dxa"/>
            <w:vAlign w:val="bottom"/>
            <w:gridSpan w:val="2"/>
            <w:shd w:val="clear" w:color="auto" w:fill="CCEEFF"/>
          </w:tcPr>
          <w:p>
            <w:pPr>
              <w:ind w:left="320"/>
              <w:spacing w:after="0" w:line="130" w:lineRule="exact"/>
              <w:rPr>
                <w:sz w:val="20"/>
                <w:szCs w:val="20"/>
                <w:color w:val="auto"/>
              </w:rPr>
            </w:pPr>
            <w:r>
              <w:rPr>
                <w:rFonts w:ascii="Arial" w:cs="Arial" w:eastAsia="Arial" w:hAnsi="Arial"/>
                <w:sz w:val="14"/>
                <w:szCs w:val="14"/>
                <w:color w:val="auto"/>
                <w:w w:val="98"/>
              </w:rPr>
              <w:t>Consumer Services</w:t>
            </w:r>
          </w:p>
        </w:tc>
        <w:tc>
          <w:tcPr>
            <w:tcW w:w="2700" w:type="dxa"/>
            <w:vAlign w:val="bottom"/>
            <w:tcBorders>
              <w:right w:val="single" w:sz="8" w:color="CCEEFF"/>
            </w:tcBorders>
            <w:gridSpan w:val="2"/>
            <w:shd w:val="clear" w:color="auto" w:fill="CCEEFF"/>
          </w:tcPr>
          <w:p>
            <w:pPr>
              <w:ind w:left="100"/>
              <w:spacing w:after="0" w:line="130" w:lineRule="exact"/>
              <w:rPr>
                <w:sz w:val="20"/>
                <w:szCs w:val="20"/>
                <w:color w:val="auto"/>
              </w:rPr>
            </w:pPr>
            <w:r>
              <w:rPr>
                <w:rFonts w:ascii="Arial" w:cs="Arial" w:eastAsia="Arial" w:hAnsi="Arial"/>
                <w:sz w:val="14"/>
                <w:szCs w:val="14"/>
                <w:color w:val="auto"/>
              </w:rPr>
              <w:t>First Lien Term Loan 6.25% Cash,</w:t>
            </w: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00" w:type="dxa"/>
            <w:vAlign w:val="bottom"/>
            <w:tcBorders>
              <w:lef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9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2700" w:type="dxa"/>
            <w:vAlign w:val="bottom"/>
            <w:tcBorders>
              <w:right w:val="single" w:sz="8" w:color="CCEEFF"/>
            </w:tcBorders>
            <w:gridSpan w:val="2"/>
            <w:shd w:val="clear" w:color="auto" w:fill="CCEEFF"/>
          </w:tcPr>
          <w:p>
            <w:pPr>
              <w:ind w:left="100"/>
              <w:spacing w:after="0"/>
              <w:rPr>
                <w:sz w:val="20"/>
                <w:szCs w:val="20"/>
                <w:color w:val="auto"/>
              </w:rPr>
            </w:pPr>
            <w:r>
              <w:rPr>
                <w:rFonts w:ascii="Arial" w:cs="Arial" w:eastAsia="Arial" w:hAnsi="Arial"/>
                <w:sz w:val="14"/>
                <w:szCs w:val="14"/>
                <w:color w:val="auto"/>
              </w:rPr>
              <w:t>7/1/2019</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w w:val="99"/>
              </w:rPr>
              <w:t>3,709,677</w:t>
            </w: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3,680,863</w:t>
            </w:r>
          </w:p>
        </w:tc>
        <w:tc>
          <w:tcPr>
            <w:tcW w:w="200" w:type="dxa"/>
            <w:vAlign w:val="bottom"/>
            <w:tcBorders>
              <w:lef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3,652,919</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3.0%</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500" w:type="dxa"/>
            <w:vAlign w:val="bottom"/>
            <w:gridSpan w:val="2"/>
          </w:tcPr>
          <w:p>
            <w:pPr>
              <w:spacing w:after="0" w:line="130" w:lineRule="exact"/>
              <w:rPr>
                <w:sz w:val="20"/>
                <w:szCs w:val="20"/>
                <w:color w:val="auto"/>
              </w:rPr>
            </w:pPr>
            <w:r>
              <w:rPr>
                <w:rFonts w:ascii="Arial" w:cs="Arial" w:eastAsia="Arial" w:hAnsi="Arial"/>
                <w:sz w:val="14"/>
                <w:szCs w:val="14"/>
                <w:color w:val="auto"/>
              </w:rPr>
              <w:t>PrePaid Legal Services, Inc. (d)</w:t>
            </w:r>
          </w:p>
        </w:tc>
        <w:tc>
          <w:tcPr>
            <w:tcW w:w="1540" w:type="dxa"/>
            <w:vAlign w:val="bottom"/>
            <w:gridSpan w:val="2"/>
          </w:tcPr>
          <w:p>
            <w:pPr>
              <w:ind w:left="320"/>
              <w:spacing w:after="0" w:line="130" w:lineRule="exact"/>
              <w:rPr>
                <w:sz w:val="20"/>
                <w:szCs w:val="20"/>
                <w:color w:val="auto"/>
              </w:rPr>
            </w:pPr>
            <w:r>
              <w:rPr>
                <w:rFonts w:ascii="Arial" w:cs="Arial" w:eastAsia="Arial" w:hAnsi="Arial"/>
                <w:sz w:val="14"/>
                <w:szCs w:val="14"/>
                <w:color w:val="auto"/>
                <w:w w:val="98"/>
              </w:rPr>
              <w:t>Consumer Services</w:t>
            </w:r>
          </w:p>
        </w:tc>
        <w:tc>
          <w:tcPr>
            <w:tcW w:w="2700" w:type="dxa"/>
            <w:vAlign w:val="bottom"/>
            <w:gridSpan w:val="2"/>
          </w:tcPr>
          <w:p>
            <w:pPr>
              <w:ind w:left="100"/>
              <w:spacing w:after="0" w:line="130" w:lineRule="exact"/>
              <w:rPr>
                <w:sz w:val="20"/>
                <w:szCs w:val="20"/>
                <w:color w:val="auto"/>
              </w:rPr>
            </w:pPr>
            <w:r>
              <w:rPr>
                <w:rFonts w:ascii="Arial" w:cs="Arial" w:eastAsia="Arial" w:hAnsi="Arial"/>
                <w:sz w:val="14"/>
                <w:szCs w:val="14"/>
                <w:color w:val="auto"/>
              </w:rPr>
              <w:t>Second Lien Term Loan 9.75% Cash,</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700" w:type="dxa"/>
            <w:vAlign w:val="bottom"/>
            <w:gridSpan w:val="2"/>
          </w:tcPr>
          <w:p>
            <w:pPr>
              <w:ind w:left="100"/>
              <w:spacing w:after="0"/>
              <w:rPr>
                <w:sz w:val="20"/>
                <w:szCs w:val="20"/>
                <w:color w:val="auto"/>
              </w:rPr>
            </w:pPr>
            <w:r>
              <w:rPr>
                <w:rFonts w:ascii="Arial" w:cs="Arial" w:eastAsia="Arial" w:hAnsi="Arial"/>
                <w:sz w:val="14"/>
                <w:szCs w:val="14"/>
                <w:color w:val="auto"/>
              </w:rPr>
              <w:t>7/1/2020</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gridSpan w:val="2"/>
          </w:tcPr>
          <w:p>
            <w:pPr>
              <w:jc w:val="right"/>
              <w:ind w:right="200"/>
              <w:spacing w:after="0"/>
              <w:rPr>
                <w:sz w:val="20"/>
                <w:szCs w:val="20"/>
                <w:color w:val="auto"/>
              </w:rPr>
            </w:pPr>
            <w:r>
              <w:rPr>
                <w:rFonts w:ascii="Arial" w:cs="Arial" w:eastAsia="Arial" w:hAnsi="Arial"/>
                <w:sz w:val="14"/>
                <w:szCs w:val="14"/>
                <w:color w:val="auto"/>
                <w:w w:val="99"/>
              </w:rPr>
              <w:t>5,000,000</w:t>
            </w: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w w:val="99"/>
              </w:rPr>
              <w:t>4,937,212</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4,981,000</w:t>
            </w:r>
          </w:p>
        </w:tc>
        <w:tc>
          <w:tcPr>
            <w:tcW w:w="180" w:type="dxa"/>
            <w:vAlign w:val="bottom"/>
          </w:tcPr>
          <w:p>
            <w:pPr>
              <w:spacing w:after="0"/>
              <w:rPr>
                <w:sz w:val="14"/>
                <w:szCs w:val="14"/>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4"/>
                <w:szCs w:val="14"/>
                <w:color w:val="auto"/>
              </w:rPr>
              <w:t>4.1%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9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0" w:type="dxa"/>
            <w:vAlign w:val="bottom"/>
            <w:tcBorders>
              <w:right w:val="single" w:sz="8" w:color="CCEEFF"/>
            </w:tcBorders>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Total Consumer Services</w:t>
            </w: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8"/>
              </w:rPr>
              <w:t>23,941,924</w:t>
            </w:r>
          </w:p>
        </w:tc>
        <w:tc>
          <w:tcPr>
            <w:tcW w:w="200" w:type="dxa"/>
            <w:vAlign w:val="bottom"/>
            <w:tcBorders>
              <w:lef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24,169,255</w:t>
            </w:r>
          </w:p>
        </w:tc>
        <w:tc>
          <w:tcPr>
            <w:tcW w:w="1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22.3%</w:t>
            </w:r>
          </w:p>
        </w:tc>
        <w:tc>
          <w:tcPr>
            <w:tcW w:w="0" w:type="dxa"/>
            <w:vAlign w:val="bottom"/>
          </w:tcPr>
          <w:p>
            <w:pPr>
              <w:spacing w:after="0"/>
              <w:rPr>
                <w:sz w:val="1"/>
                <w:szCs w:val="1"/>
                <w:color w:val="auto"/>
              </w:rPr>
            </w:pPr>
          </w:p>
        </w:tc>
      </w:tr>
      <w:tr>
        <w:trPr>
          <w:trHeight w:val="20"/>
        </w:trPr>
        <w:tc>
          <w:tcPr>
            <w:tcW w:w="3520" w:type="dxa"/>
            <w:vAlign w:val="bottom"/>
            <w:gridSpan w:val="3"/>
            <w:vMerge w:val="restart"/>
          </w:tcPr>
          <w:p>
            <w:pPr>
              <w:spacing w:after="0"/>
              <w:rPr>
                <w:sz w:val="20"/>
                <w:szCs w:val="20"/>
                <w:color w:val="auto"/>
              </w:rPr>
            </w:pPr>
            <w:r>
              <w:rPr>
                <w:rFonts w:ascii="Arial" w:cs="Arial" w:eastAsia="Arial" w:hAnsi="Arial"/>
                <w:sz w:val="14"/>
                <w:szCs w:val="14"/>
                <w:color w:val="auto"/>
              </w:rPr>
              <w:t>M/C Acquisition Corp., L.L.C. (d), (g)</w:t>
            </w:r>
          </w:p>
        </w:tc>
        <w:tc>
          <w:tcPr>
            <w:tcW w:w="1540" w:type="dxa"/>
            <w:vAlign w:val="bottom"/>
            <w:gridSpan w:val="2"/>
            <w:vMerge w:val="restart"/>
          </w:tcPr>
          <w:p>
            <w:pPr>
              <w:ind w:left="320"/>
              <w:spacing w:after="0"/>
              <w:rPr>
                <w:sz w:val="20"/>
                <w:szCs w:val="20"/>
                <w:color w:val="auto"/>
              </w:rPr>
            </w:pPr>
            <w:r>
              <w:rPr>
                <w:rFonts w:ascii="Arial" w:cs="Arial" w:eastAsia="Arial" w:hAnsi="Arial"/>
                <w:sz w:val="14"/>
                <w:szCs w:val="14"/>
                <w:color w:val="auto"/>
              </w:rPr>
              <w:t>Education</w:t>
            </w:r>
          </w:p>
        </w:tc>
        <w:tc>
          <w:tcPr>
            <w:tcW w:w="2700" w:type="dxa"/>
            <w:vAlign w:val="bottom"/>
            <w:gridSpan w:val="2"/>
            <w:vMerge w:val="restart"/>
          </w:tcPr>
          <w:p>
            <w:pPr>
              <w:ind w:left="100"/>
              <w:spacing w:after="0"/>
              <w:rPr>
                <w:sz w:val="20"/>
                <w:szCs w:val="20"/>
                <w:color w:val="auto"/>
              </w:rPr>
            </w:pPr>
            <w:r>
              <w:rPr>
                <w:rFonts w:ascii="Arial" w:cs="Arial" w:eastAsia="Arial" w:hAnsi="Arial"/>
                <w:sz w:val="14"/>
                <w:szCs w:val="14"/>
                <w:color w:val="auto"/>
              </w:rPr>
              <w:t>Class A Common Stock</w:t>
            </w:r>
          </w:p>
        </w:tc>
        <w:tc>
          <w:tcPr>
            <w:tcW w:w="80" w:type="dxa"/>
            <w:vAlign w:val="bottom"/>
          </w:tcPr>
          <w:p>
            <w:pPr>
              <w:spacing w:after="0" w:line="20" w:lineRule="exact"/>
              <w:rPr>
                <w:sz w:val="1"/>
                <w:szCs w:val="1"/>
                <w:color w:val="auto"/>
              </w:rPr>
            </w:pPr>
          </w:p>
        </w:tc>
        <w:tc>
          <w:tcPr>
            <w:tcW w:w="84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544,761</w:t>
            </w: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520" w:type="dxa"/>
            <w:vAlign w:val="bottom"/>
            <w:gridSpan w:val="3"/>
            <w:vMerge w:val="continue"/>
          </w:tcPr>
          <w:p>
            <w:pPr>
              <w:spacing w:after="0"/>
              <w:rPr>
                <w:sz w:val="13"/>
                <w:szCs w:val="13"/>
                <w:color w:val="auto"/>
              </w:rPr>
            </w:pPr>
          </w:p>
        </w:tc>
        <w:tc>
          <w:tcPr>
            <w:tcW w:w="1540" w:type="dxa"/>
            <w:vAlign w:val="bottom"/>
            <w:gridSpan w:val="2"/>
            <w:vMerge w:val="continue"/>
          </w:tcPr>
          <w:p>
            <w:pPr>
              <w:spacing w:after="0"/>
              <w:rPr>
                <w:sz w:val="13"/>
                <w:szCs w:val="13"/>
                <w:color w:val="auto"/>
              </w:rPr>
            </w:pPr>
          </w:p>
        </w:tc>
        <w:tc>
          <w:tcPr>
            <w:tcW w:w="270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jc w:val="right"/>
              <w:spacing w:after="0" w:line="155" w:lineRule="exact"/>
              <w:rPr>
                <w:sz w:val="20"/>
                <w:szCs w:val="20"/>
                <w:color w:val="auto"/>
              </w:rPr>
            </w:pPr>
            <w:r>
              <w:rPr>
                <w:rFonts w:ascii="Arial" w:cs="Arial" w:eastAsia="Arial" w:hAnsi="Arial"/>
                <w:sz w:val="14"/>
                <w:szCs w:val="14"/>
                <w:color w:val="auto"/>
              </w:rPr>
              <w:t>30,241</w:t>
            </w:r>
          </w:p>
        </w:tc>
        <w:tc>
          <w:tcPr>
            <w:tcW w:w="20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ind w:left="500"/>
              <w:spacing w:after="0" w:line="155" w:lineRule="exact"/>
              <w:rPr>
                <w:sz w:val="20"/>
                <w:szCs w:val="20"/>
                <w:color w:val="auto"/>
              </w:rPr>
            </w:pPr>
            <w:r>
              <w:rPr>
                <w:rFonts w:ascii="Arial" w:cs="Arial" w:eastAsia="Arial" w:hAnsi="Arial"/>
                <w:sz w:val="14"/>
                <w:szCs w:val="14"/>
                <w:color w:val="auto"/>
              </w:rPr>
              <w:t>—</w:t>
            </w:r>
          </w:p>
        </w:tc>
        <w:tc>
          <w:tcPr>
            <w:tcW w:w="180" w:type="dxa"/>
            <w:vAlign w:val="bottom"/>
            <w:vMerge w:val="continue"/>
          </w:tcPr>
          <w:p>
            <w:pPr>
              <w:spacing w:after="0"/>
              <w:rPr>
                <w:sz w:val="13"/>
                <w:szCs w:val="13"/>
                <w:color w:val="auto"/>
              </w:rPr>
            </w:pPr>
          </w:p>
        </w:tc>
        <w:tc>
          <w:tcPr>
            <w:tcW w:w="80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5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M/C Acquisition Corp., L.L.C. (d)</w:t>
            </w:r>
          </w:p>
        </w:tc>
        <w:tc>
          <w:tcPr>
            <w:tcW w:w="1540" w:type="dxa"/>
            <w:vAlign w:val="bottom"/>
            <w:gridSpan w:val="2"/>
            <w:shd w:val="clear" w:color="auto" w:fill="CCEEFF"/>
          </w:tcPr>
          <w:p>
            <w:pPr>
              <w:ind w:left="320"/>
              <w:spacing w:after="0" w:line="130" w:lineRule="exact"/>
              <w:rPr>
                <w:sz w:val="20"/>
                <w:szCs w:val="20"/>
                <w:color w:val="auto"/>
              </w:rPr>
            </w:pPr>
            <w:r>
              <w:rPr>
                <w:rFonts w:ascii="Arial" w:cs="Arial" w:eastAsia="Arial" w:hAnsi="Arial"/>
                <w:sz w:val="14"/>
                <w:szCs w:val="14"/>
                <w:color w:val="auto"/>
              </w:rPr>
              <w:t>Education</w:t>
            </w:r>
          </w:p>
        </w:tc>
        <w:tc>
          <w:tcPr>
            <w:tcW w:w="2700" w:type="dxa"/>
            <w:vAlign w:val="bottom"/>
            <w:tcBorders>
              <w:right w:val="single" w:sz="8" w:color="CCEEFF"/>
            </w:tcBorders>
            <w:gridSpan w:val="2"/>
            <w:shd w:val="clear" w:color="auto" w:fill="CCEEFF"/>
          </w:tcPr>
          <w:p>
            <w:pPr>
              <w:ind w:left="100"/>
              <w:spacing w:after="0" w:line="130" w:lineRule="exact"/>
              <w:rPr>
                <w:sz w:val="20"/>
                <w:szCs w:val="20"/>
                <w:color w:val="auto"/>
              </w:rPr>
            </w:pPr>
            <w:r>
              <w:rPr>
                <w:rFonts w:ascii="Arial" w:cs="Arial" w:eastAsia="Arial" w:hAnsi="Arial"/>
                <w:sz w:val="14"/>
                <w:szCs w:val="14"/>
                <w:color w:val="auto"/>
              </w:rPr>
              <w:t>First Lien Term Loan 1.00% Cash,</w:t>
            </w: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00" w:type="dxa"/>
            <w:vAlign w:val="bottom"/>
            <w:tcBorders>
              <w:lef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9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2700" w:type="dxa"/>
            <w:vAlign w:val="bottom"/>
            <w:tcBorders>
              <w:right w:val="single" w:sz="8" w:color="CCEEFF"/>
            </w:tcBorders>
            <w:gridSpan w:val="2"/>
            <w:shd w:val="clear" w:color="auto" w:fill="CCEEFF"/>
          </w:tcPr>
          <w:p>
            <w:pPr>
              <w:ind w:left="100"/>
              <w:spacing w:after="0"/>
              <w:rPr>
                <w:sz w:val="20"/>
                <w:szCs w:val="20"/>
                <w:color w:val="auto"/>
              </w:rPr>
            </w:pPr>
            <w:r>
              <w:rPr>
                <w:rFonts w:ascii="Arial" w:cs="Arial" w:eastAsia="Arial" w:hAnsi="Arial"/>
                <w:sz w:val="14"/>
                <w:szCs w:val="14"/>
                <w:color w:val="auto"/>
              </w:rPr>
              <w:t>3/31/2015</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w w:val="99"/>
              </w:rPr>
              <w:t>2,362,978</w:t>
            </w: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1,235,695</w:t>
            </w:r>
          </w:p>
        </w:tc>
        <w:tc>
          <w:tcPr>
            <w:tcW w:w="200" w:type="dxa"/>
            <w:vAlign w:val="bottom"/>
            <w:tcBorders>
              <w:lef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100,951</w:t>
            </w:r>
          </w:p>
        </w:tc>
        <w:tc>
          <w:tcPr>
            <w:tcW w:w="1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2600" w:type="dxa"/>
            <w:vAlign w:val="bottom"/>
            <w:vMerge w:val="restart"/>
          </w:tcPr>
          <w:p>
            <w:pPr>
              <w:jc w:val="right"/>
              <w:ind w:right="28"/>
              <w:spacing w:after="0"/>
              <w:rPr>
                <w:sz w:val="20"/>
                <w:szCs w:val="20"/>
                <w:color w:val="auto"/>
              </w:rPr>
            </w:pPr>
            <w:r>
              <w:rPr>
                <w:rFonts w:ascii="Arial" w:cs="Arial" w:eastAsia="Arial" w:hAnsi="Arial"/>
                <w:sz w:val="14"/>
                <w:szCs w:val="14"/>
                <w:color w:val="auto"/>
              </w:rPr>
              <w:t>Total Education</w:t>
            </w: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vMerge w:val="continue"/>
          </w:tcPr>
          <w:p>
            <w:pPr>
              <w:spacing w:after="0"/>
              <w:rPr>
                <w:sz w:val="14"/>
                <w:szCs w:val="14"/>
                <w:color w:val="auto"/>
              </w:rPr>
            </w:pPr>
          </w:p>
        </w:tc>
        <w:tc>
          <w:tcPr>
            <w:tcW w:w="26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spacing w:after="0" w:line="155" w:lineRule="exact"/>
              <w:rPr>
                <w:sz w:val="20"/>
                <w:szCs w:val="20"/>
                <w:color w:val="auto"/>
              </w:rPr>
            </w:pPr>
            <w:r>
              <w:rPr>
                <w:rFonts w:ascii="Arial" w:cs="Arial" w:eastAsia="Arial" w:hAnsi="Arial"/>
                <w:sz w:val="14"/>
                <w:szCs w:val="14"/>
                <w:color w:val="auto"/>
                <w:w w:val="99"/>
              </w:rPr>
              <w:t>1,265,936</w:t>
            </w:r>
          </w:p>
        </w:tc>
        <w:tc>
          <w:tcPr>
            <w:tcW w:w="2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spacing w:after="0" w:line="155" w:lineRule="exact"/>
              <w:rPr>
                <w:sz w:val="20"/>
                <w:szCs w:val="20"/>
                <w:color w:val="auto"/>
              </w:rPr>
            </w:pPr>
            <w:r>
              <w:rPr>
                <w:rFonts w:ascii="Arial" w:cs="Arial" w:eastAsia="Arial" w:hAnsi="Arial"/>
                <w:sz w:val="14"/>
                <w:szCs w:val="14"/>
                <w:color w:val="auto"/>
              </w:rPr>
              <w:t>100,951</w:t>
            </w:r>
          </w:p>
        </w:tc>
        <w:tc>
          <w:tcPr>
            <w:tcW w:w="180" w:type="dxa"/>
            <w:vAlign w:val="bottom"/>
            <w:vMerge w:val="continue"/>
          </w:tcPr>
          <w:p>
            <w:pPr>
              <w:spacing w:after="0"/>
              <w:rPr>
                <w:sz w:val="14"/>
                <w:szCs w:val="14"/>
                <w:color w:val="auto"/>
              </w:rPr>
            </w:pPr>
          </w:p>
        </w:tc>
        <w:tc>
          <w:tcPr>
            <w:tcW w:w="80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5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Group Dekko, Inc. (d)</w:t>
            </w:r>
          </w:p>
        </w:tc>
        <w:tc>
          <w:tcPr>
            <w:tcW w:w="1540" w:type="dxa"/>
            <w:vAlign w:val="bottom"/>
            <w:gridSpan w:val="2"/>
            <w:shd w:val="clear" w:color="auto" w:fill="CCEEFF"/>
          </w:tcPr>
          <w:p>
            <w:pPr>
              <w:ind w:left="320"/>
              <w:spacing w:after="0" w:line="130" w:lineRule="exact"/>
              <w:rPr>
                <w:sz w:val="20"/>
                <w:szCs w:val="20"/>
                <w:color w:val="auto"/>
              </w:rPr>
            </w:pPr>
            <w:r>
              <w:rPr>
                <w:rFonts w:ascii="Arial" w:cs="Arial" w:eastAsia="Arial" w:hAnsi="Arial"/>
                <w:sz w:val="14"/>
                <w:szCs w:val="14"/>
                <w:color w:val="auto"/>
              </w:rPr>
              <w:t>Electronics</w:t>
            </w:r>
          </w:p>
        </w:tc>
        <w:tc>
          <w:tcPr>
            <w:tcW w:w="2700" w:type="dxa"/>
            <w:vAlign w:val="bottom"/>
            <w:tcBorders>
              <w:right w:val="single" w:sz="8" w:color="CCEEFF"/>
            </w:tcBorders>
            <w:gridSpan w:val="2"/>
            <w:shd w:val="clear" w:color="auto" w:fill="CCEEFF"/>
          </w:tcPr>
          <w:p>
            <w:pPr>
              <w:ind w:left="100"/>
              <w:spacing w:after="0" w:line="130" w:lineRule="exact"/>
              <w:rPr>
                <w:sz w:val="20"/>
                <w:szCs w:val="20"/>
                <w:color w:val="auto"/>
              </w:rPr>
            </w:pPr>
            <w:r>
              <w:rPr>
                <w:rFonts w:ascii="Arial" w:cs="Arial" w:eastAsia="Arial" w:hAnsi="Arial"/>
                <w:sz w:val="14"/>
                <w:szCs w:val="14"/>
                <w:color w:val="auto"/>
                <w:w w:val="99"/>
              </w:rPr>
              <w:t>Second Lien Term Loan 11.00% (10.00%</w:t>
            </w: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200" w:type="dxa"/>
            <w:vAlign w:val="bottom"/>
            <w:tcBorders>
              <w:left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9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2700" w:type="dxa"/>
            <w:vAlign w:val="bottom"/>
            <w:tcBorders>
              <w:right w:val="single" w:sz="8" w:color="CCEEFF"/>
            </w:tcBorders>
            <w:gridSpan w:val="2"/>
            <w:shd w:val="clear" w:color="auto" w:fill="CCEEFF"/>
          </w:tcPr>
          <w:p>
            <w:pPr>
              <w:ind w:left="100"/>
              <w:spacing w:after="0"/>
              <w:rPr>
                <w:sz w:val="20"/>
                <w:szCs w:val="20"/>
                <w:color w:val="auto"/>
              </w:rPr>
            </w:pPr>
            <w:r>
              <w:rPr>
                <w:rFonts w:ascii="Arial" w:cs="Arial" w:eastAsia="Arial" w:hAnsi="Arial"/>
                <w:sz w:val="14"/>
                <w:szCs w:val="14"/>
                <w:color w:val="auto"/>
              </w:rPr>
              <w:t>Cash/1.00% PIK), 5/1/2016</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w w:val="99"/>
              </w:rPr>
              <w:t>6,950,048</w:t>
            </w: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6,950,048</w:t>
            </w:r>
          </w:p>
        </w:tc>
        <w:tc>
          <w:tcPr>
            <w:tcW w:w="200" w:type="dxa"/>
            <w:vAlign w:val="bottom"/>
            <w:tcBorders>
              <w:lef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6,667,181</w:t>
            </w:r>
          </w:p>
        </w:tc>
        <w:tc>
          <w:tcPr>
            <w:tcW w:w="1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5.4%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2600" w:type="dxa"/>
            <w:vAlign w:val="bottom"/>
            <w:vMerge w:val="restart"/>
          </w:tcPr>
          <w:p>
            <w:pPr>
              <w:jc w:val="right"/>
              <w:ind w:right="28"/>
              <w:spacing w:after="0"/>
              <w:rPr>
                <w:sz w:val="20"/>
                <w:szCs w:val="20"/>
                <w:color w:val="auto"/>
              </w:rPr>
            </w:pPr>
            <w:r>
              <w:rPr>
                <w:rFonts w:ascii="Arial" w:cs="Arial" w:eastAsia="Arial" w:hAnsi="Arial"/>
                <w:sz w:val="14"/>
                <w:szCs w:val="14"/>
                <w:color w:val="auto"/>
              </w:rPr>
              <w:t>Total Electronics</w:t>
            </w: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9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vMerge w:val="continue"/>
          </w:tcPr>
          <w:p>
            <w:pPr>
              <w:spacing w:after="0"/>
              <w:rPr>
                <w:sz w:val="13"/>
                <w:szCs w:val="13"/>
                <w:color w:val="auto"/>
              </w:rPr>
            </w:pPr>
          </w:p>
        </w:tc>
        <w:tc>
          <w:tcPr>
            <w:tcW w:w="26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jc w:val="right"/>
              <w:spacing w:after="0" w:line="155" w:lineRule="exact"/>
              <w:rPr>
                <w:sz w:val="20"/>
                <w:szCs w:val="20"/>
                <w:color w:val="auto"/>
              </w:rPr>
            </w:pPr>
            <w:r>
              <w:rPr>
                <w:rFonts w:ascii="Arial" w:cs="Arial" w:eastAsia="Arial" w:hAnsi="Arial"/>
                <w:sz w:val="14"/>
                <w:szCs w:val="14"/>
                <w:color w:val="auto"/>
                <w:w w:val="99"/>
              </w:rPr>
              <w:t>6,950,048</w:t>
            </w:r>
          </w:p>
        </w:tc>
        <w:tc>
          <w:tcPr>
            <w:tcW w:w="20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jc w:val="right"/>
              <w:spacing w:after="0" w:line="155" w:lineRule="exact"/>
              <w:rPr>
                <w:sz w:val="20"/>
                <w:szCs w:val="20"/>
                <w:color w:val="auto"/>
              </w:rPr>
            </w:pPr>
            <w:r>
              <w:rPr>
                <w:rFonts w:ascii="Arial" w:cs="Arial" w:eastAsia="Arial" w:hAnsi="Arial"/>
                <w:sz w:val="14"/>
                <w:szCs w:val="14"/>
                <w:color w:val="auto"/>
              </w:rPr>
              <w:t>6,667,181</w:t>
            </w:r>
          </w:p>
        </w:tc>
        <w:tc>
          <w:tcPr>
            <w:tcW w:w="180" w:type="dxa"/>
            <w:vAlign w:val="bottom"/>
            <w:vMerge w:val="continue"/>
          </w:tcPr>
          <w:p>
            <w:pPr>
              <w:spacing w:after="0"/>
              <w:rPr>
                <w:sz w:val="13"/>
                <w:szCs w:val="13"/>
                <w:color w:val="auto"/>
              </w:rPr>
            </w:pPr>
          </w:p>
        </w:tc>
        <w:tc>
          <w:tcPr>
            <w:tcW w:w="80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5.4%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4"/>
                <w:szCs w:val="14"/>
                <w:color w:val="auto"/>
              </w:rPr>
              <w:t>TB Corp. (d)</w:t>
            </w:r>
          </w:p>
        </w:tc>
        <w:tc>
          <w:tcPr>
            <w:tcW w:w="1720" w:type="dxa"/>
            <w:vAlign w:val="bottom"/>
            <w:shd w:val="clear" w:color="auto" w:fill="CCEEFF"/>
          </w:tcPr>
          <w:p>
            <w:pPr>
              <w:ind w:left="360"/>
              <w:spacing w:after="0"/>
              <w:rPr>
                <w:sz w:val="20"/>
                <w:szCs w:val="20"/>
                <w:color w:val="auto"/>
              </w:rPr>
            </w:pPr>
            <w:r>
              <w:rPr>
                <w:rFonts w:ascii="Arial" w:cs="Arial" w:eastAsia="Arial" w:hAnsi="Arial"/>
                <w:sz w:val="14"/>
                <w:szCs w:val="14"/>
                <w:color w:val="auto"/>
              </w:rPr>
              <w:t>Food and Beverage</w:t>
            </w:r>
          </w:p>
        </w:tc>
        <w:tc>
          <w:tcPr>
            <w:tcW w:w="2860" w:type="dxa"/>
            <w:vAlign w:val="bottom"/>
            <w:shd w:val="clear" w:color="auto" w:fill="CCEEFF"/>
          </w:tcPr>
          <w:p>
            <w:pPr>
              <w:ind w:left="120"/>
              <w:spacing w:after="0"/>
              <w:rPr>
                <w:sz w:val="20"/>
                <w:szCs w:val="20"/>
                <w:color w:val="auto"/>
              </w:rPr>
            </w:pPr>
            <w:r>
              <w:rPr>
                <w:rFonts w:ascii="Arial" w:cs="Arial" w:eastAsia="Arial" w:hAnsi="Arial"/>
                <w:sz w:val="14"/>
                <w:szCs w:val="14"/>
                <w:color w:val="auto"/>
                <w:w w:val="97"/>
              </w:rPr>
              <w:t>First Lien Term Loan 5.76% Cash, 6/19/2018</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5,050,436</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5,038,131</w:t>
            </w: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5,037,810</w:t>
            </w:r>
          </w:p>
        </w:tc>
        <w:tc>
          <w:tcPr>
            <w:tcW w:w="20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4.0%</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380" w:type="dxa"/>
            <w:vAlign w:val="bottom"/>
          </w:tcPr>
          <w:p>
            <w:pPr>
              <w:spacing w:after="0" w:line="130" w:lineRule="exact"/>
              <w:rPr>
                <w:sz w:val="20"/>
                <w:szCs w:val="20"/>
                <w:color w:val="auto"/>
              </w:rPr>
            </w:pPr>
            <w:r>
              <w:rPr>
                <w:rFonts w:ascii="Arial" w:cs="Arial" w:eastAsia="Arial" w:hAnsi="Arial"/>
                <w:sz w:val="14"/>
                <w:szCs w:val="14"/>
                <w:color w:val="auto"/>
              </w:rPr>
              <w:t>TB Corp. (d)</w:t>
            </w:r>
          </w:p>
        </w:tc>
        <w:tc>
          <w:tcPr>
            <w:tcW w:w="1720" w:type="dxa"/>
            <w:vAlign w:val="bottom"/>
          </w:tcPr>
          <w:p>
            <w:pPr>
              <w:ind w:left="360"/>
              <w:spacing w:after="0" w:line="130" w:lineRule="exact"/>
              <w:rPr>
                <w:sz w:val="20"/>
                <w:szCs w:val="20"/>
                <w:color w:val="auto"/>
              </w:rPr>
            </w:pPr>
            <w:r>
              <w:rPr>
                <w:rFonts w:ascii="Arial" w:cs="Arial" w:eastAsia="Arial" w:hAnsi="Arial"/>
                <w:sz w:val="14"/>
                <w:szCs w:val="14"/>
                <w:color w:val="auto"/>
              </w:rPr>
              <w:t>Food and Beverage</w:t>
            </w:r>
          </w:p>
        </w:tc>
        <w:tc>
          <w:tcPr>
            <w:tcW w:w="2860" w:type="dxa"/>
            <w:vAlign w:val="bottom"/>
          </w:tcPr>
          <w:p>
            <w:pPr>
              <w:ind w:left="120"/>
              <w:spacing w:after="0" w:line="130" w:lineRule="exact"/>
              <w:rPr>
                <w:sz w:val="20"/>
                <w:szCs w:val="20"/>
                <w:color w:val="auto"/>
              </w:rPr>
            </w:pPr>
            <w:r>
              <w:rPr>
                <w:rFonts w:ascii="Arial" w:cs="Arial" w:eastAsia="Arial" w:hAnsi="Arial"/>
                <w:sz w:val="14"/>
                <w:szCs w:val="14"/>
                <w:color w:val="auto"/>
                <w:w w:val="94"/>
              </w:rPr>
              <w:t>Unsecured Note 13.50% (12.00% Cash/1.50%</w:t>
            </w: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2860" w:type="dxa"/>
            <w:vAlign w:val="bottom"/>
          </w:tcPr>
          <w:p>
            <w:pPr>
              <w:ind w:left="120"/>
              <w:spacing w:after="0"/>
              <w:rPr>
                <w:sz w:val="20"/>
                <w:szCs w:val="20"/>
                <w:color w:val="auto"/>
              </w:rPr>
            </w:pPr>
            <w:r>
              <w:rPr>
                <w:rFonts w:ascii="Arial" w:cs="Arial" w:eastAsia="Arial" w:hAnsi="Arial"/>
                <w:sz w:val="14"/>
                <w:szCs w:val="14"/>
                <w:color w:val="auto"/>
              </w:rPr>
              <w:t>PIK), 12/20/2018</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108"/>
              <w:spacing w:after="0"/>
              <w:rPr>
                <w:sz w:val="20"/>
                <w:szCs w:val="20"/>
                <w:color w:val="auto"/>
              </w:rPr>
            </w:pPr>
            <w:r>
              <w:rPr>
                <w:rFonts w:ascii="Arial" w:cs="Arial" w:eastAsia="Arial" w:hAnsi="Arial"/>
                <w:sz w:val="14"/>
                <w:szCs w:val="14"/>
                <w:color w:val="auto"/>
              </w:rPr>
              <w:t>2,546,121</w:t>
            </w:r>
          </w:p>
        </w:tc>
        <w:tc>
          <w:tcPr>
            <w:tcW w:w="780" w:type="dxa"/>
            <w:vAlign w:val="bottom"/>
          </w:tcPr>
          <w:p>
            <w:pPr>
              <w:jc w:val="right"/>
              <w:spacing w:after="0"/>
              <w:rPr>
                <w:sz w:val="20"/>
                <w:szCs w:val="20"/>
                <w:color w:val="auto"/>
              </w:rPr>
            </w:pPr>
            <w:r>
              <w:rPr>
                <w:rFonts w:ascii="Arial" w:cs="Arial" w:eastAsia="Arial" w:hAnsi="Arial"/>
                <w:sz w:val="14"/>
                <w:szCs w:val="14"/>
                <w:color w:val="auto"/>
              </w:rPr>
              <w:t>2,512,732</w:t>
            </w: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2,546,121</w:t>
            </w:r>
          </w:p>
        </w:tc>
        <w:tc>
          <w:tcPr>
            <w:tcW w:w="200" w:type="dxa"/>
            <w:vAlign w:val="bottom"/>
          </w:tcPr>
          <w:p>
            <w:pPr>
              <w:spacing w:after="0"/>
              <w:rPr>
                <w:sz w:val="14"/>
                <w:szCs w:val="14"/>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TM Restaurant Group L.L.C.</w:t>
            </w:r>
          </w:p>
        </w:tc>
        <w:tc>
          <w:tcPr>
            <w:tcW w:w="1720" w:type="dxa"/>
            <w:vAlign w:val="bottom"/>
            <w:shd w:val="clear" w:color="auto" w:fill="CCEEFF"/>
          </w:tcPr>
          <w:p>
            <w:pPr>
              <w:ind w:left="360"/>
              <w:spacing w:after="0" w:line="149" w:lineRule="exact"/>
              <w:rPr>
                <w:sz w:val="20"/>
                <w:szCs w:val="20"/>
                <w:color w:val="auto"/>
              </w:rPr>
            </w:pPr>
            <w:r>
              <w:rPr>
                <w:rFonts w:ascii="Arial" w:cs="Arial" w:eastAsia="Arial" w:hAnsi="Arial"/>
                <w:sz w:val="14"/>
                <w:szCs w:val="14"/>
                <w:color w:val="auto"/>
              </w:rPr>
              <w:t>Food and Beverage</w:t>
            </w:r>
          </w:p>
        </w:tc>
        <w:tc>
          <w:tcPr>
            <w:tcW w:w="286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w w:val="97"/>
              </w:rPr>
              <w:t>First Lien Term Loan 7.75% Cash, 7/16/2017</w:t>
            </w: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2,791,595</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2,791,595</w:t>
            </w: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2,763,679</w:t>
            </w:r>
          </w:p>
        </w:tc>
        <w:tc>
          <w:tcPr>
            <w:tcW w:w="20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860" w:type="dxa"/>
            <w:vAlign w:val="bottom"/>
            <w:vMerge w:val="restart"/>
          </w:tcPr>
          <w:p>
            <w:pPr>
              <w:jc w:val="right"/>
              <w:spacing w:after="0"/>
              <w:rPr>
                <w:sz w:val="20"/>
                <w:szCs w:val="20"/>
                <w:color w:val="auto"/>
              </w:rPr>
            </w:pPr>
            <w:r>
              <w:rPr>
                <w:rFonts w:ascii="Arial" w:cs="Arial" w:eastAsia="Arial" w:hAnsi="Arial"/>
                <w:sz w:val="14"/>
                <w:szCs w:val="14"/>
                <w:color w:val="auto"/>
              </w:rPr>
              <w:t>Total Food and Beverage</w:t>
            </w: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28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80" w:type="dxa"/>
            <w:vAlign w:val="bottom"/>
          </w:tcPr>
          <w:p>
            <w:pPr>
              <w:jc w:val="right"/>
              <w:spacing w:after="0" w:line="155" w:lineRule="exact"/>
              <w:rPr>
                <w:sz w:val="20"/>
                <w:szCs w:val="20"/>
                <w:color w:val="auto"/>
              </w:rPr>
            </w:pPr>
            <w:r>
              <w:rPr>
                <w:rFonts w:ascii="Arial" w:cs="Arial" w:eastAsia="Arial" w:hAnsi="Arial"/>
                <w:sz w:val="14"/>
                <w:szCs w:val="14"/>
                <w:color w:val="auto"/>
              </w:rPr>
              <w:t>10,342,458</w:t>
            </w:r>
          </w:p>
        </w:tc>
        <w:tc>
          <w:tcPr>
            <w:tcW w:w="180" w:type="dxa"/>
            <w:vAlign w:val="bottom"/>
          </w:tcPr>
          <w:p>
            <w:pPr>
              <w:spacing w:after="0"/>
              <w:rPr>
                <w:sz w:val="14"/>
                <w:szCs w:val="14"/>
                <w:color w:val="auto"/>
              </w:rPr>
            </w:pPr>
          </w:p>
        </w:tc>
        <w:tc>
          <w:tcPr>
            <w:tcW w:w="780" w:type="dxa"/>
            <w:vAlign w:val="bottom"/>
          </w:tcPr>
          <w:p>
            <w:pPr>
              <w:jc w:val="right"/>
              <w:spacing w:after="0" w:line="155" w:lineRule="exact"/>
              <w:rPr>
                <w:sz w:val="20"/>
                <w:szCs w:val="20"/>
                <w:color w:val="auto"/>
              </w:rPr>
            </w:pPr>
            <w:r>
              <w:rPr>
                <w:rFonts w:ascii="Arial" w:cs="Arial" w:eastAsia="Arial" w:hAnsi="Arial"/>
                <w:sz w:val="14"/>
                <w:szCs w:val="14"/>
                <w:color w:val="auto"/>
              </w:rPr>
              <w:t>10,347,610</w:t>
            </w:r>
          </w:p>
        </w:tc>
        <w:tc>
          <w:tcPr>
            <w:tcW w:w="200" w:type="dxa"/>
            <w:vAlign w:val="bottom"/>
            <w:vMerge w:val="continue"/>
          </w:tcPr>
          <w:p>
            <w:pPr>
              <w:spacing w:after="0"/>
              <w:rPr>
                <w:sz w:val="14"/>
                <w:szCs w:val="14"/>
                <w:color w:val="auto"/>
              </w:rPr>
            </w:pPr>
          </w:p>
        </w:tc>
        <w:tc>
          <w:tcPr>
            <w:tcW w:w="52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8.4%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3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Bristol Hospice, LLC</w:t>
            </w:r>
          </w:p>
        </w:tc>
        <w:tc>
          <w:tcPr>
            <w:tcW w:w="1720" w:type="dxa"/>
            <w:vAlign w:val="bottom"/>
            <w:shd w:val="clear" w:color="auto" w:fill="CCEEFF"/>
          </w:tcPr>
          <w:p>
            <w:pPr>
              <w:ind w:left="360"/>
              <w:spacing w:after="0" w:line="130" w:lineRule="exact"/>
              <w:rPr>
                <w:sz w:val="20"/>
                <w:szCs w:val="20"/>
                <w:color w:val="auto"/>
              </w:rPr>
            </w:pPr>
            <w:r>
              <w:rPr>
                <w:rFonts w:ascii="Arial" w:cs="Arial" w:eastAsia="Arial" w:hAnsi="Arial"/>
                <w:sz w:val="14"/>
                <w:szCs w:val="14"/>
                <w:color w:val="auto"/>
              </w:rPr>
              <w:t>Healthcare Services</w:t>
            </w:r>
          </w:p>
        </w:tc>
        <w:tc>
          <w:tcPr>
            <w:tcW w:w="2860" w:type="dxa"/>
            <w:vAlign w:val="bottom"/>
            <w:shd w:val="clear" w:color="auto" w:fill="CCEEFF"/>
          </w:tcPr>
          <w:p>
            <w:pPr>
              <w:ind w:left="120"/>
              <w:spacing w:after="0" w:line="130" w:lineRule="exact"/>
              <w:rPr>
                <w:sz w:val="20"/>
                <w:szCs w:val="20"/>
                <w:color w:val="auto"/>
              </w:rPr>
            </w:pPr>
            <w:r>
              <w:rPr>
                <w:rFonts w:ascii="Arial" w:cs="Arial" w:eastAsia="Arial" w:hAnsi="Arial"/>
                <w:sz w:val="14"/>
                <w:szCs w:val="14"/>
                <w:color w:val="auto"/>
              </w:rPr>
              <w:t>Senior Secured Note 11.00% (10.00%</w:t>
            </w:r>
          </w:p>
        </w:tc>
        <w:tc>
          <w:tcPr>
            <w:tcW w:w="1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6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380" w:type="dxa"/>
            <w:vAlign w:val="bottom"/>
            <w:shd w:val="clear" w:color="auto" w:fill="CCEEFF"/>
          </w:tcPr>
          <w:p>
            <w:pPr>
              <w:spacing w:after="0"/>
              <w:rPr>
                <w:sz w:val="14"/>
                <w:szCs w:val="14"/>
                <w:color w:val="auto"/>
              </w:rPr>
            </w:pPr>
          </w:p>
        </w:tc>
        <w:tc>
          <w:tcPr>
            <w:tcW w:w="1720" w:type="dxa"/>
            <w:vAlign w:val="bottom"/>
            <w:shd w:val="clear" w:color="auto" w:fill="CCEEFF"/>
          </w:tcPr>
          <w:p>
            <w:pPr>
              <w:spacing w:after="0"/>
              <w:rPr>
                <w:sz w:val="14"/>
                <w:szCs w:val="14"/>
                <w:color w:val="auto"/>
              </w:rPr>
            </w:pPr>
          </w:p>
        </w:tc>
        <w:tc>
          <w:tcPr>
            <w:tcW w:w="28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Cash/1.00% PIK), 11/29/2018</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5,459,134</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5,374,249</w:t>
            </w: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5,459,134</w:t>
            </w:r>
          </w:p>
        </w:tc>
        <w:tc>
          <w:tcPr>
            <w:tcW w:w="20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4.4%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380" w:type="dxa"/>
            <w:vAlign w:val="bottom"/>
          </w:tcPr>
          <w:p>
            <w:pPr>
              <w:spacing w:after="0" w:line="130" w:lineRule="exact"/>
              <w:rPr>
                <w:sz w:val="20"/>
                <w:szCs w:val="20"/>
                <w:color w:val="auto"/>
              </w:rPr>
            </w:pPr>
            <w:r>
              <w:rPr>
                <w:rFonts w:ascii="Arial" w:cs="Arial" w:eastAsia="Arial" w:hAnsi="Arial"/>
                <w:sz w:val="14"/>
                <w:szCs w:val="14"/>
                <w:color w:val="auto"/>
              </w:rPr>
              <w:t>Bristol Hospice, LLC (j), (l)</w:t>
            </w:r>
          </w:p>
        </w:tc>
        <w:tc>
          <w:tcPr>
            <w:tcW w:w="1720" w:type="dxa"/>
            <w:vAlign w:val="bottom"/>
          </w:tcPr>
          <w:p>
            <w:pPr>
              <w:ind w:left="360"/>
              <w:spacing w:after="0" w:line="130" w:lineRule="exact"/>
              <w:rPr>
                <w:sz w:val="20"/>
                <w:szCs w:val="20"/>
                <w:color w:val="auto"/>
              </w:rPr>
            </w:pPr>
            <w:r>
              <w:rPr>
                <w:rFonts w:ascii="Arial" w:cs="Arial" w:eastAsia="Arial" w:hAnsi="Arial"/>
                <w:sz w:val="14"/>
                <w:szCs w:val="14"/>
                <w:color w:val="auto"/>
              </w:rPr>
              <w:t>Healthcare Services</w:t>
            </w:r>
          </w:p>
        </w:tc>
        <w:tc>
          <w:tcPr>
            <w:tcW w:w="2860" w:type="dxa"/>
            <w:vAlign w:val="bottom"/>
          </w:tcPr>
          <w:p>
            <w:pPr>
              <w:ind w:left="120"/>
              <w:spacing w:after="0" w:line="130" w:lineRule="exact"/>
              <w:rPr>
                <w:sz w:val="20"/>
                <w:szCs w:val="20"/>
                <w:color w:val="auto"/>
              </w:rPr>
            </w:pPr>
            <w:r>
              <w:rPr>
                <w:rFonts w:ascii="Arial" w:cs="Arial" w:eastAsia="Arial" w:hAnsi="Arial"/>
                <w:sz w:val="14"/>
                <w:szCs w:val="14"/>
                <w:color w:val="auto"/>
              </w:rPr>
              <w:t>Delayed Draw Term Loan 11.00% (10.00%</w:t>
            </w: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2860" w:type="dxa"/>
            <w:vAlign w:val="bottom"/>
          </w:tcPr>
          <w:p>
            <w:pPr>
              <w:ind w:left="120"/>
              <w:spacing w:after="0"/>
              <w:rPr>
                <w:sz w:val="20"/>
                <w:szCs w:val="20"/>
                <w:color w:val="auto"/>
              </w:rPr>
            </w:pPr>
            <w:r>
              <w:rPr>
                <w:rFonts w:ascii="Arial" w:cs="Arial" w:eastAsia="Arial" w:hAnsi="Arial"/>
                <w:sz w:val="14"/>
                <w:szCs w:val="14"/>
                <w:color w:val="auto"/>
              </w:rPr>
              <w:t>Cash/1.00% PIK), 11/29/2018</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960" w:type="dxa"/>
            <w:vAlign w:val="bottom"/>
            <w:gridSpan w:val="2"/>
          </w:tcPr>
          <w:p>
            <w:pPr>
              <w:ind w:left="560"/>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520" w:type="dxa"/>
            <w:vAlign w:val="bottom"/>
            <w:gridSpan w:val="2"/>
          </w:tcPr>
          <w:p>
            <w:pPr>
              <w:jc w:val="right"/>
              <w:ind w:right="40"/>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Roscoe Medical, Inc. (d), (g)</w:t>
            </w:r>
          </w:p>
        </w:tc>
        <w:tc>
          <w:tcPr>
            <w:tcW w:w="1720" w:type="dxa"/>
            <w:vAlign w:val="bottom"/>
            <w:shd w:val="clear" w:color="auto" w:fill="CCEEFF"/>
          </w:tcPr>
          <w:p>
            <w:pPr>
              <w:ind w:left="360"/>
              <w:spacing w:after="0" w:line="149" w:lineRule="exact"/>
              <w:rPr>
                <w:sz w:val="20"/>
                <w:szCs w:val="20"/>
                <w:color w:val="auto"/>
              </w:rPr>
            </w:pPr>
            <w:r>
              <w:rPr>
                <w:rFonts w:ascii="Arial" w:cs="Arial" w:eastAsia="Arial" w:hAnsi="Arial"/>
                <w:sz w:val="14"/>
                <w:szCs w:val="14"/>
                <w:color w:val="auto"/>
              </w:rPr>
              <w:t>Healthcare Services</w:t>
            </w:r>
          </w:p>
        </w:tc>
        <w:tc>
          <w:tcPr>
            <w:tcW w:w="286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Common Stock</w:t>
            </w:r>
          </w:p>
        </w:tc>
        <w:tc>
          <w:tcPr>
            <w:tcW w:w="14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5,000</w:t>
            </w:r>
          </w:p>
        </w:tc>
        <w:tc>
          <w:tcPr>
            <w:tcW w:w="9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500,000</w:t>
            </w:r>
          </w:p>
        </w:tc>
        <w:tc>
          <w:tcPr>
            <w:tcW w:w="9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294,500</w:t>
            </w:r>
          </w:p>
        </w:tc>
        <w:tc>
          <w:tcPr>
            <w:tcW w:w="5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380" w:type="dxa"/>
            <w:vAlign w:val="bottom"/>
          </w:tcPr>
          <w:p>
            <w:pPr>
              <w:spacing w:after="0" w:line="130" w:lineRule="exact"/>
              <w:rPr>
                <w:sz w:val="20"/>
                <w:szCs w:val="20"/>
                <w:color w:val="auto"/>
              </w:rPr>
            </w:pPr>
            <w:r>
              <w:rPr>
                <w:rFonts w:ascii="Arial" w:cs="Arial" w:eastAsia="Arial" w:hAnsi="Arial"/>
                <w:sz w:val="14"/>
                <w:szCs w:val="14"/>
                <w:color w:val="auto"/>
              </w:rPr>
              <w:t>Roscoe Medical, Inc.</w:t>
            </w:r>
          </w:p>
        </w:tc>
        <w:tc>
          <w:tcPr>
            <w:tcW w:w="1720" w:type="dxa"/>
            <w:vAlign w:val="bottom"/>
          </w:tcPr>
          <w:p>
            <w:pPr>
              <w:ind w:left="360"/>
              <w:spacing w:after="0" w:line="130" w:lineRule="exact"/>
              <w:rPr>
                <w:sz w:val="20"/>
                <w:szCs w:val="20"/>
                <w:color w:val="auto"/>
              </w:rPr>
            </w:pPr>
            <w:r>
              <w:rPr>
                <w:rFonts w:ascii="Arial" w:cs="Arial" w:eastAsia="Arial" w:hAnsi="Arial"/>
                <w:sz w:val="14"/>
                <w:szCs w:val="14"/>
                <w:color w:val="auto"/>
              </w:rPr>
              <w:t>Healthcare Services</w:t>
            </w:r>
          </w:p>
        </w:tc>
        <w:tc>
          <w:tcPr>
            <w:tcW w:w="2860" w:type="dxa"/>
            <w:vAlign w:val="bottom"/>
          </w:tcPr>
          <w:p>
            <w:pPr>
              <w:ind w:left="120"/>
              <w:spacing w:after="0" w:line="130" w:lineRule="exact"/>
              <w:rPr>
                <w:sz w:val="20"/>
                <w:szCs w:val="20"/>
                <w:color w:val="auto"/>
              </w:rPr>
            </w:pPr>
            <w:r>
              <w:rPr>
                <w:rFonts w:ascii="Arial" w:cs="Arial" w:eastAsia="Arial" w:hAnsi="Arial"/>
                <w:sz w:val="14"/>
                <w:szCs w:val="14"/>
                <w:color w:val="auto"/>
              </w:rPr>
              <w:t>Second Lien Term Loan 11.25% Cash,</w:t>
            </w: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2860" w:type="dxa"/>
            <w:vAlign w:val="bottom"/>
          </w:tcPr>
          <w:p>
            <w:pPr>
              <w:ind w:left="120"/>
              <w:spacing w:after="0"/>
              <w:rPr>
                <w:sz w:val="20"/>
                <w:szCs w:val="20"/>
                <w:color w:val="auto"/>
              </w:rPr>
            </w:pPr>
            <w:r>
              <w:rPr>
                <w:rFonts w:ascii="Arial" w:cs="Arial" w:eastAsia="Arial" w:hAnsi="Arial"/>
                <w:sz w:val="14"/>
                <w:szCs w:val="14"/>
                <w:color w:val="auto"/>
              </w:rPr>
              <w:t>9/26/2019</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108"/>
              <w:spacing w:after="0"/>
              <w:rPr>
                <w:sz w:val="20"/>
                <w:szCs w:val="20"/>
                <w:color w:val="auto"/>
              </w:rPr>
            </w:pPr>
            <w:r>
              <w:rPr>
                <w:rFonts w:ascii="Arial" w:cs="Arial" w:eastAsia="Arial" w:hAnsi="Arial"/>
                <w:sz w:val="14"/>
                <w:szCs w:val="14"/>
                <w:color w:val="auto"/>
              </w:rPr>
              <w:t>4,200,000</w:t>
            </w:r>
          </w:p>
        </w:tc>
        <w:tc>
          <w:tcPr>
            <w:tcW w:w="780" w:type="dxa"/>
            <w:vAlign w:val="bottom"/>
          </w:tcPr>
          <w:p>
            <w:pPr>
              <w:jc w:val="right"/>
              <w:spacing w:after="0"/>
              <w:rPr>
                <w:sz w:val="20"/>
                <w:szCs w:val="20"/>
                <w:color w:val="auto"/>
              </w:rPr>
            </w:pPr>
            <w:r>
              <w:rPr>
                <w:rFonts w:ascii="Arial" w:cs="Arial" w:eastAsia="Arial" w:hAnsi="Arial"/>
                <w:sz w:val="14"/>
                <w:szCs w:val="14"/>
                <w:color w:val="auto"/>
              </w:rPr>
              <w:t>4,129,704</w:t>
            </w: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3,990,000</w:t>
            </w:r>
          </w:p>
        </w:tc>
        <w:tc>
          <w:tcPr>
            <w:tcW w:w="200" w:type="dxa"/>
            <w:vAlign w:val="bottom"/>
          </w:tcPr>
          <w:p>
            <w:pPr>
              <w:spacing w:after="0"/>
              <w:rPr>
                <w:sz w:val="14"/>
                <w:szCs w:val="14"/>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4"/>
                <w:szCs w:val="14"/>
                <w:color w:val="auto"/>
              </w:rPr>
              <w:t>3.3%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Smile Brands Group Inc. (d)</w:t>
            </w:r>
          </w:p>
        </w:tc>
        <w:tc>
          <w:tcPr>
            <w:tcW w:w="1720" w:type="dxa"/>
            <w:vAlign w:val="bottom"/>
            <w:shd w:val="clear" w:color="auto" w:fill="CCEEFF"/>
          </w:tcPr>
          <w:p>
            <w:pPr>
              <w:ind w:left="360"/>
              <w:spacing w:after="0" w:line="149" w:lineRule="exact"/>
              <w:rPr>
                <w:sz w:val="20"/>
                <w:szCs w:val="20"/>
                <w:color w:val="auto"/>
              </w:rPr>
            </w:pPr>
            <w:r>
              <w:rPr>
                <w:rFonts w:ascii="Arial" w:cs="Arial" w:eastAsia="Arial" w:hAnsi="Arial"/>
                <w:sz w:val="14"/>
                <w:szCs w:val="14"/>
                <w:color w:val="auto"/>
              </w:rPr>
              <w:t>Healthcare Services</w:t>
            </w:r>
          </w:p>
        </w:tc>
        <w:tc>
          <w:tcPr>
            <w:tcW w:w="286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w w:val="97"/>
              </w:rPr>
              <w:t>First Lien Term Loan 7.50% Cash, 8/16/2019</w:t>
            </w: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4,443,750</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4,373,369</w:t>
            </w: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4,159,350</w:t>
            </w:r>
          </w:p>
        </w:tc>
        <w:tc>
          <w:tcPr>
            <w:tcW w:w="20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80" w:type="dxa"/>
            <w:vAlign w:val="bottom"/>
          </w:tcPr>
          <w:p>
            <w:pPr>
              <w:spacing w:after="0" w:line="149" w:lineRule="exact"/>
              <w:rPr>
                <w:sz w:val="20"/>
                <w:szCs w:val="20"/>
                <w:color w:val="auto"/>
              </w:rPr>
            </w:pPr>
            <w:r>
              <w:rPr>
                <w:rFonts w:ascii="Arial" w:cs="Arial" w:eastAsia="Arial" w:hAnsi="Arial"/>
                <w:sz w:val="14"/>
                <w:szCs w:val="14"/>
                <w:color w:val="auto"/>
              </w:rPr>
              <w:t>Surgical Specialties Corporation (US), Inc. (d)</w:t>
            </w:r>
          </w:p>
        </w:tc>
        <w:tc>
          <w:tcPr>
            <w:tcW w:w="1720" w:type="dxa"/>
            <w:vAlign w:val="bottom"/>
          </w:tcPr>
          <w:p>
            <w:pPr>
              <w:ind w:left="360"/>
              <w:spacing w:after="0" w:line="149" w:lineRule="exact"/>
              <w:rPr>
                <w:sz w:val="20"/>
                <w:szCs w:val="20"/>
                <w:color w:val="auto"/>
              </w:rPr>
            </w:pPr>
            <w:r>
              <w:rPr>
                <w:rFonts w:ascii="Arial" w:cs="Arial" w:eastAsia="Arial" w:hAnsi="Arial"/>
                <w:sz w:val="14"/>
                <w:szCs w:val="14"/>
                <w:color w:val="auto"/>
              </w:rPr>
              <w:t>Healthcare Services</w:t>
            </w:r>
          </w:p>
        </w:tc>
        <w:tc>
          <w:tcPr>
            <w:tcW w:w="2860" w:type="dxa"/>
            <w:vAlign w:val="bottom"/>
          </w:tcPr>
          <w:p>
            <w:pPr>
              <w:ind w:left="120"/>
              <w:spacing w:after="0" w:line="149" w:lineRule="exact"/>
              <w:rPr>
                <w:sz w:val="20"/>
                <w:szCs w:val="20"/>
                <w:color w:val="auto"/>
              </w:rPr>
            </w:pPr>
            <w:r>
              <w:rPr>
                <w:rFonts w:ascii="Arial" w:cs="Arial" w:eastAsia="Arial" w:hAnsi="Arial"/>
                <w:sz w:val="14"/>
                <w:szCs w:val="14"/>
                <w:color w:val="auto"/>
                <w:w w:val="97"/>
              </w:rPr>
              <w:t>First Lien Term Loan 7.25% Cash, 8/22/2018</w:t>
            </w:r>
          </w:p>
        </w:tc>
        <w:tc>
          <w:tcPr>
            <w:tcW w:w="1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2,312,500</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2,295,234</w:t>
            </w:r>
          </w:p>
        </w:tc>
        <w:tc>
          <w:tcPr>
            <w:tcW w:w="1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2,277,813</w:t>
            </w:r>
          </w:p>
        </w:tc>
        <w:tc>
          <w:tcPr>
            <w:tcW w:w="200" w:type="dxa"/>
            <w:vAlign w:val="bottom"/>
          </w:tcPr>
          <w:p>
            <w:pPr>
              <w:spacing w:after="0"/>
              <w:rPr>
                <w:sz w:val="12"/>
                <w:szCs w:val="12"/>
                <w:color w:val="auto"/>
              </w:rPr>
            </w:pPr>
          </w:p>
        </w:tc>
        <w:tc>
          <w:tcPr>
            <w:tcW w:w="5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Zest Holdings, LLC (d)</w:t>
            </w:r>
          </w:p>
        </w:tc>
        <w:tc>
          <w:tcPr>
            <w:tcW w:w="1720" w:type="dxa"/>
            <w:vAlign w:val="bottom"/>
            <w:shd w:val="clear" w:color="auto" w:fill="CCEEFF"/>
          </w:tcPr>
          <w:p>
            <w:pPr>
              <w:ind w:left="360"/>
              <w:spacing w:after="0" w:line="149" w:lineRule="exact"/>
              <w:rPr>
                <w:sz w:val="20"/>
                <w:szCs w:val="20"/>
                <w:color w:val="auto"/>
              </w:rPr>
            </w:pPr>
            <w:r>
              <w:rPr>
                <w:rFonts w:ascii="Arial" w:cs="Arial" w:eastAsia="Arial" w:hAnsi="Arial"/>
                <w:sz w:val="14"/>
                <w:szCs w:val="14"/>
                <w:color w:val="auto"/>
              </w:rPr>
              <w:t>Healthcare Services</w:t>
            </w:r>
          </w:p>
        </w:tc>
        <w:tc>
          <w:tcPr>
            <w:tcW w:w="286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w w:val="97"/>
              </w:rPr>
              <w:t>First Lien Term Loan 5.25% Cash, 8/16/2020</w:t>
            </w: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4,443,919</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4,361,438</w:t>
            </w: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4,460,806</w:t>
            </w:r>
          </w:p>
        </w:tc>
        <w:tc>
          <w:tcPr>
            <w:tcW w:w="20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860" w:type="dxa"/>
            <w:vAlign w:val="bottom"/>
            <w:vMerge w:val="restart"/>
          </w:tcPr>
          <w:p>
            <w:pPr>
              <w:jc w:val="right"/>
              <w:spacing w:after="0"/>
              <w:rPr>
                <w:sz w:val="20"/>
                <w:szCs w:val="20"/>
                <w:color w:val="auto"/>
              </w:rPr>
            </w:pPr>
            <w:r>
              <w:rPr>
                <w:rFonts w:ascii="Arial" w:cs="Arial" w:eastAsia="Arial" w:hAnsi="Arial"/>
                <w:sz w:val="14"/>
                <w:szCs w:val="14"/>
                <w:color w:val="auto"/>
              </w:rPr>
              <w:t>Total Healthcare Services</w:t>
            </w: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28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80" w:type="dxa"/>
            <w:vAlign w:val="bottom"/>
          </w:tcPr>
          <w:p>
            <w:pPr>
              <w:jc w:val="right"/>
              <w:spacing w:after="0" w:line="155" w:lineRule="exact"/>
              <w:rPr>
                <w:sz w:val="20"/>
                <w:szCs w:val="20"/>
                <w:color w:val="auto"/>
              </w:rPr>
            </w:pPr>
            <w:r>
              <w:rPr>
                <w:rFonts w:ascii="Arial" w:cs="Arial" w:eastAsia="Arial" w:hAnsi="Arial"/>
                <w:sz w:val="14"/>
                <w:szCs w:val="14"/>
                <w:color w:val="auto"/>
              </w:rPr>
              <w:t>21,033,994</w:t>
            </w:r>
          </w:p>
        </w:tc>
        <w:tc>
          <w:tcPr>
            <w:tcW w:w="180" w:type="dxa"/>
            <w:vAlign w:val="bottom"/>
          </w:tcPr>
          <w:p>
            <w:pPr>
              <w:spacing w:after="0"/>
              <w:rPr>
                <w:sz w:val="14"/>
                <w:szCs w:val="14"/>
                <w:color w:val="auto"/>
              </w:rPr>
            </w:pPr>
          </w:p>
        </w:tc>
        <w:tc>
          <w:tcPr>
            <w:tcW w:w="780" w:type="dxa"/>
            <w:vAlign w:val="bottom"/>
          </w:tcPr>
          <w:p>
            <w:pPr>
              <w:jc w:val="right"/>
              <w:spacing w:after="0" w:line="155" w:lineRule="exact"/>
              <w:rPr>
                <w:sz w:val="20"/>
                <w:szCs w:val="20"/>
                <w:color w:val="auto"/>
              </w:rPr>
            </w:pPr>
            <w:r>
              <w:rPr>
                <w:rFonts w:ascii="Arial" w:cs="Arial" w:eastAsia="Arial" w:hAnsi="Arial"/>
                <w:sz w:val="14"/>
                <w:szCs w:val="14"/>
                <w:color w:val="auto"/>
              </w:rPr>
              <w:t>20,641,603</w:t>
            </w:r>
          </w:p>
        </w:tc>
        <w:tc>
          <w:tcPr>
            <w:tcW w:w="200" w:type="dxa"/>
            <w:vAlign w:val="bottom"/>
          </w:tcPr>
          <w:p>
            <w:pPr>
              <w:spacing w:after="0"/>
              <w:rPr>
                <w:sz w:val="14"/>
                <w:szCs w:val="14"/>
                <w:color w:val="auto"/>
              </w:rPr>
            </w:pPr>
          </w:p>
        </w:tc>
        <w:tc>
          <w:tcPr>
            <w:tcW w:w="52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16.8%</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3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HMN Holdco, LLC</w:t>
            </w:r>
          </w:p>
        </w:tc>
        <w:tc>
          <w:tcPr>
            <w:tcW w:w="1720" w:type="dxa"/>
            <w:vAlign w:val="bottom"/>
            <w:shd w:val="clear" w:color="auto" w:fill="CCEEFF"/>
          </w:tcPr>
          <w:p>
            <w:pPr>
              <w:ind w:left="360"/>
              <w:spacing w:after="0" w:line="130" w:lineRule="exact"/>
              <w:rPr>
                <w:sz w:val="20"/>
                <w:szCs w:val="20"/>
                <w:color w:val="auto"/>
              </w:rPr>
            </w:pPr>
            <w:r>
              <w:rPr>
                <w:rFonts w:ascii="Arial" w:cs="Arial" w:eastAsia="Arial" w:hAnsi="Arial"/>
                <w:sz w:val="14"/>
                <w:szCs w:val="14"/>
                <w:color w:val="auto"/>
              </w:rPr>
              <w:t>Media</w:t>
            </w:r>
          </w:p>
        </w:tc>
        <w:tc>
          <w:tcPr>
            <w:tcW w:w="2860" w:type="dxa"/>
            <w:vAlign w:val="bottom"/>
            <w:shd w:val="clear" w:color="auto" w:fill="CCEEFF"/>
          </w:tcPr>
          <w:p>
            <w:pPr>
              <w:ind w:left="120"/>
              <w:spacing w:after="0" w:line="130" w:lineRule="exact"/>
              <w:rPr>
                <w:sz w:val="20"/>
                <w:szCs w:val="20"/>
                <w:color w:val="auto"/>
              </w:rPr>
            </w:pPr>
            <w:r>
              <w:rPr>
                <w:rFonts w:ascii="Arial" w:cs="Arial" w:eastAsia="Arial" w:hAnsi="Arial"/>
                <w:sz w:val="14"/>
                <w:szCs w:val="14"/>
                <w:color w:val="auto"/>
              </w:rPr>
              <w:t>First Lien Term Loan 14.00% (12.00%</w:t>
            </w:r>
          </w:p>
        </w:tc>
        <w:tc>
          <w:tcPr>
            <w:tcW w:w="1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6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380" w:type="dxa"/>
            <w:vAlign w:val="bottom"/>
            <w:shd w:val="clear" w:color="auto" w:fill="CCEEFF"/>
          </w:tcPr>
          <w:p>
            <w:pPr>
              <w:spacing w:after="0"/>
              <w:rPr>
                <w:sz w:val="14"/>
                <w:szCs w:val="14"/>
                <w:color w:val="auto"/>
              </w:rPr>
            </w:pPr>
          </w:p>
        </w:tc>
        <w:tc>
          <w:tcPr>
            <w:tcW w:w="1720" w:type="dxa"/>
            <w:vAlign w:val="bottom"/>
            <w:shd w:val="clear" w:color="auto" w:fill="CCEEFF"/>
          </w:tcPr>
          <w:p>
            <w:pPr>
              <w:spacing w:after="0"/>
              <w:rPr>
                <w:sz w:val="14"/>
                <w:szCs w:val="14"/>
                <w:color w:val="auto"/>
              </w:rPr>
            </w:pPr>
          </w:p>
        </w:tc>
        <w:tc>
          <w:tcPr>
            <w:tcW w:w="28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Cash/2.00% PIK), 5/16/2019</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9,368,327</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9,206,438</w:t>
            </w:r>
          </w:p>
        </w:tc>
        <w:tc>
          <w:tcPr>
            <w:tcW w:w="18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9,579,115</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7.9%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80" w:type="dxa"/>
            <w:vAlign w:val="bottom"/>
          </w:tcPr>
          <w:p>
            <w:pPr>
              <w:spacing w:after="0" w:line="149" w:lineRule="exact"/>
              <w:rPr>
                <w:sz w:val="20"/>
                <w:szCs w:val="20"/>
                <w:color w:val="auto"/>
              </w:rPr>
            </w:pPr>
            <w:r>
              <w:rPr>
                <w:rFonts w:ascii="Arial" w:cs="Arial" w:eastAsia="Arial" w:hAnsi="Arial"/>
                <w:sz w:val="14"/>
                <w:szCs w:val="14"/>
                <w:color w:val="auto"/>
              </w:rPr>
              <w:t>HMN Holdco, LLC</w:t>
            </w:r>
          </w:p>
        </w:tc>
        <w:tc>
          <w:tcPr>
            <w:tcW w:w="1720" w:type="dxa"/>
            <w:vAlign w:val="bottom"/>
          </w:tcPr>
          <w:p>
            <w:pPr>
              <w:ind w:left="360"/>
              <w:spacing w:after="0" w:line="149" w:lineRule="exact"/>
              <w:rPr>
                <w:sz w:val="20"/>
                <w:szCs w:val="20"/>
                <w:color w:val="auto"/>
              </w:rPr>
            </w:pPr>
            <w:r>
              <w:rPr>
                <w:rFonts w:ascii="Arial" w:cs="Arial" w:eastAsia="Arial" w:hAnsi="Arial"/>
                <w:sz w:val="14"/>
                <w:szCs w:val="14"/>
                <w:color w:val="auto"/>
              </w:rPr>
              <w:t>Media</w:t>
            </w:r>
          </w:p>
        </w:tc>
        <w:tc>
          <w:tcPr>
            <w:tcW w:w="2860" w:type="dxa"/>
            <w:vAlign w:val="bottom"/>
          </w:tcPr>
          <w:p>
            <w:pPr>
              <w:ind w:left="120"/>
              <w:spacing w:after="0" w:line="149" w:lineRule="exact"/>
              <w:rPr>
                <w:sz w:val="20"/>
                <w:szCs w:val="20"/>
                <w:color w:val="auto"/>
              </w:rPr>
            </w:pPr>
            <w:r>
              <w:rPr>
                <w:rFonts w:ascii="Arial" w:cs="Arial" w:eastAsia="Arial" w:hAnsi="Arial"/>
                <w:sz w:val="14"/>
                <w:szCs w:val="14"/>
                <w:color w:val="auto"/>
                <w:w w:val="94"/>
              </w:rPr>
              <w:t>First Lien Term Loan 12.00% Cash, 5/16/2020</w:t>
            </w:r>
          </w:p>
        </w:tc>
        <w:tc>
          <w:tcPr>
            <w:tcW w:w="1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1,600,000</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1,569,149</w:t>
            </w:r>
          </w:p>
        </w:tc>
        <w:tc>
          <w:tcPr>
            <w:tcW w:w="1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1,576,000</w:t>
            </w:r>
          </w:p>
        </w:tc>
        <w:tc>
          <w:tcPr>
            <w:tcW w:w="200" w:type="dxa"/>
            <w:vAlign w:val="bottom"/>
          </w:tcPr>
          <w:p>
            <w:pPr>
              <w:spacing w:after="0"/>
              <w:rPr>
                <w:sz w:val="12"/>
                <w:szCs w:val="12"/>
                <w:color w:val="auto"/>
              </w:rPr>
            </w:pPr>
          </w:p>
        </w:tc>
        <w:tc>
          <w:tcPr>
            <w:tcW w:w="5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3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HMN Holdco, LLC (j), (k)</w:t>
            </w:r>
          </w:p>
        </w:tc>
        <w:tc>
          <w:tcPr>
            <w:tcW w:w="1720" w:type="dxa"/>
            <w:vAlign w:val="bottom"/>
            <w:shd w:val="clear" w:color="auto" w:fill="CCEEFF"/>
          </w:tcPr>
          <w:p>
            <w:pPr>
              <w:ind w:left="360"/>
              <w:spacing w:after="0" w:line="130" w:lineRule="exact"/>
              <w:rPr>
                <w:sz w:val="20"/>
                <w:szCs w:val="20"/>
                <w:color w:val="auto"/>
              </w:rPr>
            </w:pPr>
            <w:r>
              <w:rPr>
                <w:rFonts w:ascii="Arial" w:cs="Arial" w:eastAsia="Arial" w:hAnsi="Arial"/>
                <w:sz w:val="14"/>
                <w:szCs w:val="14"/>
                <w:color w:val="auto"/>
              </w:rPr>
              <w:t>Media</w:t>
            </w:r>
          </w:p>
        </w:tc>
        <w:tc>
          <w:tcPr>
            <w:tcW w:w="2860" w:type="dxa"/>
            <w:vAlign w:val="bottom"/>
            <w:shd w:val="clear" w:color="auto" w:fill="CCEEFF"/>
          </w:tcPr>
          <w:p>
            <w:pPr>
              <w:ind w:left="120"/>
              <w:spacing w:after="0" w:line="130" w:lineRule="exact"/>
              <w:rPr>
                <w:sz w:val="20"/>
                <w:szCs w:val="20"/>
                <w:color w:val="auto"/>
              </w:rPr>
            </w:pPr>
            <w:r>
              <w:rPr>
                <w:rFonts w:ascii="Arial" w:cs="Arial" w:eastAsia="Arial" w:hAnsi="Arial"/>
                <w:sz w:val="14"/>
                <w:szCs w:val="14"/>
                <w:color w:val="auto"/>
              </w:rPr>
              <w:t>Deferred Draw Term Loan 12.00% Cash,</w:t>
            </w:r>
          </w:p>
        </w:tc>
        <w:tc>
          <w:tcPr>
            <w:tcW w:w="1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380" w:type="dxa"/>
            <w:vAlign w:val="bottom"/>
            <w:shd w:val="clear" w:color="auto" w:fill="CCEEFF"/>
          </w:tcPr>
          <w:p>
            <w:pPr>
              <w:spacing w:after="0"/>
              <w:rPr>
                <w:sz w:val="14"/>
                <w:szCs w:val="14"/>
                <w:color w:val="auto"/>
              </w:rPr>
            </w:pPr>
          </w:p>
        </w:tc>
        <w:tc>
          <w:tcPr>
            <w:tcW w:w="1720" w:type="dxa"/>
            <w:vAlign w:val="bottom"/>
            <w:shd w:val="clear" w:color="auto" w:fill="CCEEFF"/>
          </w:tcPr>
          <w:p>
            <w:pPr>
              <w:spacing w:after="0"/>
              <w:rPr>
                <w:sz w:val="14"/>
                <w:szCs w:val="14"/>
                <w:color w:val="auto"/>
              </w:rPr>
            </w:pPr>
          </w:p>
        </w:tc>
        <w:tc>
          <w:tcPr>
            <w:tcW w:w="28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5/16/2020</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(36,000)</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80" w:type="dxa"/>
            <w:vAlign w:val="bottom"/>
          </w:tcPr>
          <w:p>
            <w:pPr>
              <w:spacing w:after="0" w:line="149" w:lineRule="exact"/>
              <w:rPr>
                <w:sz w:val="20"/>
                <w:szCs w:val="20"/>
                <w:color w:val="auto"/>
              </w:rPr>
            </w:pPr>
            <w:r>
              <w:rPr>
                <w:rFonts w:ascii="Arial" w:cs="Arial" w:eastAsia="Arial" w:hAnsi="Arial"/>
                <w:sz w:val="14"/>
                <w:szCs w:val="14"/>
                <w:color w:val="auto"/>
              </w:rPr>
              <w:t>HMN Holdco, LLC (g)</w:t>
            </w:r>
          </w:p>
        </w:tc>
        <w:tc>
          <w:tcPr>
            <w:tcW w:w="1720" w:type="dxa"/>
            <w:vAlign w:val="bottom"/>
          </w:tcPr>
          <w:p>
            <w:pPr>
              <w:ind w:left="360"/>
              <w:spacing w:after="0" w:line="149" w:lineRule="exact"/>
              <w:rPr>
                <w:sz w:val="20"/>
                <w:szCs w:val="20"/>
                <w:color w:val="auto"/>
              </w:rPr>
            </w:pPr>
            <w:r>
              <w:rPr>
                <w:rFonts w:ascii="Arial" w:cs="Arial" w:eastAsia="Arial" w:hAnsi="Arial"/>
                <w:sz w:val="14"/>
                <w:szCs w:val="14"/>
                <w:color w:val="auto"/>
              </w:rPr>
              <w:t>Media</w:t>
            </w:r>
          </w:p>
        </w:tc>
        <w:tc>
          <w:tcPr>
            <w:tcW w:w="2860" w:type="dxa"/>
            <w:vAlign w:val="bottom"/>
          </w:tcPr>
          <w:p>
            <w:pPr>
              <w:ind w:left="120"/>
              <w:spacing w:after="0" w:line="149" w:lineRule="exact"/>
              <w:rPr>
                <w:sz w:val="20"/>
                <w:szCs w:val="20"/>
                <w:color w:val="auto"/>
              </w:rPr>
            </w:pPr>
            <w:r>
              <w:rPr>
                <w:rFonts w:ascii="Arial" w:cs="Arial" w:eastAsia="Arial" w:hAnsi="Arial"/>
                <w:sz w:val="14"/>
                <w:szCs w:val="14"/>
                <w:color w:val="auto"/>
              </w:rPr>
              <w:t>Class A Series</w:t>
            </w:r>
          </w:p>
        </w:tc>
        <w:tc>
          <w:tcPr>
            <w:tcW w:w="140" w:type="dxa"/>
            <w:vAlign w:val="bottom"/>
          </w:tcPr>
          <w:p>
            <w:pPr>
              <w:spacing w:after="0"/>
              <w:rPr>
                <w:sz w:val="12"/>
                <w:szCs w:val="12"/>
                <w:color w:val="auto"/>
              </w:rPr>
            </w:pPr>
          </w:p>
        </w:tc>
        <w:tc>
          <w:tcPr>
            <w:tcW w:w="84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4,264</w:t>
            </w:r>
          </w:p>
        </w:tc>
        <w:tc>
          <w:tcPr>
            <w:tcW w:w="9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61,647</w:t>
            </w:r>
          </w:p>
        </w:tc>
        <w:tc>
          <w:tcPr>
            <w:tcW w:w="9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223,604</w:t>
            </w:r>
          </w:p>
        </w:tc>
        <w:tc>
          <w:tcPr>
            <w:tcW w:w="5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HMN Holdco, LLC (g)</w:t>
            </w:r>
          </w:p>
        </w:tc>
        <w:tc>
          <w:tcPr>
            <w:tcW w:w="1720" w:type="dxa"/>
            <w:vAlign w:val="bottom"/>
            <w:shd w:val="clear" w:color="auto" w:fill="CCEEFF"/>
          </w:tcPr>
          <w:p>
            <w:pPr>
              <w:ind w:left="360"/>
              <w:spacing w:after="0" w:line="149" w:lineRule="exact"/>
              <w:rPr>
                <w:sz w:val="20"/>
                <w:szCs w:val="20"/>
                <w:color w:val="auto"/>
              </w:rPr>
            </w:pPr>
            <w:r>
              <w:rPr>
                <w:rFonts w:ascii="Arial" w:cs="Arial" w:eastAsia="Arial" w:hAnsi="Arial"/>
                <w:sz w:val="14"/>
                <w:szCs w:val="14"/>
                <w:color w:val="auto"/>
              </w:rPr>
              <w:t>Media</w:t>
            </w:r>
          </w:p>
        </w:tc>
        <w:tc>
          <w:tcPr>
            <w:tcW w:w="286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Class A Warrant</w:t>
            </w:r>
          </w:p>
        </w:tc>
        <w:tc>
          <w:tcPr>
            <w:tcW w:w="14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30,320</w:t>
            </w:r>
          </w:p>
        </w:tc>
        <w:tc>
          <w:tcPr>
            <w:tcW w:w="9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438,353</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1,247,365</w:t>
            </w:r>
          </w:p>
        </w:tc>
        <w:tc>
          <w:tcPr>
            <w:tcW w:w="20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380" w:type="dxa"/>
            <w:vAlign w:val="bottom"/>
          </w:tcPr>
          <w:p>
            <w:pPr>
              <w:spacing w:after="0" w:line="130" w:lineRule="exact"/>
              <w:rPr>
                <w:sz w:val="20"/>
                <w:szCs w:val="20"/>
                <w:color w:val="auto"/>
              </w:rPr>
            </w:pPr>
            <w:r>
              <w:rPr>
                <w:rFonts w:ascii="Arial" w:cs="Arial" w:eastAsia="Arial" w:hAnsi="Arial"/>
                <w:sz w:val="14"/>
                <w:szCs w:val="14"/>
                <w:color w:val="auto"/>
              </w:rPr>
              <w:t>HMN Holdco, LLC (g)</w:t>
            </w:r>
          </w:p>
        </w:tc>
        <w:tc>
          <w:tcPr>
            <w:tcW w:w="1720" w:type="dxa"/>
            <w:vAlign w:val="bottom"/>
          </w:tcPr>
          <w:p>
            <w:pPr>
              <w:ind w:left="360"/>
              <w:spacing w:after="0" w:line="130" w:lineRule="exact"/>
              <w:rPr>
                <w:sz w:val="20"/>
                <w:szCs w:val="20"/>
                <w:color w:val="auto"/>
              </w:rPr>
            </w:pPr>
            <w:r>
              <w:rPr>
                <w:rFonts w:ascii="Arial" w:cs="Arial" w:eastAsia="Arial" w:hAnsi="Arial"/>
                <w:sz w:val="14"/>
                <w:szCs w:val="14"/>
                <w:color w:val="auto"/>
              </w:rPr>
              <w:t>Media</w:t>
            </w:r>
          </w:p>
        </w:tc>
        <w:tc>
          <w:tcPr>
            <w:tcW w:w="2860" w:type="dxa"/>
            <w:vAlign w:val="bottom"/>
          </w:tcPr>
          <w:p>
            <w:pPr>
              <w:ind w:left="120"/>
              <w:spacing w:after="0" w:line="130" w:lineRule="exact"/>
              <w:rPr>
                <w:sz w:val="20"/>
                <w:szCs w:val="20"/>
                <w:color w:val="auto"/>
              </w:rPr>
            </w:pPr>
            <w:r>
              <w:rPr>
                <w:rFonts w:ascii="Arial" w:cs="Arial" w:eastAsia="Arial" w:hAnsi="Arial"/>
                <w:sz w:val="14"/>
                <w:szCs w:val="14"/>
                <w:color w:val="auto"/>
              </w:rPr>
              <w:t>Warrants to Purchase Limited Liability</w:t>
            </w: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2860" w:type="dxa"/>
            <w:vAlign w:val="bottom"/>
          </w:tcPr>
          <w:p>
            <w:pPr>
              <w:ind w:left="120"/>
              <w:spacing w:after="0"/>
              <w:rPr>
                <w:sz w:val="20"/>
                <w:szCs w:val="20"/>
                <w:color w:val="auto"/>
              </w:rPr>
            </w:pPr>
            <w:r>
              <w:rPr>
                <w:rFonts w:ascii="Arial" w:cs="Arial" w:eastAsia="Arial" w:hAnsi="Arial"/>
                <w:sz w:val="14"/>
                <w:szCs w:val="14"/>
                <w:color w:val="auto"/>
              </w:rPr>
              <w:t>Company Interests (Common)</w:t>
            </w:r>
          </w:p>
        </w:tc>
        <w:tc>
          <w:tcPr>
            <w:tcW w:w="140" w:type="dxa"/>
            <w:vAlign w:val="bottom"/>
          </w:tcPr>
          <w:p>
            <w:pPr>
              <w:spacing w:after="0"/>
              <w:rPr>
                <w:sz w:val="14"/>
                <w:szCs w:val="14"/>
                <w:color w:val="auto"/>
              </w:rPr>
            </w:pPr>
          </w:p>
        </w:tc>
        <w:tc>
          <w:tcPr>
            <w:tcW w:w="840" w:type="dxa"/>
            <w:vAlign w:val="bottom"/>
          </w:tcPr>
          <w:p>
            <w:pPr>
              <w:jc w:val="right"/>
              <w:ind w:right="108"/>
              <w:spacing w:after="0"/>
              <w:rPr>
                <w:sz w:val="20"/>
                <w:szCs w:val="20"/>
                <w:color w:val="auto"/>
              </w:rPr>
            </w:pPr>
            <w:r>
              <w:rPr>
                <w:rFonts w:ascii="Arial" w:cs="Arial" w:eastAsia="Arial" w:hAnsi="Arial"/>
                <w:sz w:val="14"/>
                <w:szCs w:val="14"/>
                <w:color w:val="auto"/>
              </w:rPr>
              <w:t>57,872</w:t>
            </w:r>
          </w:p>
        </w:tc>
        <w:tc>
          <w:tcPr>
            <w:tcW w:w="960" w:type="dxa"/>
            <w:vAlign w:val="bottom"/>
            <w:gridSpan w:val="2"/>
          </w:tcPr>
          <w:p>
            <w:pPr>
              <w:ind w:left="560"/>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2,085,128</w:t>
            </w:r>
          </w:p>
        </w:tc>
        <w:tc>
          <w:tcPr>
            <w:tcW w:w="200" w:type="dxa"/>
            <w:vAlign w:val="bottom"/>
          </w:tcPr>
          <w:p>
            <w:pPr>
              <w:spacing w:after="0"/>
              <w:rPr>
                <w:sz w:val="14"/>
                <w:szCs w:val="14"/>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3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HMN Holdco, LLC (g)</w:t>
            </w:r>
          </w:p>
        </w:tc>
        <w:tc>
          <w:tcPr>
            <w:tcW w:w="1720" w:type="dxa"/>
            <w:vAlign w:val="bottom"/>
            <w:shd w:val="clear" w:color="auto" w:fill="CCEEFF"/>
          </w:tcPr>
          <w:p>
            <w:pPr>
              <w:ind w:left="360"/>
              <w:spacing w:after="0" w:line="130" w:lineRule="exact"/>
              <w:rPr>
                <w:sz w:val="20"/>
                <w:szCs w:val="20"/>
                <w:color w:val="auto"/>
              </w:rPr>
            </w:pPr>
            <w:r>
              <w:rPr>
                <w:rFonts w:ascii="Arial" w:cs="Arial" w:eastAsia="Arial" w:hAnsi="Arial"/>
                <w:sz w:val="14"/>
                <w:szCs w:val="14"/>
                <w:color w:val="auto"/>
              </w:rPr>
              <w:t>Media</w:t>
            </w:r>
          </w:p>
        </w:tc>
        <w:tc>
          <w:tcPr>
            <w:tcW w:w="2860" w:type="dxa"/>
            <w:vAlign w:val="bottom"/>
            <w:shd w:val="clear" w:color="auto" w:fill="CCEEFF"/>
          </w:tcPr>
          <w:p>
            <w:pPr>
              <w:ind w:left="120"/>
              <w:spacing w:after="0" w:line="130" w:lineRule="exact"/>
              <w:rPr>
                <w:sz w:val="20"/>
                <w:szCs w:val="20"/>
                <w:color w:val="auto"/>
              </w:rPr>
            </w:pPr>
            <w:r>
              <w:rPr>
                <w:rFonts w:ascii="Arial" w:cs="Arial" w:eastAsia="Arial" w:hAnsi="Arial"/>
                <w:sz w:val="14"/>
                <w:szCs w:val="14"/>
                <w:color w:val="auto"/>
              </w:rPr>
              <w:t>Warrants to Purchase Limited Liability</w:t>
            </w:r>
          </w:p>
        </w:tc>
        <w:tc>
          <w:tcPr>
            <w:tcW w:w="1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380" w:type="dxa"/>
            <w:vAlign w:val="bottom"/>
            <w:shd w:val="clear" w:color="auto" w:fill="CCEEFF"/>
          </w:tcPr>
          <w:p>
            <w:pPr>
              <w:spacing w:after="0"/>
              <w:rPr>
                <w:sz w:val="14"/>
                <w:szCs w:val="14"/>
                <w:color w:val="auto"/>
              </w:rPr>
            </w:pPr>
          </w:p>
        </w:tc>
        <w:tc>
          <w:tcPr>
            <w:tcW w:w="1720" w:type="dxa"/>
            <w:vAlign w:val="bottom"/>
            <w:shd w:val="clear" w:color="auto" w:fill="CCEEFF"/>
          </w:tcPr>
          <w:p>
            <w:pPr>
              <w:spacing w:after="0"/>
              <w:rPr>
                <w:sz w:val="14"/>
                <w:szCs w:val="14"/>
                <w:color w:val="auto"/>
              </w:rPr>
            </w:pPr>
          </w:p>
        </w:tc>
        <w:tc>
          <w:tcPr>
            <w:tcW w:w="28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Company Interests</w:t>
            </w: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8,139</w:t>
            </w:r>
          </w:p>
        </w:tc>
        <w:tc>
          <w:tcPr>
            <w:tcW w:w="780" w:type="dxa"/>
            <w:vAlign w:val="bottom"/>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350,464</w:t>
            </w:r>
          </w:p>
        </w:tc>
        <w:tc>
          <w:tcPr>
            <w:tcW w:w="20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860" w:type="dxa"/>
            <w:vAlign w:val="bottom"/>
            <w:vMerge w:val="restart"/>
          </w:tcPr>
          <w:p>
            <w:pPr>
              <w:jc w:val="right"/>
              <w:spacing w:after="0"/>
              <w:rPr>
                <w:sz w:val="20"/>
                <w:szCs w:val="20"/>
                <w:color w:val="auto"/>
              </w:rPr>
            </w:pPr>
            <w:r>
              <w:rPr>
                <w:rFonts w:ascii="Arial" w:cs="Arial" w:eastAsia="Arial" w:hAnsi="Arial"/>
                <w:sz w:val="14"/>
                <w:szCs w:val="14"/>
                <w:color w:val="auto"/>
              </w:rPr>
              <w:t>Total Media</w:t>
            </w: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338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286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80" w:type="dxa"/>
            <w:vAlign w:val="bottom"/>
          </w:tcPr>
          <w:p>
            <w:pPr>
              <w:jc w:val="right"/>
              <w:spacing w:after="0" w:line="155" w:lineRule="exact"/>
              <w:rPr>
                <w:sz w:val="20"/>
                <w:szCs w:val="20"/>
                <w:color w:val="auto"/>
              </w:rPr>
            </w:pPr>
            <w:r>
              <w:rPr>
                <w:rFonts w:ascii="Arial" w:cs="Arial" w:eastAsia="Arial" w:hAnsi="Arial"/>
                <w:sz w:val="14"/>
                <w:szCs w:val="14"/>
                <w:color w:val="auto"/>
              </w:rPr>
              <w:t>11,275,587</w:t>
            </w:r>
          </w:p>
        </w:tc>
        <w:tc>
          <w:tcPr>
            <w:tcW w:w="180" w:type="dxa"/>
            <w:vAlign w:val="bottom"/>
            <w:vMerge w:val="continue"/>
          </w:tcPr>
          <w:p>
            <w:pPr>
              <w:spacing w:after="0"/>
              <w:rPr>
                <w:sz w:val="13"/>
                <w:szCs w:val="13"/>
                <w:color w:val="auto"/>
              </w:rPr>
            </w:pPr>
          </w:p>
        </w:tc>
        <w:tc>
          <w:tcPr>
            <w:tcW w:w="780" w:type="dxa"/>
            <w:vAlign w:val="bottom"/>
          </w:tcPr>
          <w:p>
            <w:pPr>
              <w:jc w:val="right"/>
              <w:spacing w:after="0" w:line="155" w:lineRule="exact"/>
              <w:rPr>
                <w:sz w:val="20"/>
                <w:szCs w:val="20"/>
                <w:color w:val="auto"/>
              </w:rPr>
            </w:pPr>
            <w:r>
              <w:rPr>
                <w:rFonts w:ascii="Arial" w:cs="Arial" w:eastAsia="Arial" w:hAnsi="Arial"/>
                <w:sz w:val="14"/>
                <w:szCs w:val="14"/>
                <w:color w:val="auto"/>
              </w:rPr>
              <w:t>15,025,676</w:t>
            </w:r>
          </w:p>
        </w:tc>
        <w:tc>
          <w:tcPr>
            <w:tcW w:w="200" w:type="dxa"/>
            <w:vAlign w:val="bottom"/>
          </w:tcPr>
          <w:p>
            <w:pPr>
              <w:spacing w:after="0"/>
              <w:rPr>
                <w:sz w:val="13"/>
                <w:szCs w:val="13"/>
                <w:color w:val="auto"/>
              </w:rPr>
            </w:pPr>
          </w:p>
        </w:tc>
        <w:tc>
          <w:tcPr>
            <w:tcW w:w="52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12.4%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3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2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33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Elyria Foundry Company, L.L.C. (d), (g)</w:t>
            </w:r>
          </w:p>
        </w:tc>
        <w:tc>
          <w:tcPr>
            <w:tcW w:w="1720" w:type="dxa"/>
            <w:vAlign w:val="bottom"/>
            <w:shd w:val="clear" w:color="auto" w:fill="CCEEFF"/>
          </w:tcPr>
          <w:p>
            <w:pPr>
              <w:ind w:left="360"/>
              <w:spacing w:after="0" w:line="149" w:lineRule="exact"/>
              <w:rPr>
                <w:sz w:val="20"/>
                <w:szCs w:val="20"/>
                <w:color w:val="auto"/>
              </w:rPr>
            </w:pPr>
            <w:r>
              <w:rPr>
                <w:rFonts w:ascii="Arial" w:cs="Arial" w:eastAsia="Arial" w:hAnsi="Arial"/>
                <w:sz w:val="14"/>
                <w:szCs w:val="14"/>
                <w:color w:val="auto"/>
              </w:rPr>
              <w:t>Metals</w:t>
            </w:r>
          </w:p>
        </w:tc>
        <w:tc>
          <w:tcPr>
            <w:tcW w:w="286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Common Stock</w:t>
            </w:r>
          </w:p>
        </w:tc>
        <w:tc>
          <w:tcPr>
            <w:tcW w:w="14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35,000</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9,217,563</w:t>
            </w: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6,762,000</w:t>
            </w:r>
          </w:p>
        </w:tc>
        <w:tc>
          <w:tcPr>
            <w:tcW w:w="20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5.5%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80" w:type="dxa"/>
            <w:vAlign w:val="bottom"/>
          </w:tcPr>
          <w:p>
            <w:pPr>
              <w:spacing w:after="0" w:line="149" w:lineRule="exact"/>
              <w:rPr>
                <w:sz w:val="20"/>
                <w:szCs w:val="20"/>
                <w:color w:val="auto"/>
              </w:rPr>
            </w:pPr>
            <w:r>
              <w:rPr>
                <w:rFonts w:ascii="Arial" w:cs="Arial" w:eastAsia="Arial" w:hAnsi="Arial"/>
                <w:sz w:val="14"/>
                <w:szCs w:val="14"/>
                <w:color w:val="auto"/>
              </w:rPr>
              <w:t>Elyria Foundry Company, L.L.C. (d)</w:t>
            </w:r>
          </w:p>
        </w:tc>
        <w:tc>
          <w:tcPr>
            <w:tcW w:w="1720" w:type="dxa"/>
            <w:vAlign w:val="bottom"/>
          </w:tcPr>
          <w:p>
            <w:pPr>
              <w:ind w:left="360"/>
              <w:spacing w:after="0" w:line="149" w:lineRule="exact"/>
              <w:rPr>
                <w:sz w:val="20"/>
                <w:szCs w:val="20"/>
                <w:color w:val="auto"/>
              </w:rPr>
            </w:pPr>
            <w:r>
              <w:rPr>
                <w:rFonts w:ascii="Arial" w:cs="Arial" w:eastAsia="Arial" w:hAnsi="Arial"/>
                <w:sz w:val="14"/>
                <w:szCs w:val="14"/>
                <w:color w:val="auto"/>
              </w:rPr>
              <w:t>Metals</w:t>
            </w:r>
          </w:p>
        </w:tc>
        <w:tc>
          <w:tcPr>
            <w:tcW w:w="2860" w:type="dxa"/>
            <w:vAlign w:val="bottom"/>
          </w:tcPr>
          <w:p>
            <w:pPr>
              <w:ind w:left="120"/>
              <w:spacing w:after="0" w:line="149" w:lineRule="exact"/>
              <w:rPr>
                <w:sz w:val="20"/>
                <w:szCs w:val="20"/>
                <w:color w:val="auto"/>
              </w:rPr>
            </w:pPr>
            <w:r>
              <w:rPr>
                <w:rFonts w:ascii="Arial" w:cs="Arial" w:eastAsia="Arial" w:hAnsi="Arial"/>
                <w:sz w:val="14"/>
                <w:szCs w:val="14"/>
                <w:color w:val="auto"/>
              </w:rPr>
              <w:t>Revolver 9.00% Cash, 12/31/2020</w:t>
            </w:r>
          </w:p>
        </w:tc>
        <w:tc>
          <w:tcPr>
            <w:tcW w:w="1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8,500,000</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8,500,000</w:t>
            </w:r>
          </w:p>
        </w:tc>
        <w:tc>
          <w:tcPr>
            <w:tcW w:w="1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8,500,000</w:t>
            </w:r>
          </w:p>
        </w:tc>
        <w:tc>
          <w:tcPr>
            <w:tcW w:w="200" w:type="dxa"/>
            <w:vAlign w:val="bottom"/>
          </w:tcPr>
          <w:p>
            <w:pPr>
              <w:spacing w:after="0"/>
              <w:rPr>
                <w:sz w:val="12"/>
                <w:szCs w:val="12"/>
                <w:color w:val="auto"/>
              </w:rPr>
            </w:pPr>
          </w:p>
        </w:tc>
        <w:tc>
          <w:tcPr>
            <w:tcW w:w="5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6.8%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3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2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3380" w:type="dxa"/>
            <w:vAlign w:val="bottom"/>
            <w:shd w:val="clear" w:color="auto" w:fill="CCEEFF"/>
          </w:tcPr>
          <w:p>
            <w:pPr>
              <w:spacing w:after="0"/>
              <w:rPr>
                <w:sz w:val="12"/>
                <w:szCs w:val="12"/>
                <w:color w:val="auto"/>
              </w:rPr>
            </w:pPr>
          </w:p>
        </w:tc>
        <w:tc>
          <w:tcPr>
            <w:tcW w:w="1720" w:type="dxa"/>
            <w:vAlign w:val="bottom"/>
            <w:shd w:val="clear" w:color="auto" w:fill="CCEEFF"/>
          </w:tcPr>
          <w:p>
            <w:pPr>
              <w:spacing w:after="0"/>
              <w:rPr>
                <w:sz w:val="12"/>
                <w:szCs w:val="12"/>
                <w:color w:val="auto"/>
              </w:rPr>
            </w:pPr>
          </w:p>
        </w:tc>
        <w:tc>
          <w:tcPr>
            <w:tcW w:w="2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Total Metals</w:t>
            </w:r>
          </w:p>
        </w:tc>
        <w:tc>
          <w:tcPr>
            <w:tcW w:w="1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17,717,563</w:t>
            </w: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15,262,000</w:t>
            </w:r>
          </w:p>
        </w:tc>
        <w:tc>
          <w:tcPr>
            <w:tcW w:w="20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12.3%</w:t>
            </w:r>
          </w:p>
        </w:tc>
        <w:tc>
          <w:tcPr>
            <w:tcW w:w="0" w:type="dxa"/>
            <w:vAlign w:val="bottom"/>
          </w:tcPr>
          <w:p>
            <w:pPr>
              <w:spacing w:after="0"/>
              <w:rPr>
                <w:sz w:val="1"/>
                <w:szCs w:val="1"/>
                <w:color w:val="auto"/>
              </w:rPr>
            </w:pPr>
          </w:p>
        </w:tc>
      </w:tr>
      <w:tr>
        <w:trPr>
          <w:trHeight w:val="20"/>
        </w:trPr>
        <w:tc>
          <w:tcPr>
            <w:tcW w:w="3400" w:type="dxa"/>
            <w:vAlign w:val="bottom"/>
            <w:gridSpan w:val="2"/>
            <w:vMerge w:val="restart"/>
          </w:tcPr>
          <w:p>
            <w:pPr>
              <w:spacing w:after="0"/>
              <w:rPr>
                <w:sz w:val="20"/>
                <w:szCs w:val="20"/>
                <w:color w:val="auto"/>
              </w:rPr>
            </w:pPr>
            <w:r>
              <w:rPr>
                <w:rFonts w:ascii="Arial" w:cs="Arial" w:eastAsia="Arial" w:hAnsi="Arial"/>
                <w:sz w:val="14"/>
                <w:szCs w:val="14"/>
                <w:color w:val="auto"/>
              </w:rPr>
              <w:t>Network Communications, Inc. (d), (g)</w:t>
            </w:r>
          </w:p>
        </w:tc>
        <w:tc>
          <w:tcPr>
            <w:tcW w:w="1720" w:type="dxa"/>
            <w:vAlign w:val="bottom"/>
            <w:vMerge w:val="restart"/>
          </w:tcPr>
          <w:p>
            <w:pPr>
              <w:ind w:left="360"/>
              <w:spacing w:after="0"/>
              <w:rPr>
                <w:sz w:val="20"/>
                <w:szCs w:val="20"/>
                <w:color w:val="auto"/>
              </w:rPr>
            </w:pPr>
            <w:r>
              <w:rPr>
                <w:rFonts w:ascii="Arial" w:cs="Arial" w:eastAsia="Arial" w:hAnsi="Arial"/>
                <w:sz w:val="14"/>
                <w:szCs w:val="14"/>
                <w:color w:val="auto"/>
              </w:rPr>
              <w:t>Publishing</w:t>
            </w:r>
          </w:p>
        </w:tc>
        <w:tc>
          <w:tcPr>
            <w:tcW w:w="2860" w:type="dxa"/>
            <w:vAlign w:val="bottom"/>
            <w:vMerge w:val="restart"/>
          </w:tcPr>
          <w:p>
            <w:pPr>
              <w:ind w:left="120"/>
              <w:spacing w:after="0"/>
              <w:rPr>
                <w:sz w:val="20"/>
                <w:szCs w:val="20"/>
                <w:color w:val="auto"/>
              </w:rPr>
            </w:pPr>
            <w:r>
              <w:rPr>
                <w:rFonts w:ascii="Arial" w:cs="Arial" w:eastAsia="Arial" w:hAnsi="Arial"/>
                <w:sz w:val="14"/>
                <w:szCs w:val="14"/>
                <w:color w:val="auto"/>
              </w:rPr>
              <w:t>Common Stock</w:t>
            </w:r>
          </w:p>
        </w:tc>
        <w:tc>
          <w:tcPr>
            <w:tcW w:w="140" w:type="dxa"/>
            <w:vAlign w:val="bottom"/>
          </w:tcPr>
          <w:p>
            <w:pPr>
              <w:spacing w:after="0" w:line="20" w:lineRule="exact"/>
              <w:rPr>
                <w:sz w:val="1"/>
                <w:szCs w:val="1"/>
                <w:color w:val="auto"/>
              </w:rPr>
            </w:pPr>
          </w:p>
        </w:tc>
        <w:tc>
          <w:tcPr>
            <w:tcW w:w="840" w:type="dxa"/>
            <w:vAlign w:val="bottom"/>
            <w:vMerge w:val="restart"/>
          </w:tcPr>
          <w:p>
            <w:pPr>
              <w:jc w:val="right"/>
              <w:ind w:right="108"/>
              <w:spacing w:after="0"/>
              <w:rPr>
                <w:sz w:val="20"/>
                <w:szCs w:val="20"/>
                <w:color w:val="auto"/>
              </w:rPr>
            </w:pPr>
            <w:r>
              <w:rPr>
                <w:rFonts w:ascii="Arial" w:cs="Arial" w:eastAsia="Arial" w:hAnsi="Arial"/>
                <w:sz w:val="14"/>
                <w:szCs w:val="14"/>
                <w:color w:val="auto"/>
              </w:rPr>
              <w:t>380,572</w:t>
            </w:r>
          </w:p>
        </w:tc>
        <w:tc>
          <w:tcPr>
            <w:tcW w:w="78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400" w:type="dxa"/>
            <w:vAlign w:val="bottom"/>
            <w:gridSpan w:val="2"/>
            <w:vMerge w:val="continue"/>
          </w:tcPr>
          <w:p>
            <w:pPr>
              <w:spacing w:after="0"/>
              <w:rPr>
                <w:sz w:val="13"/>
                <w:szCs w:val="13"/>
                <w:color w:val="auto"/>
              </w:rPr>
            </w:pPr>
          </w:p>
        </w:tc>
        <w:tc>
          <w:tcPr>
            <w:tcW w:w="1720" w:type="dxa"/>
            <w:vAlign w:val="bottom"/>
            <w:vMerge w:val="continue"/>
          </w:tcPr>
          <w:p>
            <w:pPr>
              <w:spacing w:after="0"/>
              <w:rPr>
                <w:sz w:val="13"/>
                <w:szCs w:val="13"/>
                <w:color w:val="auto"/>
              </w:rPr>
            </w:pPr>
          </w:p>
        </w:tc>
        <w:tc>
          <w:tcPr>
            <w:tcW w:w="286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vMerge w:val="continue"/>
          </w:tcPr>
          <w:p>
            <w:pPr>
              <w:spacing w:after="0"/>
              <w:rPr>
                <w:sz w:val="13"/>
                <w:szCs w:val="13"/>
                <w:color w:val="auto"/>
              </w:rPr>
            </w:pPr>
          </w:p>
        </w:tc>
        <w:tc>
          <w:tcPr>
            <w:tcW w:w="780" w:type="dxa"/>
            <w:vAlign w:val="bottom"/>
          </w:tcPr>
          <w:p>
            <w:pPr>
              <w:ind w:left="560"/>
              <w:spacing w:after="0" w:line="155" w:lineRule="exact"/>
              <w:rPr>
                <w:sz w:val="20"/>
                <w:szCs w:val="20"/>
                <w:color w:val="auto"/>
              </w:rPr>
            </w:pPr>
            <w:r>
              <w:rPr>
                <w:rFonts w:ascii="Arial" w:cs="Arial" w:eastAsia="Arial" w:hAnsi="Arial"/>
                <w:sz w:val="14"/>
                <w:szCs w:val="14"/>
                <w:color w:val="auto"/>
              </w:rPr>
              <w:t>—</w:t>
            </w:r>
          </w:p>
        </w:tc>
        <w:tc>
          <w:tcPr>
            <w:tcW w:w="180" w:type="dxa"/>
            <w:vAlign w:val="bottom"/>
            <w:vMerge w:val="continue"/>
          </w:tcPr>
          <w:p>
            <w:pPr>
              <w:spacing w:after="0"/>
              <w:rPr>
                <w:sz w:val="13"/>
                <w:szCs w:val="13"/>
                <w:color w:val="auto"/>
              </w:rPr>
            </w:pPr>
          </w:p>
        </w:tc>
        <w:tc>
          <w:tcPr>
            <w:tcW w:w="780" w:type="dxa"/>
            <w:vAlign w:val="bottom"/>
          </w:tcPr>
          <w:p>
            <w:pPr>
              <w:jc w:val="right"/>
              <w:spacing w:after="0" w:line="155" w:lineRule="exact"/>
              <w:rPr>
                <w:sz w:val="20"/>
                <w:szCs w:val="20"/>
                <w:color w:val="auto"/>
              </w:rPr>
            </w:pPr>
            <w:r>
              <w:rPr>
                <w:rFonts w:ascii="Arial" w:cs="Arial" w:eastAsia="Arial" w:hAnsi="Arial"/>
                <w:sz w:val="14"/>
                <w:szCs w:val="14"/>
                <w:color w:val="auto"/>
              </w:rPr>
              <w:t>300,652</w:t>
            </w:r>
          </w:p>
        </w:tc>
        <w:tc>
          <w:tcPr>
            <w:tcW w:w="200" w:type="dxa"/>
            <w:vAlign w:val="bottom"/>
            <w:vMerge w:val="continue"/>
          </w:tcPr>
          <w:p>
            <w:pPr>
              <w:spacing w:after="0"/>
              <w:rPr>
                <w:sz w:val="13"/>
                <w:szCs w:val="13"/>
                <w:color w:val="auto"/>
              </w:rPr>
            </w:pPr>
          </w:p>
        </w:tc>
        <w:tc>
          <w:tcPr>
            <w:tcW w:w="52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Network Communications, Inc. (d)</w:t>
            </w:r>
          </w:p>
        </w:tc>
        <w:tc>
          <w:tcPr>
            <w:tcW w:w="1720" w:type="dxa"/>
            <w:vAlign w:val="bottom"/>
            <w:shd w:val="clear" w:color="auto" w:fill="CCEEFF"/>
          </w:tcPr>
          <w:p>
            <w:pPr>
              <w:ind w:left="360"/>
              <w:spacing w:after="0" w:line="149" w:lineRule="exact"/>
              <w:rPr>
                <w:sz w:val="20"/>
                <w:szCs w:val="20"/>
                <w:color w:val="auto"/>
              </w:rPr>
            </w:pPr>
            <w:r>
              <w:rPr>
                <w:rFonts w:ascii="Arial" w:cs="Arial" w:eastAsia="Arial" w:hAnsi="Arial"/>
                <w:sz w:val="14"/>
                <w:szCs w:val="14"/>
                <w:color w:val="auto"/>
              </w:rPr>
              <w:t>Publishing</w:t>
            </w:r>
          </w:p>
        </w:tc>
        <w:tc>
          <w:tcPr>
            <w:tcW w:w="286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Unsecured Notes 8.60% PIK, 1/14/2020</w:t>
            </w: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2,732,976</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2,374,260</w:t>
            </w: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1,684,118</w:t>
            </w:r>
          </w:p>
        </w:tc>
        <w:tc>
          <w:tcPr>
            <w:tcW w:w="20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860" w:type="dxa"/>
            <w:vAlign w:val="bottom"/>
            <w:vMerge w:val="restart"/>
          </w:tcPr>
          <w:p>
            <w:pPr>
              <w:jc w:val="right"/>
              <w:spacing w:after="0"/>
              <w:rPr>
                <w:sz w:val="20"/>
                <w:szCs w:val="20"/>
                <w:color w:val="auto"/>
              </w:rPr>
            </w:pPr>
            <w:r>
              <w:rPr>
                <w:rFonts w:ascii="Arial" w:cs="Arial" w:eastAsia="Arial" w:hAnsi="Arial"/>
                <w:sz w:val="14"/>
                <w:szCs w:val="14"/>
                <w:color w:val="auto"/>
              </w:rPr>
              <w:t>Total Publishing</w:t>
            </w: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338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286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80" w:type="dxa"/>
            <w:vAlign w:val="bottom"/>
          </w:tcPr>
          <w:p>
            <w:pPr>
              <w:jc w:val="right"/>
              <w:spacing w:after="0" w:line="155" w:lineRule="exact"/>
              <w:rPr>
                <w:sz w:val="20"/>
                <w:szCs w:val="20"/>
                <w:color w:val="auto"/>
              </w:rPr>
            </w:pPr>
            <w:r>
              <w:rPr>
                <w:rFonts w:ascii="Arial" w:cs="Arial" w:eastAsia="Arial" w:hAnsi="Arial"/>
                <w:sz w:val="14"/>
                <w:szCs w:val="14"/>
                <w:color w:val="auto"/>
              </w:rPr>
              <w:t>2,374,260</w:t>
            </w:r>
          </w:p>
        </w:tc>
        <w:tc>
          <w:tcPr>
            <w:tcW w:w="180" w:type="dxa"/>
            <w:vAlign w:val="bottom"/>
          </w:tcPr>
          <w:p>
            <w:pPr>
              <w:spacing w:after="0"/>
              <w:rPr>
                <w:sz w:val="13"/>
                <w:szCs w:val="13"/>
                <w:color w:val="auto"/>
              </w:rPr>
            </w:pPr>
          </w:p>
        </w:tc>
        <w:tc>
          <w:tcPr>
            <w:tcW w:w="780" w:type="dxa"/>
            <w:vAlign w:val="bottom"/>
          </w:tcPr>
          <w:p>
            <w:pPr>
              <w:jc w:val="right"/>
              <w:spacing w:after="0" w:line="155" w:lineRule="exact"/>
              <w:rPr>
                <w:sz w:val="20"/>
                <w:szCs w:val="20"/>
                <w:color w:val="auto"/>
              </w:rPr>
            </w:pPr>
            <w:r>
              <w:rPr>
                <w:rFonts w:ascii="Arial" w:cs="Arial" w:eastAsia="Arial" w:hAnsi="Arial"/>
                <w:sz w:val="14"/>
                <w:szCs w:val="14"/>
                <w:color w:val="auto"/>
              </w:rPr>
              <w:t>1,984,770</w:t>
            </w:r>
          </w:p>
        </w:tc>
        <w:tc>
          <w:tcPr>
            <w:tcW w:w="200" w:type="dxa"/>
            <w:vAlign w:val="bottom"/>
          </w:tcPr>
          <w:p>
            <w:pPr>
              <w:spacing w:after="0"/>
              <w:rPr>
                <w:sz w:val="13"/>
                <w:szCs w:val="13"/>
                <w:color w:val="auto"/>
              </w:rPr>
            </w:pPr>
          </w:p>
        </w:tc>
        <w:tc>
          <w:tcPr>
            <w:tcW w:w="52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3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2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33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Avionte Holdings, LLC (g)</w:t>
            </w:r>
          </w:p>
        </w:tc>
        <w:tc>
          <w:tcPr>
            <w:tcW w:w="1720" w:type="dxa"/>
            <w:vAlign w:val="bottom"/>
            <w:shd w:val="clear" w:color="auto" w:fill="CCEEFF"/>
          </w:tcPr>
          <w:p>
            <w:pPr>
              <w:ind w:left="360"/>
              <w:spacing w:after="0" w:line="149" w:lineRule="exact"/>
              <w:rPr>
                <w:sz w:val="20"/>
                <w:szCs w:val="20"/>
                <w:color w:val="auto"/>
              </w:rPr>
            </w:pPr>
            <w:r>
              <w:rPr>
                <w:rFonts w:ascii="Arial" w:cs="Arial" w:eastAsia="Arial" w:hAnsi="Arial"/>
                <w:sz w:val="14"/>
                <w:szCs w:val="14"/>
                <w:color w:val="auto"/>
                <w:w w:val="98"/>
              </w:rPr>
              <w:t>Software as a Service</w:t>
            </w:r>
          </w:p>
        </w:tc>
        <w:tc>
          <w:tcPr>
            <w:tcW w:w="286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Common Stock</w:t>
            </w:r>
          </w:p>
        </w:tc>
        <w:tc>
          <w:tcPr>
            <w:tcW w:w="14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100,000</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100,000</w:t>
            </w: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163,000</w:t>
            </w:r>
          </w:p>
        </w:tc>
        <w:tc>
          <w:tcPr>
            <w:tcW w:w="20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80" w:type="dxa"/>
            <w:vAlign w:val="bottom"/>
          </w:tcPr>
          <w:p>
            <w:pPr>
              <w:spacing w:after="0" w:line="149" w:lineRule="exact"/>
              <w:rPr>
                <w:sz w:val="20"/>
                <w:szCs w:val="20"/>
                <w:color w:val="auto"/>
              </w:rPr>
            </w:pPr>
            <w:r>
              <w:rPr>
                <w:rFonts w:ascii="Arial" w:cs="Arial" w:eastAsia="Arial" w:hAnsi="Arial"/>
                <w:sz w:val="14"/>
                <w:szCs w:val="14"/>
                <w:color w:val="auto"/>
              </w:rPr>
              <w:t>Avionte Holdings, LLC</w:t>
            </w:r>
          </w:p>
        </w:tc>
        <w:tc>
          <w:tcPr>
            <w:tcW w:w="1720" w:type="dxa"/>
            <w:vAlign w:val="bottom"/>
          </w:tcPr>
          <w:p>
            <w:pPr>
              <w:ind w:left="360"/>
              <w:spacing w:after="0" w:line="149" w:lineRule="exact"/>
              <w:rPr>
                <w:sz w:val="20"/>
                <w:szCs w:val="20"/>
                <w:color w:val="auto"/>
              </w:rPr>
            </w:pPr>
            <w:r>
              <w:rPr>
                <w:rFonts w:ascii="Arial" w:cs="Arial" w:eastAsia="Arial" w:hAnsi="Arial"/>
                <w:sz w:val="14"/>
                <w:szCs w:val="14"/>
                <w:color w:val="auto"/>
                <w:w w:val="98"/>
              </w:rPr>
              <w:t>Software as a Service</w:t>
            </w:r>
          </w:p>
        </w:tc>
        <w:tc>
          <w:tcPr>
            <w:tcW w:w="2860" w:type="dxa"/>
            <w:vAlign w:val="bottom"/>
          </w:tcPr>
          <w:p>
            <w:pPr>
              <w:ind w:left="120"/>
              <w:spacing w:after="0" w:line="149" w:lineRule="exact"/>
              <w:rPr>
                <w:sz w:val="20"/>
                <w:szCs w:val="20"/>
                <w:color w:val="auto"/>
              </w:rPr>
            </w:pPr>
            <w:r>
              <w:rPr>
                <w:rFonts w:ascii="Arial" w:cs="Arial" w:eastAsia="Arial" w:hAnsi="Arial"/>
                <w:sz w:val="14"/>
                <w:szCs w:val="14"/>
                <w:color w:val="auto"/>
              </w:rPr>
              <w:t>First Lien Term Loan 9.75% Cash, 1/8/2019</w:t>
            </w:r>
          </w:p>
        </w:tc>
        <w:tc>
          <w:tcPr>
            <w:tcW w:w="1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3,000,000</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2,951,759</w:t>
            </w:r>
          </w:p>
        </w:tc>
        <w:tc>
          <w:tcPr>
            <w:tcW w:w="1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3,000,000</w:t>
            </w:r>
          </w:p>
        </w:tc>
        <w:tc>
          <w:tcPr>
            <w:tcW w:w="200" w:type="dxa"/>
            <w:vAlign w:val="bottom"/>
          </w:tcPr>
          <w:p>
            <w:pPr>
              <w:spacing w:after="0"/>
              <w:rPr>
                <w:sz w:val="12"/>
                <w:szCs w:val="12"/>
                <w:color w:val="auto"/>
              </w:rPr>
            </w:pPr>
          </w:p>
        </w:tc>
        <w:tc>
          <w:tcPr>
            <w:tcW w:w="5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3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Avionte Holdings, LLC (j), (l)</w:t>
            </w:r>
          </w:p>
        </w:tc>
        <w:tc>
          <w:tcPr>
            <w:tcW w:w="1720" w:type="dxa"/>
            <w:vAlign w:val="bottom"/>
            <w:shd w:val="clear" w:color="auto" w:fill="CCEEFF"/>
          </w:tcPr>
          <w:p>
            <w:pPr>
              <w:ind w:left="360"/>
              <w:spacing w:after="0" w:line="130" w:lineRule="exact"/>
              <w:rPr>
                <w:sz w:val="20"/>
                <w:szCs w:val="20"/>
                <w:color w:val="auto"/>
              </w:rPr>
            </w:pPr>
            <w:r>
              <w:rPr>
                <w:rFonts w:ascii="Arial" w:cs="Arial" w:eastAsia="Arial" w:hAnsi="Arial"/>
                <w:sz w:val="14"/>
                <w:szCs w:val="14"/>
                <w:color w:val="auto"/>
                <w:w w:val="98"/>
              </w:rPr>
              <w:t>Software as a Service</w:t>
            </w:r>
          </w:p>
        </w:tc>
        <w:tc>
          <w:tcPr>
            <w:tcW w:w="2860" w:type="dxa"/>
            <w:vAlign w:val="bottom"/>
            <w:shd w:val="clear" w:color="auto" w:fill="CCEEFF"/>
          </w:tcPr>
          <w:p>
            <w:pPr>
              <w:ind w:left="120"/>
              <w:spacing w:after="0" w:line="130" w:lineRule="exact"/>
              <w:rPr>
                <w:sz w:val="20"/>
                <w:szCs w:val="20"/>
                <w:color w:val="auto"/>
              </w:rPr>
            </w:pPr>
            <w:r>
              <w:rPr>
                <w:rFonts w:ascii="Arial" w:cs="Arial" w:eastAsia="Arial" w:hAnsi="Arial"/>
                <w:sz w:val="14"/>
                <w:szCs w:val="14"/>
                <w:color w:val="auto"/>
              </w:rPr>
              <w:t>Delayed Draw Term Loan A 9.75% Cash,</w:t>
            </w:r>
          </w:p>
        </w:tc>
        <w:tc>
          <w:tcPr>
            <w:tcW w:w="1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380" w:type="dxa"/>
            <w:vAlign w:val="bottom"/>
            <w:shd w:val="clear" w:color="auto" w:fill="CCEEFF"/>
          </w:tcPr>
          <w:p>
            <w:pPr>
              <w:spacing w:after="0"/>
              <w:rPr>
                <w:sz w:val="14"/>
                <w:szCs w:val="14"/>
                <w:color w:val="auto"/>
              </w:rPr>
            </w:pPr>
          </w:p>
        </w:tc>
        <w:tc>
          <w:tcPr>
            <w:tcW w:w="1720" w:type="dxa"/>
            <w:vAlign w:val="bottom"/>
            <w:shd w:val="clear" w:color="auto" w:fill="CCEEFF"/>
          </w:tcPr>
          <w:p>
            <w:pPr>
              <w:spacing w:after="0"/>
              <w:rPr>
                <w:sz w:val="14"/>
                <w:szCs w:val="14"/>
                <w:color w:val="auto"/>
              </w:rPr>
            </w:pPr>
          </w:p>
        </w:tc>
        <w:tc>
          <w:tcPr>
            <w:tcW w:w="28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1/8/2019</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380" w:type="dxa"/>
            <w:vAlign w:val="bottom"/>
          </w:tcPr>
          <w:p>
            <w:pPr>
              <w:spacing w:after="0" w:line="130" w:lineRule="exact"/>
              <w:rPr>
                <w:sz w:val="20"/>
                <w:szCs w:val="20"/>
                <w:color w:val="auto"/>
              </w:rPr>
            </w:pPr>
            <w:r>
              <w:rPr>
                <w:rFonts w:ascii="Arial" w:cs="Arial" w:eastAsia="Arial" w:hAnsi="Arial"/>
                <w:sz w:val="14"/>
                <w:szCs w:val="14"/>
                <w:color w:val="auto"/>
              </w:rPr>
              <w:t>Censis Technologies, Inc.</w:t>
            </w:r>
          </w:p>
        </w:tc>
        <w:tc>
          <w:tcPr>
            <w:tcW w:w="1720" w:type="dxa"/>
            <w:vAlign w:val="bottom"/>
          </w:tcPr>
          <w:p>
            <w:pPr>
              <w:ind w:left="360"/>
              <w:spacing w:after="0" w:line="130" w:lineRule="exact"/>
              <w:rPr>
                <w:sz w:val="20"/>
                <w:szCs w:val="20"/>
                <w:color w:val="auto"/>
              </w:rPr>
            </w:pPr>
            <w:r>
              <w:rPr>
                <w:rFonts w:ascii="Arial" w:cs="Arial" w:eastAsia="Arial" w:hAnsi="Arial"/>
                <w:sz w:val="14"/>
                <w:szCs w:val="14"/>
                <w:color w:val="auto"/>
                <w:w w:val="98"/>
              </w:rPr>
              <w:t>Software as a Service</w:t>
            </w:r>
          </w:p>
        </w:tc>
        <w:tc>
          <w:tcPr>
            <w:tcW w:w="2860" w:type="dxa"/>
            <w:vAlign w:val="bottom"/>
          </w:tcPr>
          <w:p>
            <w:pPr>
              <w:ind w:left="120"/>
              <w:spacing w:after="0" w:line="130" w:lineRule="exact"/>
              <w:rPr>
                <w:sz w:val="20"/>
                <w:szCs w:val="20"/>
                <w:color w:val="auto"/>
              </w:rPr>
            </w:pPr>
            <w:r>
              <w:rPr>
                <w:rFonts w:ascii="Arial" w:cs="Arial" w:eastAsia="Arial" w:hAnsi="Arial"/>
                <w:sz w:val="14"/>
                <w:szCs w:val="14"/>
                <w:color w:val="auto"/>
              </w:rPr>
              <w:t>First Lien Term Loan B 11.00% Cash,</w:t>
            </w: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2860" w:type="dxa"/>
            <w:vAlign w:val="bottom"/>
          </w:tcPr>
          <w:p>
            <w:pPr>
              <w:ind w:left="120"/>
              <w:spacing w:after="0"/>
              <w:rPr>
                <w:sz w:val="20"/>
                <w:szCs w:val="20"/>
                <w:color w:val="auto"/>
              </w:rPr>
            </w:pPr>
            <w:r>
              <w:rPr>
                <w:rFonts w:ascii="Arial" w:cs="Arial" w:eastAsia="Arial" w:hAnsi="Arial"/>
                <w:sz w:val="14"/>
                <w:szCs w:val="14"/>
                <w:color w:val="auto"/>
              </w:rPr>
              <w:t>7/24/2019</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108"/>
              <w:spacing w:after="0"/>
              <w:rPr>
                <w:sz w:val="20"/>
                <w:szCs w:val="20"/>
                <w:color w:val="auto"/>
              </w:rPr>
            </w:pPr>
            <w:r>
              <w:rPr>
                <w:rFonts w:ascii="Arial" w:cs="Arial" w:eastAsia="Arial" w:hAnsi="Arial"/>
                <w:sz w:val="14"/>
                <w:szCs w:val="14"/>
                <w:color w:val="auto"/>
                <w:w w:val="91"/>
              </w:rPr>
              <w:t>11,850,000</w:t>
            </w: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11,634,939</w:t>
            </w: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11,850,000</w:t>
            </w:r>
          </w:p>
        </w:tc>
        <w:tc>
          <w:tcPr>
            <w:tcW w:w="520" w:type="dxa"/>
            <w:vAlign w:val="bottom"/>
            <w:gridSpan w:val="2"/>
          </w:tcPr>
          <w:p>
            <w:pPr>
              <w:jc w:val="right"/>
              <w:ind w:right="40"/>
              <w:spacing w:after="0"/>
              <w:rPr>
                <w:sz w:val="20"/>
                <w:szCs w:val="20"/>
                <w:color w:val="auto"/>
              </w:rPr>
            </w:pPr>
            <w:r>
              <w:rPr>
                <w:rFonts w:ascii="Arial" w:cs="Arial" w:eastAsia="Arial" w:hAnsi="Arial"/>
                <w:sz w:val="14"/>
                <w:szCs w:val="14"/>
                <w:color w:val="auto"/>
              </w:rPr>
              <w:t>9.7%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Censis Technologies, Inc. (g), (h)</w:t>
            </w:r>
          </w:p>
        </w:tc>
        <w:tc>
          <w:tcPr>
            <w:tcW w:w="1720" w:type="dxa"/>
            <w:vAlign w:val="bottom"/>
            <w:shd w:val="clear" w:color="auto" w:fill="CCEEFF"/>
          </w:tcPr>
          <w:p>
            <w:pPr>
              <w:ind w:left="360"/>
              <w:spacing w:after="0" w:line="149" w:lineRule="exact"/>
              <w:rPr>
                <w:sz w:val="20"/>
                <w:szCs w:val="20"/>
                <w:color w:val="auto"/>
              </w:rPr>
            </w:pPr>
            <w:r>
              <w:rPr>
                <w:rFonts w:ascii="Arial" w:cs="Arial" w:eastAsia="Arial" w:hAnsi="Arial"/>
                <w:sz w:val="14"/>
                <w:szCs w:val="14"/>
                <w:color w:val="auto"/>
                <w:w w:val="98"/>
              </w:rPr>
              <w:t>Software as a Service</w:t>
            </w:r>
          </w:p>
        </w:tc>
        <w:tc>
          <w:tcPr>
            <w:tcW w:w="286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Limited Partner Interests</w:t>
            </w:r>
          </w:p>
        </w:tc>
        <w:tc>
          <w:tcPr>
            <w:tcW w:w="14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999</w:t>
            </w:r>
          </w:p>
        </w:tc>
        <w:tc>
          <w:tcPr>
            <w:tcW w:w="9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999,000</w:t>
            </w:r>
          </w:p>
        </w:tc>
        <w:tc>
          <w:tcPr>
            <w:tcW w:w="9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981,627</w:t>
            </w:r>
          </w:p>
        </w:tc>
        <w:tc>
          <w:tcPr>
            <w:tcW w:w="5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0.8%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80" w:type="dxa"/>
            <w:vAlign w:val="bottom"/>
          </w:tcPr>
          <w:p>
            <w:pPr>
              <w:spacing w:after="0" w:line="149" w:lineRule="exact"/>
              <w:rPr>
                <w:sz w:val="20"/>
                <w:szCs w:val="20"/>
                <w:color w:val="auto"/>
              </w:rPr>
            </w:pPr>
            <w:r>
              <w:rPr>
                <w:rFonts w:ascii="Arial" w:cs="Arial" w:eastAsia="Arial" w:hAnsi="Arial"/>
                <w:sz w:val="14"/>
                <w:szCs w:val="14"/>
                <w:color w:val="auto"/>
              </w:rPr>
              <w:t>Community Investors, Inc. (g)</w:t>
            </w:r>
          </w:p>
        </w:tc>
        <w:tc>
          <w:tcPr>
            <w:tcW w:w="1720" w:type="dxa"/>
            <w:vAlign w:val="bottom"/>
          </w:tcPr>
          <w:p>
            <w:pPr>
              <w:ind w:left="360"/>
              <w:spacing w:after="0" w:line="149" w:lineRule="exact"/>
              <w:rPr>
                <w:sz w:val="20"/>
                <w:szCs w:val="20"/>
                <w:color w:val="auto"/>
              </w:rPr>
            </w:pPr>
            <w:r>
              <w:rPr>
                <w:rFonts w:ascii="Arial" w:cs="Arial" w:eastAsia="Arial" w:hAnsi="Arial"/>
                <w:sz w:val="14"/>
                <w:szCs w:val="14"/>
                <w:color w:val="auto"/>
                <w:w w:val="98"/>
              </w:rPr>
              <w:t>Software as a Service</w:t>
            </w:r>
          </w:p>
        </w:tc>
        <w:tc>
          <w:tcPr>
            <w:tcW w:w="2860" w:type="dxa"/>
            <w:vAlign w:val="bottom"/>
          </w:tcPr>
          <w:p>
            <w:pPr>
              <w:ind w:left="120"/>
              <w:spacing w:after="0" w:line="149" w:lineRule="exact"/>
              <w:rPr>
                <w:sz w:val="20"/>
                <w:szCs w:val="20"/>
                <w:color w:val="auto"/>
              </w:rPr>
            </w:pPr>
            <w:r>
              <w:rPr>
                <w:rFonts w:ascii="Arial" w:cs="Arial" w:eastAsia="Arial" w:hAnsi="Arial"/>
                <w:sz w:val="14"/>
                <w:szCs w:val="14"/>
                <w:color w:val="auto"/>
              </w:rPr>
              <w:t>Common Stock</w:t>
            </w:r>
          </w:p>
        </w:tc>
        <w:tc>
          <w:tcPr>
            <w:tcW w:w="140" w:type="dxa"/>
            <w:vAlign w:val="bottom"/>
          </w:tcPr>
          <w:p>
            <w:pPr>
              <w:spacing w:after="0"/>
              <w:rPr>
                <w:sz w:val="12"/>
                <w:szCs w:val="12"/>
                <w:color w:val="auto"/>
              </w:rPr>
            </w:pPr>
          </w:p>
        </w:tc>
        <w:tc>
          <w:tcPr>
            <w:tcW w:w="84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1,282</w:t>
            </w:r>
          </w:p>
        </w:tc>
        <w:tc>
          <w:tcPr>
            <w:tcW w:w="9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1,282</w:t>
            </w:r>
          </w:p>
        </w:tc>
        <w:tc>
          <w:tcPr>
            <w:tcW w:w="9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1,769</w:t>
            </w:r>
          </w:p>
        </w:tc>
        <w:tc>
          <w:tcPr>
            <w:tcW w:w="5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3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Community Investors, Inc.</w:t>
            </w:r>
          </w:p>
        </w:tc>
        <w:tc>
          <w:tcPr>
            <w:tcW w:w="1720" w:type="dxa"/>
            <w:vAlign w:val="bottom"/>
            <w:shd w:val="clear" w:color="auto" w:fill="CCEEFF"/>
          </w:tcPr>
          <w:p>
            <w:pPr>
              <w:ind w:left="360"/>
              <w:spacing w:after="0" w:line="130" w:lineRule="exact"/>
              <w:rPr>
                <w:sz w:val="20"/>
                <w:szCs w:val="20"/>
                <w:color w:val="auto"/>
              </w:rPr>
            </w:pPr>
            <w:r>
              <w:rPr>
                <w:rFonts w:ascii="Arial" w:cs="Arial" w:eastAsia="Arial" w:hAnsi="Arial"/>
                <w:sz w:val="14"/>
                <w:szCs w:val="14"/>
                <w:color w:val="auto"/>
                <w:w w:val="98"/>
              </w:rPr>
              <w:t>Software as a Service</w:t>
            </w:r>
          </w:p>
        </w:tc>
        <w:tc>
          <w:tcPr>
            <w:tcW w:w="2860" w:type="dxa"/>
            <w:vAlign w:val="bottom"/>
            <w:shd w:val="clear" w:color="auto" w:fill="CCEEFF"/>
          </w:tcPr>
          <w:p>
            <w:pPr>
              <w:ind w:left="120"/>
              <w:spacing w:after="0" w:line="130" w:lineRule="exact"/>
              <w:rPr>
                <w:sz w:val="20"/>
                <w:szCs w:val="20"/>
                <w:color w:val="auto"/>
              </w:rPr>
            </w:pPr>
            <w:r>
              <w:rPr>
                <w:rFonts w:ascii="Arial" w:cs="Arial" w:eastAsia="Arial" w:hAnsi="Arial"/>
                <w:sz w:val="14"/>
                <w:szCs w:val="14"/>
                <w:color w:val="auto"/>
                <w:w w:val="96"/>
              </w:rPr>
              <w:t>First Lien, Last Out Term Loan 11.78% Cash,</w:t>
            </w:r>
          </w:p>
        </w:tc>
        <w:tc>
          <w:tcPr>
            <w:tcW w:w="1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380" w:type="dxa"/>
            <w:vAlign w:val="bottom"/>
            <w:shd w:val="clear" w:color="auto" w:fill="CCEEFF"/>
          </w:tcPr>
          <w:p>
            <w:pPr>
              <w:spacing w:after="0"/>
              <w:rPr>
                <w:sz w:val="14"/>
                <w:szCs w:val="14"/>
                <w:color w:val="auto"/>
              </w:rPr>
            </w:pPr>
          </w:p>
        </w:tc>
        <w:tc>
          <w:tcPr>
            <w:tcW w:w="1720" w:type="dxa"/>
            <w:vAlign w:val="bottom"/>
            <w:shd w:val="clear" w:color="auto" w:fill="CCEEFF"/>
          </w:tcPr>
          <w:p>
            <w:pPr>
              <w:spacing w:after="0"/>
              <w:rPr>
                <w:sz w:val="14"/>
                <w:szCs w:val="14"/>
                <w:color w:val="auto"/>
              </w:rPr>
            </w:pPr>
          </w:p>
        </w:tc>
        <w:tc>
          <w:tcPr>
            <w:tcW w:w="28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9/30/2019</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w w:val="91"/>
              </w:rPr>
              <w:t>12,000,000</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12,000,000</w:t>
            </w: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12,000,000</w:t>
            </w:r>
          </w:p>
        </w:tc>
        <w:tc>
          <w:tcPr>
            <w:tcW w:w="20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9.7%</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380" w:type="dxa"/>
            <w:vAlign w:val="bottom"/>
          </w:tcPr>
          <w:p>
            <w:pPr>
              <w:spacing w:after="0" w:line="130" w:lineRule="exact"/>
              <w:rPr>
                <w:sz w:val="20"/>
                <w:szCs w:val="20"/>
                <w:color w:val="auto"/>
              </w:rPr>
            </w:pPr>
            <w:r>
              <w:rPr>
                <w:rFonts w:ascii="Arial" w:cs="Arial" w:eastAsia="Arial" w:hAnsi="Arial"/>
                <w:sz w:val="14"/>
                <w:szCs w:val="14"/>
                <w:color w:val="auto"/>
              </w:rPr>
              <w:t>Community Investors, Inc.</w:t>
            </w:r>
          </w:p>
        </w:tc>
        <w:tc>
          <w:tcPr>
            <w:tcW w:w="1720" w:type="dxa"/>
            <w:vAlign w:val="bottom"/>
          </w:tcPr>
          <w:p>
            <w:pPr>
              <w:ind w:left="360"/>
              <w:spacing w:after="0" w:line="130" w:lineRule="exact"/>
              <w:rPr>
                <w:sz w:val="20"/>
                <w:szCs w:val="20"/>
                <w:color w:val="auto"/>
              </w:rPr>
            </w:pPr>
            <w:r>
              <w:rPr>
                <w:rFonts w:ascii="Arial" w:cs="Arial" w:eastAsia="Arial" w:hAnsi="Arial"/>
                <w:sz w:val="14"/>
                <w:szCs w:val="14"/>
                <w:color w:val="auto"/>
                <w:w w:val="98"/>
              </w:rPr>
              <w:t>Software as a Service</w:t>
            </w:r>
          </w:p>
        </w:tc>
        <w:tc>
          <w:tcPr>
            <w:tcW w:w="2860" w:type="dxa"/>
            <w:vAlign w:val="bottom"/>
          </w:tcPr>
          <w:p>
            <w:pPr>
              <w:ind w:left="120"/>
              <w:spacing w:after="0" w:line="130" w:lineRule="exact"/>
              <w:rPr>
                <w:sz w:val="20"/>
                <w:szCs w:val="20"/>
                <w:color w:val="auto"/>
              </w:rPr>
            </w:pPr>
            <w:r>
              <w:rPr>
                <w:rFonts w:ascii="Arial" w:cs="Arial" w:eastAsia="Arial" w:hAnsi="Arial"/>
                <w:sz w:val="14"/>
                <w:szCs w:val="14"/>
                <w:color w:val="auto"/>
              </w:rPr>
              <w:t>First Lien Term Loan B 12.25% Cash,</w:t>
            </w: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2860" w:type="dxa"/>
            <w:vAlign w:val="bottom"/>
          </w:tcPr>
          <w:p>
            <w:pPr>
              <w:ind w:left="120"/>
              <w:spacing w:after="0"/>
              <w:rPr>
                <w:sz w:val="20"/>
                <w:szCs w:val="20"/>
                <w:color w:val="auto"/>
              </w:rPr>
            </w:pPr>
            <w:r>
              <w:rPr>
                <w:rFonts w:ascii="Arial" w:cs="Arial" w:eastAsia="Arial" w:hAnsi="Arial"/>
                <w:sz w:val="14"/>
                <w:szCs w:val="14"/>
                <w:color w:val="auto"/>
              </w:rPr>
              <w:t>12/31/2020</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108"/>
              <w:spacing w:after="0"/>
              <w:rPr>
                <w:sz w:val="20"/>
                <w:szCs w:val="20"/>
                <w:color w:val="auto"/>
              </w:rPr>
            </w:pPr>
            <w:r>
              <w:rPr>
                <w:rFonts w:ascii="Arial" w:cs="Arial" w:eastAsia="Arial" w:hAnsi="Arial"/>
                <w:sz w:val="14"/>
                <w:szCs w:val="14"/>
                <w:color w:val="auto"/>
              </w:rPr>
              <w:t>2,500,000</w:t>
            </w:r>
          </w:p>
        </w:tc>
        <w:tc>
          <w:tcPr>
            <w:tcW w:w="780" w:type="dxa"/>
            <w:vAlign w:val="bottom"/>
          </w:tcPr>
          <w:p>
            <w:pPr>
              <w:jc w:val="right"/>
              <w:spacing w:after="0"/>
              <w:rPr>
                <w:sz w:val="20"/>
                <w:szCs w:val="20"/>
                <w:color w:val="auto"/>
              </w:rPr>
            </w:pPr>
            <w:r>
              <w:rPr>
                <w:rFonts w:ascii="Arial" w:cs="Arial" w:eastAsia="Arial" w:hAnsi="Arial"/>
                <w:sz w:val="14"/>
                <w:szCs w:val="14"/>
                <w:color w:val="auto"/>
              </w:rPr>
              <w:t>2,500,000</w:t>
            </w: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2,500,000</w:t>
            </w:r>
          </w:p>
        </w:tc>
        <w:tc>
          <w:tcPr>
            <w:tcW w:w="200" w:type="dxa"/>
            <w:vAlign w:val="bottom"/>
          </w:tcPr>
          <w:p>
            <w:pPr>
              <w:spacing w:after="0"/>
              <w:rPr>
                <w:sz w:val="14"/>
                <w:szCs w:val="14"/>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Community Investors, Inc. (g)</w:t>
            </w:r>
          </w:p>
        </w:tc>
        <w:tc>
          <w:tcPr>
            <w:tcW w:w="1720" w:type="dxa"/>
            <w:vAlign w:val="bottom"/>
            <w:shd w:val="clear" w:color="auto" w:fill="CCEEFF"/>
          </w:tcPr>
          <w:p>
            <w:pPr>
              <w:ind w:left="360"/>
              <w:spacing w:after="0" w:line="149" w:lineRule="exact"/>
              <w:rPr>
                <w:sz w:val="20"/>
                <w:szCs w:val="20"/>
                <w:color w:val="auto"/>
              </w:rPr>
            </w:pPr>
            <w:r>
              <w:rPr>
                <w:rFonts w:ascii="Arial" w:cs="Arial" w:eastAsia="Arial" w:hAnsi="Arial"/>
                <w:sz w:val="14"/>
                <w:szCs w:val="14"/>
                <w:color w:val="auto"/>
                <w:w w:val="98"/>
              </w:rPr>
              <w:t>Software as a Service</w:t>
            </w:r>
          </w:p>
        </w:tc>
        <w:tc>
          <w:tcPr>
            <w:tcW w:w="286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Preferred Stock 10%</w:t>
            </w:r>
          </w:p>
        </w:tc>
        <w:tc>
          <w:tcPr>
            <w:tcW w:w="14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63,463</w:t>
            </w:r>
          </w:p>
        </w:tc>
        <w:tc>
          <w:tcPr>
            <w:tcW w:w="9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149,138</w:t>
            </w:r>
          </w:p>
        </w:tc>
        <w:tc>
          <w:tcPr>
            <w:tcW w:w="9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87,579</w:t>
            </w:r>
          </w:p>
        </w:tc>
        <w:tc>
          <w:tcPr>
            <w:tcW w:w="5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80" w:type="dxa"/>
            <w:vAlign w:val="bottom"/>
          </w:tcPr>
          <w:p>
            <w:pPr>
              <w:spacing w:after="0" w:line="149" w:lineRule="exact"/>
              <w:rPr>
                <w:sz w:val="20"/>
                <w:szCs w:val="20"/>
                <w:color w:val="auto"/>
              </w:rPr>
            </w:pPr>
            <w:r>
              <w:rPr>
                <w:rFonts w:ascii="Arial" w:cs="Arial" w:eastAsia="Arial" w:hAnsi="Arial"/>
                <w:sz w:val="14"/>
                <w:szCs w:val="14"/>
                <w:color w:val="auto"/>
              </w:rPr>
              <w:t>Community Investors, Inc.</w:t>
            </w:r>
          </w:p>
        </w:tc>
        <w:tc>
          <w:tcPr>
            <w:tcW w:w="1720" w:type="dxa"/>
            <w:vAlign w:val="bottom"/>
          </w:tcPr>
          <w:p>
            <w:pPr>
              <w:ind w:left="360"/>
              <w:spacing w:after="0" w:line="149" w:lineRule="exact"/>
              <w:rPr>
                <w:sz w:val="20"/>
                <w:szCs w:val="20"/>
                <w:color w:val="auto"/>
              </w:rPr>
            </w:pPr>
            <w:r>
              <w:rPr>
                <w:rFonts w:ascii="Arial" w:cs="Arial" w:eastAsia="Arial" w:hAnsi="Arial"/>
                <w:sz w:val="14"/>
                <w:szCs w:val="14"/>
                <w:color w:val="auto"/>
                <w:w w:val="98"/>
              </w:rPr>
              <w:t>Software as a Service</w:t>
            </w:r>
          </w:p>
        </w:tc>
        <w:tc>
          <w:tcPr>
            <w:tcW w:w="2860" w:type="dxa"/>
            <w:vAlign w:val="bottom"/>
          </w:tcPr>
          <w:p>
            <w:pPr>
              <w:ind w:left="120"/>
              <w:spacing w:after="0" w:line="149" w:lineRule="exact"/>
              <w:rPr>
                <w:sz w:val="20"/>
                <w:szCs w:val="20"/>
                <w:color w:val="auto"/>
              </w:rPr>
            </w:pPr>
            <w:r>
              <w:rPr>
                <w:rFonts w:ascii="Arial" w:cs="Arial" w:eastAsia="Arial" w:hAnsi="Arial"/>
                <w:sz w:val="14"/>
                <w:szCs w:val="14"/>
                <w:color w:val="auto"/>
              </w:rPr>
              <w:t>Preferred Stock - A2 10%</w:t>
            </w:r>
          </w:p>
        </w:tc>
        <w:tc>
          <w:tcPr>
            <w:tcW w:w="140" w:type="dxa"/>
            <w:vAlign w:val="bottom"/>
          </w:tcPr>
          <w:p>
            <w:pPr>
              <w:spacing w:after="0"/>
              <w:rPr>
                <w:sz w:val="12"/>
                <w:szCs w:val="12"/>
                <w:color w:val="auto"/>
              </w:rPr>
            </w:pPr>
          </w:p>
        </w:tc>
        <w:tc>
          <w:tcPr>
            <w:tcW w:w="84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38,641</w:t>
            </w:r>
          </w:p>
        </w:tc>
        <w:tc>
          <w:tcPr>
            <w:tcW w:w="9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100,853</w:t>
            </w:r>
          </w:p>
        </w:tc>
        <w:tc>
          <w:tcPr>
            <w:tcW w:w="9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53,325</w:t>
            </w:r>
          </w:p>
        </w:tc>
        <w:tc>
          <w:tcPr>
            <w:tcW w:w="5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Community Investors, Inc. (g)</w:t>
            </w:r>
          </w:p>
        </w:tc>
        <w:tc>
          <w:tcPr>
            <w:tcW w:w="1720" w:type="dxa"/>
            <w:vAlign w:val="bottom"/>
            <w:shd w:val="clear" w:color="auto" w:fill="CCEEFF"/>
          </w:tcPr>
          <w:p>
            <w:pPr>
              <w:ind w:left="360"/>
              <w:spacing w:after="0" w:line="149" w:lineRule="exact"/>
              <w:rPr>
                <w:sz w:val="20"/>
                <w:szCs w:val="20"/>
                <w:color w:val="auto"/>
              </w:rPr>
            </w:pPr>
            <w:r>
              <w:rPr>
                <w:rFonts w:ascii="Arial" w:cs="Arial" w:eastAsia="Arial" w:hAnsi="Arial"/>
                <w:sz w:val="14"/>
                <w:szCs w:val="14"/>
                <w:color w:val="auto"/>
                <w:w w:val="98"/>
              </w:rPr>
              <w:t>Software as a Service</w:t>
            </w:r>
          </w:p>
        </w:tc>
        <w:tc>
          <w:tcPr>
            <w:tcW w:w="286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Preferred Stock - A Shares 10%</w:t>
            </w:r>
          </w:p>
        </w:tc>
        <w:tc>
          <w:tcPr>
            <w:tcW w:w="14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135,584</w:t>
            </w:r>
          </w:p>
        </w:tc>
        <w:tc>
          <w:tcPr>
            <w:tcW w:w="9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135,584</w:t>
            </w:r>
          </w:p>
        </w:tc>
        <w:tc>
          <w:tcPr>
            <w:tcW w:w="9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187,106</w:t>
            </w:r>
          </w:p>
        </w:tc>
        <w:tc>
          <w:tcPr>
            <w:tcW w:w="5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380" w:type="dxa"/>
            <w:vAlign w:val="bottom"/>
          </w:tcPr>
          <w:p>
            <w:pPr>
              <w:spacing w:after="0" w:line="130" w:lineRule="exact"/>
              <w:rPr>
                <w:sz w:val="20"/>
                <w:szCs w:val="20"/>
                <w:color w:val="auto"/>
              </w:rPr>
            </w:pPr>
            <w:r>
              <w:rPr>
                <w:rFonts w:ascii="Arial" w:cs="Arial" w:eastAsia="Arial" w:hAnsi="Arial"/>
                <w:sz w:val="14"/>
                <w:szCs w:val="14"/>
                <w:color w:val="auto"/>
              </w:rPr>
              <w:t>Finalsite Holdings, Inc.</w:t>
            </w:r>
          </w:p>
        </w:tc>
        <w:tc>
          <w:tcPr>
            <w:tcW w:w="1720" w:type="dxa"/>
            <w:vAlign w:val="bottom"/>
          </w:tcPr>
          <w:p>
            <w:pPr>
              <w:ind w:left="360"/>
              <w:spacing w:after="0" w:line="130" w:lineRule="exact"/>
              <w:rPr>
                <w:sz w:val="20"/>
                <w:szCs w:val="20"/>
                <w:color w:val="auto"/>
              </w:rPr>
            </w:pPr>
            <w:r>
              <w:rPr>
                <w:rFonts w:ascii="Arial" w:cs="Arial" w:eastAsia="Arial" w:hAnsi="Arial"/>
                <w:sz w:val="14"/>
                <w:szCs w:val="14"/>
                <w:color w:val="auto"/>
                <w:w w:val="98"/>
              </w:rPr>
              <w:t>Software as a Service</w:t>
            </w:r>
          </w:p>
        </w:tc>
        <w:tc>
          <w:tcPr>
            <w:tcW w:w="2860" w:type="dxa"/>
            <w:vAlign w:val="bottom"/>
          </w:tcPr>
          <w:p>
            <w:pPr>
              <w:ind w:left="120"/>
              <w:spacing w:after="0" w:line="130" w:lineRule="exact"/>
              <w:rPr>
                <w:sz w:val="20"/>
                <w:szCs w:val="20"/>
                <w:color w:val="auto"/>
              </w:rPr>
            </w:pPr>
            <w:r>
              <w:rPr>
                <w:rFonts w:ascii="Arial" w:cs="Arial" w:eastAsia="Arial" w:hAnsi="Arial"/>
                <w:sz w:val="14"/>
                <w:szCs w:val="14"/>
                <w:color w:val="auto"/>
              </w:rPr>
              <w:t>Second Lien Term Loan 10.25% Cash,</w:t>
            </w: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2860" w:type="dxa"/>
            <w:vAlign w:val="bottom"/>
          </w:tcPr>
          <w:p>
            <w:pPr>
              <w:ind w:left="120"/>
              <w:spacing w:after="0"/>
              <w:rPr>
                <w:sz w:val="20"/>
                <w:szCs w:val="20"/>
                <w:color w:val="auto"/>
              </w:rPr>
            </w:pPr>
            <w:r>
              <w:rPr>
                <w:rFonts w:ascii="Arial" w:cs="Arial" w:eastAsia="Arial" w:hAnsi="Arial"/>
                <w:sz w:val="14"/>
                <w:szCs w:val="14"/>
                <w:color w:val="auto"/>
              </w:rPr>
              <w:t>11/21/2019</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108"/>
              <w:spacing w:after="0"/>
              <w:rPr>
                <w:sz w:val="20"/>
                <w:szCs w:val="20"/>
                <w:color w:val="auto"/>
              </w:rPr>
            </w:pPr>
            <w:r>
              <w:rPr>
                <w:rFonts w:ascii="Arial" w:cs="Arial" w:eastAsia="Arial" w:hAnsi="Arial"/>
                <w:sz w:val="14"/>
                <w:szCs w:val="14"/>
                <w:color w:val="auto"/>
              </w:rPr>
              <w:t>7,500,000</w:t>
            </w:r>
          </w:p>
        </w:tc>
        <w:tc>
          <w:tcPr>
            <w:tcW w:w="780" w:type="dxa"/>
            <w:vAlign w:val="bottom"/>
          </w:tcPr>
          <w:p>
            <w:pPr>
              <w:jc w:val="right"/>
              <w:spacing w:after="0"/>
              <w:rPr>
                <w:sz w:val="20"/>
                <w:szCs w:val="20"/>
                <w:color w:val="auto"/>
              </w:rPr>
            </w:pPr>
            <w:r>
              <w:rPr>
                <w:rFonts w:ascii="Arial" w:cs="Arial" w:eastAsia="Arial" w:hAnsi="Arial"/>
                <w:sz w:val="14"/>
                <w:szCs w:val="14"/>
                <w:color w:val="auto"/>
              </w:rPr>
              <w:t>7,429,305</w:t>
            </w: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7,500,000</w:t>
            </w:r>
          </w:p>
        </w:tc>
        <w:tc>
          <w:tcPr>
            <w:tcW w:w="200" w:type="dxa"/>
            <w:vAlign w:val="bottom"/>
          </w:tcPr>
          <w:p>
            <w:pPr>
              <w:spacing w:after="0"/>
              <w:rPr>
                <w:sz w:val="14"/>
                <w:szCs w:val="14"/>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4"/>
                <w:szCs w:val="14"/>
                <w:color w:val="auto"/>
              </w:rPr>
              <w:t>6.1%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Identity Automation Systems (g)</w:t>
            </w:r>
          </w:p>
        </w:tc>
        <w:tc>
          <w:tcPr>
            <w:tcW w:w="1720" w:type="dxa"/>
            <w:vAlign w:val="bottom"/>
            <w:shd w:val="clear" w:color="auto" w:fill="CCEEFF"/>
          </w:tcPr>
          <w:p>
            <w:pPr>
              <w:ind w:left="360"/>
              <w:spacing w:after="0" w:line="149" w:lineRule="exact"/>
              <w:rPr>
                <w:sz w:val="20"/>
                <w:szCs w:val="20"/>
                <w:color w:val="auto"/>
              </w:rPr>
            </w:pPr>
            <w:r>
              <w:rPr>
                <w:rFonts w:ascii="Arial" w:cs="Arial" w:eastAsia="Arial" w:hAnsi="Arial"/>
                <w:sz w:val="14"/>
                <w:szCs w:val="14"/>
                <w:color w:val="auto"/>
                <w:w w:val="98"/>
              </w:rPr>
              <w:t>Software as a Service</w:t>
            </w:r>
          </w:p>
        </w:tc>
        <w:tc>
          <w:tcPr>
            <w:tcW w:w="286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Common Stock Class A Units</w:t>
            </w:r>
          </w:p>
        </w:tc>
        <w:tc>
          <w:tcPr>
            <w:tcW w:w="14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232,616</w:t>
            </w:r>
          </w:p>
        </w:tc>
        <w:tc>
          <w:tcPr>
            <w:tcW w:w="9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232,616</w:t>
            </w:r>
          </w:p>
        </w:tc>
        <w:tc>
          <w:tcPr>
            <w:tcW w:w="9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225,638</w:t>
            </w:r>
          </w:p>
        </w:tc>
        <w:tc>
          <w:tcPr>
            <w:tcW w:w="5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80" w:type="dxa"/>
            <w:vAlign w:val="bottom"/>
          </w:tcPr>
          <w:p>
            <w:pPr>
              <w:spacing w:after="0" w:line="149" w:lineRule="exact"/>
              <w:rPr>
                <w:sz w:val="20"/>
                <w:szCs w:val="20"/>
                <w:color w:val="auto"/>
              </w:rPr>
            </w:pPr>
            <w:r>
              <w:rPr>
                <w:rFonts w:ascii="Arial" w:cs="Arial" w:eastAsia="Arial" w:hAnsi="Arial"/>
                <w:sz w:val="14"/>
                <w:szCs w:val="14"/>
                <w:color w:val="auto"/>
              </w:rPr>
              <w:t>Identity Automation Systems</w:t>
            </w:r>
          </w:p>
        </w:tc>
        <w:tc>
          <w:tcPr>
            <w:tcW w:w="1720" w:type="dxa"/>
            <w:vAlign w:val="bottom"/>
          </w:tcPr>
          <w:p>
            <w:pPr>
              <w:ind w:left="360"/>
              <w:spacing w:after="0" w:line="149" w:lineRule="exact"/>
              <w:rPr>
                <w:sz w:val="20"/>
                <w:szCs w:val="20"/>
                <w:color w:val="auto"/>
              </w:rPr>
            </w:pPr>
            <w:r>
              <w:rPr>
                <w:rFonts w:ascii="Arial" w:cs="Arial" w:eastAsia="Arial" w:hAnsi="Arial"/>
                <w:sz w:val="14"/>
                <w:szCs w:val="14"/>
                <w:color w:val="auto"/>
                <w:w w:val="98"/>
              </w:rPr>
              <w:t>Software as a Service</w:t>
            </w:r>
          </w:p>
        </w:tc>
        <w:tc>
          <w:tcPr>
            <w:tcW w:w="2860" w:type="dxa"/>
            <w:vAlign w:val="bottom"/>
          </w:tcPr>
          <w:p>
            <w:pPr>
              <w:ind w:left="120"/>
              <w:spacing w:after="0" w:line="149" w:lineRule="exact"/>
              <w:rPr>
                <w:sz w:val="20"/>
                <w:szCs w:val="20"/>
                <w:color w:val="auto"/>
              </w:rPr>
            </w:pPr>
            <w:r>
              <w:rPr>
                <w:rFonts w:ascii="Arial" w:cs="Arial" w:eastAsia="Arial" w:hAnsi="Arial"/>
                <w:sz w:val="14"/>
                <w:szCs w:val="14"/>
                <w:color w:val="auto"/>
                <w:w w:val="94"/>
              </w:rPr>
              <w:t>First Lien Term Loan 10.25% Cash, 8/25/2019</w:t>
            </w:r>
          </w:p>
        </w:tc>
        <w:tc>
          <w:tcPr>
            <w:tcW w:w="1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4,475,000</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4,433,897</w:t>
            </w:r>
          </w:p>
        </w:tc>
        <w:tc>
          <w:tcPr>
            <w:tcW w:w="1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4,475,000</w:t>
            </w:r>
          </w:p>
        </w:tc>
        <w:tc>
          <w:tcPr>
            <w:tcW w:w="200" w:type="dxa"/>
            <w:vAlign w:val="bottom"/>
          </w:tcPr>
          <w:p>
            <w:pPr>
              <w:spacing w:after="0"/>
              <w:rPr>
                <w:sz w:val="12"/>
                <w:szCs w:val="12"/>
                <w:color w:val="auto"/>
              </w:rPr>
            </w:pPr>
          </w:p>
        </w:tc>
        <w:tc>
          <w:tcPr>
            <w:tcW w:w="5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3.7%</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3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Pen-Link, Ltd. (d)</w:t>
            </w:r>
          </w:p>
        </w:tc>
        <w:tc>
          <w:tcPr>
            <w:tcW w:w="1720" w:type="dxa"/>
            <w:vAlign w:val="bottom"/>
            <w:shd w:val="clear" w:color="auto" w:fill="CCEEFF"/>
          </w:tcPr>
          <w:p>
            <w:pPr>
              <w:ind w:left="360"/>
              <w:spacing w:after="0" w:line="130" w:lineRule="exact"/>
              <w:rPr>
                <w:sz w:val="20"/>
                <w:szCs w:val="20"/>
                <w:color w:val="auto"/>
              </w:rPr>
            </w:pPr>
            <w:r>
              <w:rPr>
                <w:rFonts w:ascii="Arial" w:cs="Arial" w:eastAsia="Arial" w:hAnsi="Arial"/>
                <w:sz w:val="14"/>
                <w:szCs w:val="14"/>
                <w:color w:val="auto"/>
                <w:w w:val="98"/>
              </w:rPr>
              <w:t>Software as a Service</w:t>
            </w:r>
          </w:p>
        </w:tc>
        <w:tc>
          <w:tcPr>
            <w:tcW w:w="2860" w:type="dxa"/>
            <w:vAlign w:val="bottom"/>
            <w:shd w:val="clear" w:color="auto" w:fill="CCEEFF"/>
          </w:tcPr>
          <w:p>
            <w:pPr>
              <w:ind w:left="120"/>
              <w:spacing w:after="0" w:line="130" w:lineRule="exact"/>
              <w:rPr>
                <w:sz w:val="20"/>
                <w:szCs w:val="20"/>
                <w:color w:val="auto"/>
              </w:rPr>
            </w:pPr>
            <w:r>
              <w:rPr>
                <w:rFonts w:ascii="Arial" w:cs="Arial" w:eastAsia="Arial" w:hAnsi="Arial"/>
                <w:sz w:val="14"/>
                <w:szCs w:val="14"/>
                <w:color w:val="auto"/>
              </w:rPr>
              <w:t>Second Lien Term Loan 12.50% Cash,</w:t>
            </w:r>
          </w:p>
        </w:tc>
        <w:tc>
          <w:tcPr>
            <w:tcW w:w="1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380" w:type="dxa"/>
            <w:vAlign w:val="bottom"/>
            <w:shd w:val="clear" w:color="auto" w:fill="CCEEFF"/>
          </w:tcPr>
          <w:p>
            <w:pPr>
              <w:spacing w:after="0"/>
              <w:rPr>
                <w:sz w:val="14"/>
                <w:szCs w:val="14"/>
                <w:color w:val="auto"/>
              </w:rPr>
            </w:pPr>
          </w:p>
        </w:tc>
        <w:tc>
          <w:tcPr>
            <w:tcW w:w="1720" w:type="dxa"/>
            <w:vAlign w:val="bottom"/>
            <w:shd w:val="clear" w:color="auto" w:fill="CCEEFF"/>
          </w:tcPr>
          <w:p>
            <w:pPr>
              <w:spacing w:after="0"/>
              <w:rPr>
                <w:sz w:val="14"/>
                <w:szCs w:val="14"/>
                <w:color w:val="auto"/>
              </w:rPr>
            </w:pPr>
          </w:p>
        </w:tc>
        <w:tc>
          <w:tcPr>
            <w:tcW w:w="28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5/26/2019</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w w:val="91"/>
              </w:rPr>
              <w:t>10,500,000</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10,326,376</w:t>
            </w: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10,500,000</w:t>
            </w:r>
          </w:p>
        </w:tc>
        <w:tc>
          <w:tcPr>
            <w:tcW w:w="20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8.6%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860" w:type="dxa"/>
            <w:vAlign w:val="bottom"/>
            <w:vMerge w:val="restart"/>
          </w:tcPr>
          <w:p>
            <w:pPr>
              <w:jc w:val="right"/>
              <w:spacing w:after="0"/>
              <w:rPr>
                <w:sz w:val="20"/>
                <w:szCs w:val="20"/>
                <w:color w:val="auto"/>
              </w:rPr>
            </w:pPr>
            <w:r>
              <w:rPr>
                <w:rFonts w:ascii="Arial" w:cs="Arial" w:eastAsia="Arial" w:hAnsi="Arial"/>
                <w:sz w:val="14"/>
                <w:szCs w:val="14"/>
                <w:color w:val="auto"/>
              </w:rPr>
              <w:t>Total Software as a Service</w:t>
            </w: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338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286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80" w:type="dxa"/>
            <w:vAlign w:val="bottom"/>
          </w:tcPr>
          <w:p>
            <w:pPr>
              <w:jc w:val="right"/>
              <w:spacing w:after="0" w:line="155" w:lineRule="exact"/>
              <w:rPr>
                <w:sz w:val="20"/>
                <w:szCs w:val="20"/>
                <w:color w:val="auto"/>
              </w:rPr>
            </w:pPr>
            <w:r>
              <w:rPr>
                <w:rFonts w:ascii="Arial" w:cs="Arial" w:eastAsia="Arial" w:hAnsi="Arial"/>
                <w:sz w:val="14"/>
                <w:szCs w:val="14"/>
                <w:color w:val="auto"/>
              </w:rPr>
              <w:t>52,994,749</w:t>
            </w:r>
          </w:p>
        </w:tc>
        <w:tc>
          <w:tcPr>
            <w:tcW w:w="180" w:type="dxa"/>
            <w:vAlign w:val="bottom"/>
          </w:tcPr>
          <w:p>
            <w:pPr>
              <w:spacing w:after="0"/>
              <w:rPr>
                <w:sz w:val="13"/>
                <w:szCs w:val="13"/>
                <w:color w:val="auto"/>
              </w:rPr>
            </w:pPr>
          </w:p>
        </w:tc>
        <w:tc>
          <w:tcPr>
            <w:tcW w:w="780" w:type="dxa"/>
            <w:vAlign w:val="bottom"/>
          </w:tcPr>
          <w:p>
            <w:pPr>
              <w:jc w:val="right"/>
              <w:spacing w:after="0" w:line="155" w:lineRule="exact"/>
              <w:rPr>
                <w:sz w:val="20"/>
                <w:szCs w:val="20"/>
                <w:color w:val="auto"/>
              </w:rPr>
            </w:pPr>
            <w:r>
              <w:rPr>
                <w:rFonts w:ascii="Arial" w:cs="Arial" w:eastAsia="Arial" w:hAnsi="Arial"/>
                <w:sz w:val="14"/>
                <w:szCs w:val="14"/>
                <w:color w:val="auto"/>
              </w:rPr>
              <w:t>53,525,044</w:t>
            </w:r>
          </w:p>
        </w:tc>
        <w:tc>
          <w:tcPr>
            <w:tcW w:w="200" w:type="dxa"/>
            <w:vAlign w:val="bottom"/>
          </w:tcPr>
          <w:p>
            <w:pPr>
              <w:spacing w:after="0"/>
              <w:rPr>
                <w:sz w:val="13"/>
                <w:szCs w:val="13"/>
                <w:color w:val="auto"/>
              </w:rPr>
            </w:pPr>
          </w:p>
        </w:tc>
        <w:tc>
          <w:tcPr>
            <w:tcW w:w="52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43.6%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3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2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33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Sub Total Non-control/Non-affiliated investments</w:t>
            </w:r>
          </w:p>
        </w:tc>
        <w:tc>
          <w:tcPr>
            <w:tcW w:w="1720" w:type="dxa"/>
            <w:vAlign w:val="bottom"/>
            <w:shd w:val="clear" w:color="auto" w:fill="CCEEFF"/>
          </w:tcPr>
          <w:p>
            <w:pPr>
              <w:spacing w:after="0"/>
              <w:rPr>
                <w:sz w:val="12"/>
                <w:szCs w:val="12"/>
                <w:color w:val="auto"/>
              </w:rPr>
            </w:pPr>
          </w:p>
        </w:tc>
        <w:tc>
          <w:tcPr>
            <w:tcW w:w="28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222,505,383</w:t>
            </w: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223,506,589</w:t>
            </w:r>
          </w:p>
        </w:tc>
        <w:tc>
          <w:tcPr>
            <w:tcW w:w="20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96"/>
              </w:rPr>
              <w:t>182.3%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Control investments - 13.9% (b)</w:t>
            </w:r>
          </w:p>
        </w:tc>
        <w:tc>
          <w:tcPr>
            <w:tcW w:w="1080" w:type="dxa"/>
            <w:vAlign w:val="bottom"/>
            <w:shd w:val="clear" w:color="auto" w:fill="CCEEFF"/>
          </w:tcPr>
          <w:p>
            <w:pPr>
              <w:spacing w:after="0"/>
              <w:rPr>
                <w:sz w:val="14"/>
                <w:szCs w:val="14"/>
                <w:color w:val="auto"/>
              </w:rPr>
            </w:pPr>
          </w:p>
        </w:tc>
        <w:tc>
          <w:tcPr>
            <w:tcW w:w="3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900" w:type="dxa"/>
            <w:vAlign w:val="bottom"/>
          </w:tcPr>
          <w:p>
            <w:pPr>
              <w:spacing w:after="0" w:line="130" w:lineRule="exact"/>
              <w:rPr>
                <w:sz w:val="20"/>
                <w:szCs w:val="20"/>
                <w:color w:val="auto"/>
              </w:rPr>
            </w:pPr>
            <w:r>
              <w:rPr>
                <w:rFonts w:ascii="Arial" w:cs="Arial" w:eastAsia="Arial" w:hAnsi="Arial"/>
                <w:sz w:val="14"/>
                <w:szCs w:val="14"/>
                <w:color w:val="auto"/>
              </w:rPr>
              <w:t>Saratoga Investment Corp. CLO 2013-1, Ltd. (a), (d), (e), (f)</w:t>
            </w:r>
          </w:p>
        </w:tc>
        <w:tc>
          <w:tcPr>
            <w:tcW w:w="1080" w:type="dxa"/>
            <w:vAlign w:val="bottom"/>
          </w:tcPr>
          <w:p>
            <w:pPr>
              <w:ind w:left="400"/>
              <w:spacing w:after="0" w:line="130" w:lineRule="exact"/>
              <w:rPr>
                <w:sz w:val="20"/>
                <w:szCs w:val="20"/>
                <w:color w:val="auto"/>
              </w:rPr>
            </w:pPr>
            <w:r>
              <w:rPr>
                <w:rFonts w:ascii="Arial" w:cs="Arial" w:eastAsia="Arial" w:hAnsi="Arial"/>
                <w:sz w:val="14"/>
                <w:szCs w:val="14"/>
                <w:color w:val="auto"/>
              </w:rPr>
              <w:t>Structured</w:t>
            </w:r>
          </w:p>
        </w:tc>
        <w:tc>
          <w:tcPr>
            <w:tcW w:w="3920" w:type="dxa"/>
            <w:vAlign w:val="bottom"/>
            <w:gridSpan w:val="2"/>
          </w:tcPr>
          <w:p>
            <w:pPr>
              <w:ind w:left="100"/>
              <w:spacing w:after="0" w:line="130" w:lineRule="exact"/>
              <w:rPr>
                <w:sz w:val="20"/>
                <w:szCs w:val="20"/>
                <w:color w:val="auto"/>
              </w:rPr>
            </w:pPr>
            <w:r>
              <w:rPr>
                <w:rFonts w:ascii="Arial" w:cs="Arial" w:eastAsia="Arial" w:hAnsi="Arial"/>
                <w:sz w:val="14"/>
                <w:szCs w:val="14"/>
                <w:color w:val="auto"/>
              </w:rPr>
              <w:t>Other/Structured Finance Securities 14.32%,</w:t>
            </w: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1080" w:type="dxa"/>
            <w:vAlign w:val="bottom"/>
          </w:tcPr>
          <w:p>
            <w:pPr>
              <w:ind w:left="400"/>
              <w:spacing w:after="0" w:line="149" w:lineRule="exact"/>
              <w:rPr>
                <w:sz w:val="20"/>
                <w:szCs w:val="20"/>
                <w:color w:val="auto"/>
              </w:rPr>
            </w:pPr>
            <w:r>
              <w:rPr>
                <w:rFonts w:ascii="Arial" w:cs="Arial" w:eastAsia="Arial" w:hAnsi="Arial"/>
                <w:sz w:val="14"/>
                <w:szCs w:val="14"/>
                <w:color w:val="auto"/>
              </w:rPr>
              <w:t>Finance</w:t>
            </w:r>
          </w:p>
        </w:tc>
        <w:tc>
          <w:tcPr>
            <w:tcW w:w="3800" w:type="dxa"/>
            <w:vAlign w:val="bottom"/>
          </w:tcPr>
          <w:p>
            <w:pPr>
              <w:ind w:left="100"/>
              <w:spacing w:after="0" w:line="149" w:lineRule="exact"/>
              <w:rPr>
                <w:sz w:val="20"/>
                <w:szCs w:val="20"/>
                <w:color w:val="auto"/>
              </w:rPr>
            </w:pPr>
            <w:r>
              <w:rPr>
                <w:rFonts w:ascii="Arial" w:cs="Arial" w:eastAsia="Arial" w:hAnsi="Arial"/>
                <w:sz w:val="14"/>
                <w:szCs w:val="14"/>
                <w:color w:val="auto"/>
              </w:rPr>
              <w:t>10/17/2023</w:t>
            </w: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1080" w:type="dxa"/>
            <w:vAlign w:val="bottom"/>
          </w:tcPr>
          <w:p>
            <w:pPr>
              <w:ind w:left="400"/>
              <w:spacing w:after="0"/>
              <w:rPr>
                <w:sz w:val="20"/>
                <w:szCs w:val="20"/>
                <w:color w:val="auto"/>
              </w:rPr>
            </w:pPr>
            <w:r>
              <w:rPr>
                <w:rFonts w:ascii="Arial" w:cs="Arial" w:eastAsia="Arial" w:hAnsi="Arial"/>
                <w:sz w:val="14"/>
                <w:szCs w:val="14"/>
                <w:color w:val="auto"/>
              </w:rPr>
              <w:t>Securities</w:t>
            </w:r>
          </w:p>
        </w:tc>
        <w:tc>
          <w:tcPr>
            <w:tcW w:w="3800" w:type="dxa"/>
            <w:vAlign w:val="bottom"/>
          </w:tcPr>
          <w:p>
            <w:pPr>
              <w:jc w:val="right"/>
              <w:ind w:right="108"/>
              <w:spacing w:after="0"/>
              <w:rPr>
                <w:sz w:val="20"/>
                <w:szCs w:val="20"/>
                <w:color w:val="auto"/>
              </w:rPr>
            </w:pPr>
            <w:r>
              <w:rPr>
                <w:rFonts w:ascii="Arial" w:cs="Arial" w:eastAsia="Arial" w:hAnsi="Arial"/>
                <w:sz w:val="14"/>
                <w:szCs w:val="14"/>
                <w:color w:val="auto"/>
              </w:rPr>
              <w:t>$30,000,000</w:t>
            </w: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15,953,001</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17,031,146</w:t>
            </w:r>
          </w:p>
        </w:tc>
        <w:tc>
          <w:tcPr>
            <w:tcW w:w="180" w:type="dxa"/>
            <w:vAlign w:val="bottom"/>
          </w:tcPr>
          <w:p>
            <w:pPr>
              <w:spacing w:after="0"/>
              <w:rPr>
                <w:sz w:val="14"/>
                <w:szCs w:val="14"/>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4"/>
                <w:szCs w:val="14"/>
                <w:color w:val="auto"/>
              </w:rPr>
              <w:t>13.9%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9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8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39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Sub Total Control investments</w:t>
            </w:r>
          </w:p>
        </w:tc>
        <w:tc>
          <w:tcPr>
            <w:tcW w:w="1080" w:type="dxa"/>
            <w:vAlign w:val="bottom"/>
            <w:shd w:val="clear" w:color="auto" w:fill="CCEEFF"/>
          </w:tcPr>
          <w:p>
            <w:pPr>
              <w:spacing w:after="0"/>
              <w:rPr>
                <w:sz w:val="12"/>
                <w:szCs w:val="12"/>
                <w:color w:val="auto"/>
              </w:rPr>
            </w:pPr>
          </w:p>
        </w:tc>
        <w:tc>
          <w:tcPr>
            <w:tcW w:w="3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15,953,001</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17,031,146</w:t>
            </w:r>
          </w:p>
        </w:tc>
        <w:tc>
          <w:tcPr>
            <w:tcW w:w="1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13.9%</w:t>
            </w:r>
          </w:p>
        </w:tc>
        <w:tc>
          <w:tcPr>
            <w:tcW w:w="0" w:type="dxa"/>
            <w:vAlign w:val="bottom"/>
          </w:tcPr>
          <w:p>
            <w:pPr>
              <w:spacing w:after="0"/>
              <w:rPr>
                <w:sz w:val="1"/>
                <w:szCs w:val="1"/>
                <w:color w:val="auto"/>
              </w:rPr>
            </w:pPr>
          </w:p>
        </w:tc>
      </w:tr>
      <w:tr>
        <w:trPr>
          <w:trHeight w:val="20"/>
        </w:trPr>
        <w:tc>
          <w:tcPr>
            <w:tcW w:w="39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TOTAL INVESTMENTS - 196.2% (b)</w:t>
            </w:r>
          </w:p>
        </w:tc>
        <w:tc>
          <w:tcPr>
            <w:tcW w:w="1080" w:type="dxa"/>
            <w:vAlign w:val="bottom"/>
          </w:tcPr>
          <w:p>
            <w:pPr>
              <w:spacing w:after="0" w:line="20" w:lineRule="exact"/>
              <w:rPr>
                <w:sz w:val="1"/>
                <w:szCs w:val="1"/>
                <w:color w:val="auto"/>
              </w:rPr>
            </w:pPr>
          </w:p>
        </w:tc>
        <w:tc>
          <w:tcPr>
            <w:tcW w:w="380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920" w:type="dxa"/>
            <w:vAlign w:val="bottom"/>
            <w:gridSpan w:val="2"/>
            <w:vMerge w:val="continue"/>
          </w:tcPr>
          <w:p>
            <w:pPr>
              <w:spacing w:after="0"/>
              <w:rPr>
                <w:sz w:val="13"/>
                <w:szCs w:val="13"/>
                <w:color w:val="auto"/>
              </w:rPr>
            </w:pPr>
          </w:p>
        </w:tc>
        <w:tc>
          <w:tcPr>
            <w:tcW w:w="1080" w:type="dxa"/>
            <w:vAlign w:val="bottom"/>
          </w:tcPr>
          <w:p>
            <w:pPr>
              <w:spacing w:after="0"/>
              <w:rPr>
                <w:sz w:val="13"/>
                <w:szCs w:val="13"/>
                <w:color w:val="auto"/>
              </w:rPr>
            </w:pPr>
          </w:p>
        </w:tc>
        <w:tc>
          <w:tcPr>
            <w:tcW w:w="3800" w:type="dxa"/>
            <w:vAlign w:val="bottom"/>
            <w:vMerge w:val="continue"/>
          </w:tcPr>
          <w:p>
            <w:pPr>
              <w:spacing w:after="0"/>
              <w:rPr>
                <w:sz w:val="13"/>
                <w:szCs w:val="13"/>
                <w:color w:val="auto"/>
              </w:rPr>
            </w:pPr>
          </w:p>
        </w:tc>
        <w:tc>
          <w:tcPr>
            <w:tcW w:w="120" w:type="dxa"/>
            <w:vAlign w:val="bottom"/>
          </w:tcPr>
          <w:p>
            <w:pPr>
              <w:jc w:val="right"/>
              <w:spacing w:after="0" w:line="155" w:lineRule="exact"/>
              <w:rPr>
                <w:sz w:val="20"/>
                <w:szCs w:val="20"/>
                <w:color w:val="auto"/>
              </w:rPr>
            </w:pPr>
            <w:r>
              <w:rPr>
                <w:rFonts w:ascii="Arial" w:cs="Arial" w:eastAsia="Arial" w:hAnsi="Arial"/>
                <w:sz w:val="14"/>
                <w:szCs w:val="14"/>
                <w:b w:val="1"/>
                <w:bCs w:val="1"/>
                <w:color w:val="auto"/>
                <w:w w:val="76"/>
              </w:rPr>
              <w:t>$</w:t>
            </w:r>
          </w:p>
        </w:tc>
        <w:tc>
          <w:tcPr>
            <w:tcW w:w="760" w:type="dxa"/>
            <w:vAlign w:val="bottom"/>
          </w:tcPr>
          <w:p>
            <w:pPr>
              <w:jc w:val="right"/>
              <w:spacing w:after="0" w:line="155" w:lineRule="exact"/>
              <w:rPr>
                <w:sz w:val="20"/>
                <w:szCs w:val="20"/>
                <w:color w:val="auto"/>
              </w:rPr>
            </w:pPr>
            <w:r>
              <w:rPr>
                <w:rFonts w:ascii="Arial" w:cs="Arial" w:eastAsia="Arial" w:hAnsi="Arial"/>
                <w:sz w:val="14"/>
                <w:szCs w:val="14"/>
                <w:b w:val="1"/>
                <w:bCs w:val="1"/>
                <w:color w:val="auto"/>
                <w:w w:val="95"/>
              </w:rPr>
              <w:t>238,458,384</w:t>
            </w:r>
          </w:p>
        </w:tc>
        <w:tc>
          <w:tcPr>
            <w:tcW w:w="20" w:type="dxa"/>
            <w:vAlign w:val="bottom"/>
            <w:vMerge w:val="continue"/>
          </w:tcPr>
          <w:p>
            <w:pPr>
              <w:spacing w:after="0"/>
              <w:rPr>
                <w:sz w:val="13"/>
                <w:szCs w:val="13"/>
                <w:color w:val="auto"/>
              </w:rPr>
            </w:pPr>
          </w:p>
        </w:tc>
        <w:tc>
          <w:tcPr>
            <w:tcW w:w="160" w:type="dxa"/>
            <w:vAlign w:val="bottom"/>
            <w:vMerge w:val="continue"/>
          </w:tcPr>
          <w:p>
            <w:pPr>
              <w:spacing w:after="0"/>
              <w:rPr>
                <w:sz w:val="13"/>
                <w:szCs w:val="13"/>
                <w:color w:val="auto"/>
              </w:rPr>
            </w:pPr>
          </w:p>
        </w:tc>
        <w:tc>
          <w:tcPr>
            <w:tcW w:w="820" w:type="dxa"/>
            <w:vAlign w:val="bottom"/>
          </w:tcPr>
          <w:p>
            <w:pPr>
              <w:jc w:val="right"/>
              <w:spacing w:after="0" w:line="155" w:lineRule="exact"/>
              <w:rPr>
                <w:sz w:val="20"/>
                <w:szCs w:val="20"/>
                <w:color w:val="auto"/>
              </w:rPr>
            </w:pPr>
            <w:r>
              <w:rPr>
                <w:rFonts w:ascii="Arial" w:cs="Arial" w:eastAsia="Arial" w:hAnsi="Arial"/>
                <w:sz w:val="14"/>
                <w:szCs w:val="14"/>
                <w:b w:val="1"/>
                <w:bCs w:val="1"/>
                <w:u w:val="single" w:color="auto"/>
                <w:color w:val="auto"/>
                <w:w w:val="89"/>
              </w:rPr>
              <w:t>$</w:t>
            </w:r>
            <w:r>
              <w:rPr>
                <w:rFonts w:ascii="Arial" w:cs="Arial" w:eastAsia="Arial" w:hAnsi="Arial"/>
                <w:sz w:val="14"/>
                <w:szCs w:val="14"/>
                <w:b w:val="1"/>
                <w:bCs w:val="1"/>
                <w:color w:val="auto"/>
                <w:w w:val="89"/>
              </w:rPr>
              <w:t xml:space="preserve"> 240,537,735</w:t>
            </w:r>
          </w:p>
        </w:tc>
        <w:tc>
          <w:tcPr>
            <w:tcW w:w="180" w:type="dxa"/>
            <w:vAlign w:val="bottom"/>
            <w:vMerge w:val="continue"/>
          </w:tcPr>
          <w:p>
            <w:pPr>
              <w:spacing w:after="0"/>
              <w:rPr>
                <w:sz w:val="13"/>
                <w:szCs w:val="13"/>
                <w:color w:val="auto"/>
              </w:rPr>
            </w:pPr>
          </w:p>
        </w:tc>
        <w:tc>
          <w:tcPr>
            <w:tcW w:w="560" w:type="dxa"/>
            <w:vAlign w:val="bottom"/>
            <w:gridSpan w:val="2"/>
          </w:tcPr>
          <w:p>
            <w:pPr>
              <w:jc w:val="right"/>
              <w:ind w:right="40"/>
              <w:spacing w:after="0" w:line="155" w:lineRule="exact"/>
              <w:rPr>
                <w:sz w:val="20"/>
                <w:szCs w:val="20"/>
                <w:color w:val="auto"/>
              </w:rPr>
            </w:pPr>
            <w:r>
              <w:rPr>
                <w:rFonts w:ascii="Arial" w:cs="Arial" w:eastAsia="Arial" w:hAnsi="Arial"/>
                <w:sz w:val="14"/>
                <w:szCs w:val="14"/>
                <w:b w:val="1"/>
                <w:bCs w:val="1"/>
                <w:color w:val="auto"/>
              </w:rPr>
              <w:t>196.2%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jc w:val="right"/>
              <w:ind w:right="188"/>
              <w:spacing w:after="0"/>
              <w:rPr>
                <w:sz w:val="20"/>
                <w:szCs w:val="20"/>
                <w:color w:val="auto"/>
              </w:rPr>
            </w:pPr>
            <w:r>
              <w:rPr>
                <w:rFonts w:ascii="Arial" w:cs="Arial" w:eastAsia="Arial" w:hAnsi="Arial"/>
                <w:sz w:val="14"/>
                <w:szCs w:val="14"/>
                <w:b w:val="1"/>
                <w:bCs w:val="1"/>
                <w:color w:val="auto"/>
              </w:rPr>
              <w:t>Principal/</w:t>
            </w:r>
          </w:p>
        </w:tc>
        <w:tc>
          <w:tcPr>
            <w:tcW w:w="260" w:type="dxa"/>
            <w:vAlign w:val="bottom"/>
          </w:tcPr>
          <w:p>
            <w:pPr>
              <w:spacing w:after="0"/>
              <w:rPr>
                <w:sz w:val="14"/>
                <w:szCs w:val="14"/>
                <w:color w:val="auto"/>
              </w:rPr>
            </w:pPr>
          </w:p>
        </w:tc>
        <w:tc>
          <w:tcPr>
            <w:tcW w:w="7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Cost</w:t>
            </w:r>
          </w:p>
        </w:tc>
        <w:tc>
          <w:tcPr>
            <w:tcW w:w="260" w:type="dxa"/>
            <w:vAlign w:val="bottom"/>
          </w:tcPr>
          <w:p>
            <w:pPr>
              <w:spacing w:after="0"/>
              <w:rPr>
                <w:sz w:val="14"/>
                <w:szCs w:val="14"/>
                <w:color w:val="auto"/>
              </w:rPr>
            </w:pPr>
          </w:p>
        </w:tc>
        <w:tc>
          <w:tcPr>
            <w:tcW w:w="84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3"/>
              </w:rPr>
              <w:t>Fair Value (c)</w:t>
            </w:r>
          </w:p>
        </w:tc>
        <w:tc>
          <w:tcPr>
            <w:tcW w:w="280" w:type="dxa"/>
            <w:vAlign w:val="bottom"/>
          </w:tcPr>
          <w:p>
            <w:pPr>
              <w:spacing w:after="0"/>
              <w:rPr>
                <w:sz w:val="14"/>
                <w:szCs w:val="14"/>
                <w:color w:val="auto"/>
              </w:rPr>
            </w:pPr>
          </w:p>
        </w:tc>
        <w:tc>
          <w:tcPr>
            <w:tcW w:w="8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0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20" w:type="dxa"/>
            <w:vAlign w:val="bottom"/>
            <w:gridSpan w:val="2"/>
          </w:tcPr>
          <w:p>
            <w:pPr>
              <w:spacing w:after="0"/>
              <w:rPr>
                <w:sz w:val="20"/>
                <w:szCs w:val="20"/>
                <w:color w:val="auto"/>
              </w:rPr>
            </w:pPr>
            <w:r>
              <w:rPr>
                <w:rFonts w:ascii="Arial" w:cs="Arial" w:eastAsia="Arial" w:hAnsi="Arial"/>
                <w:sz w:val="14"/>
                <w:szCs w:val="14"/>
                <w:b w:val="1"/>
                <w:bCs w:val="1"/>
                <w:color w:val="auto"/>
                <w:w w:val="91"/>
              </w:rPr>
              <w:t>Number of Shares</w:t>
            </w:r>
          </w:p>
        </w:tc>
        <w:tc>
          <w:tcPr>
            <w:tcW w:w="26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5"/>
              </w:rPr>
              <w:t>Net Assets</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080" w:type="dxa"/>
            <w:vAlign w:val="bottom"/>
            <w:tcBorders>
              <w:top w:val="single" w:sz="8" w:color="CCEEFF"/>
            </w:tcBorders>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Cash and cash equivalents and cash and cash equivalents, reserve accounts - 16.4%</w:t>
            </w:r>
          </w:p>
        </w:tc>
        <w:tc>
          <w:tcPr>
            <w:tcW w:w="100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960" w:type="dxa"/>
            <w:vAlign w:val="bottom"/>
            <w:tcBorders>
              <w:top w:val="single" w:sz="8" w:color="auto"/>
            </w:tcBorders>
            <w:shd w:val="clear" w:color="auto" w:fill="CCEEFF"/>
          </w:tcPr>
          <w:p>
            <w:pPr>
              <w:spacing w:after="0"/>
              <w:rPr>
                <w:sz w:val="11"/>
                <w:szCs w:val="11"/>
                <w:color w:val="auto"/>
              </w:rPr>
            </w:pPr>
          </w:p>
        </w:tc>
        <w:tc>
          <w:tcPr>
            <w:tcW w:w="260" w:type="dxa"/>
            <w:vAlign w:val="bottom"/>
            <w:tcBorders>
              <w:top w:val="single" w:sz="8" w:color="CCEEFF"/>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26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280" w:type="dxa"/>
            <w:vAlign w:val="bottom"/>
            <w:tcBorders>
              <w:top w:val="single" w:sz="8" w:color="CCEEFF"/>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80" w:type="dxa"/>
            <w:vAlign w:val="bottom"/>
          </w:tcPr>
          <w:p>
            <w:pPr>
              <w:spacing w:after="0" w:line="149" w:lineRule="exact"/>
              <w:rPr>
                <w:sz w:val="20"/>
                <w:szCs w:val="20"/>
                <w:color w:val="auto"/>
              </w:rPr>
            </w:pPr>
            <w:r>
              <w:rPr>
                <w:rFonts w:ascii="Arial" w:cs="Arial" w:eastAsia="Arial" w:hAnsi="Arial"/>
                <w:sz w:val="14"/>
                <w:szCs w:val="14"/>
                <w:color w:val="auto"/>
              </w:rPr>
              <w:t>U.S. Bank Money Market (m)</w:t>
            </w:r>
          </w:p>
        </w:tc>
        <w:tc>
          <w:tcPr>
            <w:tcW w:w="1160" w:type="dxa"/>
            <w:vAlign w:val="bottom"/>
            <w:gridSpan w:val="2"/>
          </w:tcPr>
          <w:p>
            <w:pPr>
              <w:ind w:left="1000"/>
              <w:spacing w:after="0" w:line="149" w:lineRule="exact"/>
              <w:rPr>
                <w:sz w:val="20"/>
                <w:szCs w:val="20"/>
                <w:color w:val="auto"/>
              </w:rPr>
            </w:pPr>
            <w:r>
              <w:rPr>
                <w:rFonts w:ascii="Arial" w:cs="Arial" w:eastAsia="Arial" w:hAnsi="Arial"/>
                <w:sz w:val="14"/>
                <w:szCs w:val="14"/>
                <w:color w:val="auto"/>
              </w:rPr>
              <w:t>$</w:t>
            </w: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20,063,372</w:t>
            </w:r>
          </w:p>
        </w:tc>
        <w:tc>
          <w:tcPr>
            <w:tcW w:w="1000" w:type="dxa"/>
            <w:vAlign w:val="bottom"/>
            <w:gridSpan w:val="2"/>
          </w:tcPr>
          <w:p>
            <w:pPr>
              <w:jc w:val="center"/>
              <w:ind w:left="188"/>
              <w:spacing w:after="0" w:line="149" w:lineRule="exact"/>
              <w:rPr>
                <w:sz w:val="20"/>
                <w:szCs w:val="20"/>
                <w:color w:val="auto"/>
              </w:rPr>
            </w:pPr>
            <w:r>
              <w:rPr>
                <w:rFonts w:ascii="Arial" w:cs="Arial" w:eastAsia="Arial" w:hAnsi="Arial"/>
                <w:sz w:val="14"/>
                <w:szCs w:val="14"/>
                <w:u w:val="single" w:color="auto"/>
                <w:color w:val="auto"/>
                <w:w w:val="95"/>
              </w:rPr>
              <w:t>$</w:t>
            </w:r>
            <w:r>
              <w:rPr>
                <w:rFonts w:ascii="Arial" w:cs="Arial" w:eastAsia="Arial" w:hAnsi="Arial"/>
                <w:sz w:val="14"/>
                <w:szCs w:val="14"/>
                <w:color w:val="auto"/>
                <w:w w:val="95"/>
              </w:rPr>
              <w:t>20,063,372</w:t>
            </w:r>
          </w:p>
        </w:tc>
        <w:tc>
          <w:tcPr>
            <w:tcW w:w="400" w:type="dxa"/>
            <w:vAlign w:val="bottom"/>
            <w:gridSpan w:val="2"/>
          </w:tcPr>
          <w:p>
            <w:pPr>
              <w:ind w:left="260"/>
              <w:spacing w:after="0" w:line="149" w:lineRule="exact"/>
              <w:rPr>
                <w:sz w:val="20"/>
                <w:szCs w:val="20"/>
                <w:color w:val="auto"/>
              </w:rPr>
            </w:pPr>
            <w:r>
              <w:rPr>
                <w:rFonts w:ascii="Arial" w:cs="Arial" w:eastAsia="Arial" w:hAnsi="Arial"/>
                <w:sz w:val="14"/>
                <w:szCs w:val="14"/>
                <w:color w:val="auto"/>
              </w:rPr>
              <w:t>$</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w w:val="96"/>
              </w:rPr>
              <w:t>20,063,372</w:t>
            </w:r>
          </w:p>
        </w:tc>
        <w:tc>
          <w:tcPr>
            <w:tcW w:w="1100" w:type="dxa"/>
            <w:vAlign w:val="bottom"/>
            <w:gridSpan w:val="3"/>
          </w:tcPr>
          <w:p>
            <w:pPr>
              <w:ind w:left="660"/>
              <w:spacing w:after="0" w:line="149" w:lineRule="exact"/>
              <w:rPr>
                <w:sz w:val="20"/>
                <w:szCs w:val="20"/>
                <w:color w:val="auto"/>
              </w:rPr>
            </w:pPr>
            <w:r>
              <w:rPr>
                <w:rFonts w:ascii="Arial" w:cs="Arial" w:eastAsia="Arial" w:hAnsi="Arial"/>
                <w:sz w:val="14"/>
                <w:szCs w:val="14"/>
                <w:color w:val="auto"/>
              </w:rPr>
              <w:t>16.4%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0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60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cash and cash equivalents and cash and cash equivalents, reserve accounts</w:t>
            </w:r>
          </w:p>
        </w:tc>
        <w:tc>
          <w:tcPr>
            <w:tcW w:w="1160" w:type="dxa"/>
            <w:vAlign w:val="bottom"/>
            <w:gridSpan w:val="2"/>
            <w:shd w:val="clear" w:color="auto" w:fill="CCEEFF"/>
          </w:tcPr>
          <w:p>
            <w:pPr>
              <w:ind w:left="1000"/>
              <w:spacing w:after="0" w:line="149" w:lineRule="exact"/>
              <w:rPr>
                <w:sz w:val="20"/>
                <w:szCs w:val="20"/>
                <w:color w:val="auto"/>
              </w:rPr>
            </w:pPr>
            <w:r>
              <w:rPr>
                <w:rFonts w:ascii="Arial" w:cs="Arial" w:eastAsia="Arial" w:hAnsi="Arial"/>
                <w:sz w:val="14"/>
                <w:szCs w:val="14"/>
                <w:b w:val="1"/>
                <w:bCs w:val="1"/>
                <w:color w:val="auto"/>
              </w:rPr>
              <w:t>$</w:t>
            </w: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20,063,372</w:t>
            </w:r>
          </w:p>
        </w:tc>
        <w:tc>
          <w:tcPr>
            <w:tcW w:w="1000" w:type="dxa"/>
            <w:vAlign w:val="bottom"/>
            <w:gridSpan w:val="2"/>
            <w:shd w:val="clear" w:color="auto" w:fill="CCEEFF"/>
          </w:tcPr>
          <w:p>
            <w:pPr>
              <w:jc w:val="center"/>
              <w:ind w:left="188"/>
              <w:spacing w:after="0" w:line="149" w:lineRule="exact"/>
              <w:rPr>
                <w:sz w:val="20"/>
                <w:szCs w:val="20"/>
                <w:color w:val="auto"/>
              </w:rPr>
            </w:pPr>
            <w:r>
              <w:rPr>
                <w:rFonts w:ascii="Arial" w:cs="Arial" w:eastAsia="Arial" w:hAnsi="Arial"/>
                <w:sz w:val="14"/>
                <w:szCs w:val="14"/>
                <w:b w:val="1"/>
                <w:bCs w:val="1"/>
                <w:u w:val="single" w:color="auto"/>
                <w:color w:val="auto"/>
                <w:w w:val="95"/>
              </w:rPr>
              <w:t>$</w:t>
            </w:r>
            <w:r>
              <w:rPr>
                <w:rFonts w:ascii="Arial" w:cs="Arial" w:eastAsia="Arial" w:hAnsi="Arial"/>
                <w:sz w:val="14"/>
                <w:szCs w:val="14"/>
                <w:b w:val="1"/>
                <w:bCs w:val="1"/>
                <w:color w:val="auto"/>
                <w:w w:val="95"/>
              </w:rPr>
              <w:t>20,063,372</w:t>
            </w:r>
          </w:p>
        </w:tc>
        <w:tc>
          <w:tcPr>
            <w:tcW w:w="40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b w:val="1"/>
                <w:bCs w:val="1"/>
                <w:color w:val="auto"/>
              </w:rPr>
              <w:t>$</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96"/>
              </w:rPr>
              <w:t>20,063,372</w:t>
            </w:r>
          </w:p>
        </w:tc>
        <w:tc>
          <w:tcPr>
            <w:tcW w:w="1100" w:type="dxa"/>
            <w:vAlign w:val="bottom"/>
            <w:gridSpan w:val="3"/>
            <w:shd w:val="clear" w:color="auto" w:fill="CCEEFF"/>
          </w:tcPr>
          <w:p>
            <w:pPr>
              <w:ind w:left="660"/>
              <w:spacing w:after="0" w:line="149" w:lineRule="exact"/>
              <w:rPr>
                <w:sz w:val="20"/>
                <w:szCs w:val="20"/>
                <w:color w:val="auto"/>
              </w:rPr>
            </w:pPr>
            <w:r>
              <w:rPr>
                <w:rFonts w:ascii="Arial" w:cs="Arial" w:eastAsia="Arial" w:hAnsi="Arial"/>
                <w:sz w:val="14"/>
                <w:szCs w:val="14"/>
                <w:b w:val="1"/>
                <w:bCs w:val="1"/>
                <w:color w:val="auto"/>
              </w:rPr>
              <w:t>16.4%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right="300" w:hanging="452"/>
        <w:spacing w:after="0" w:line="291" w:lineRule="auto"/>
        <w:tabs>
          <w:tab w:leader="none" w:pos="460" w:val="left"/>
        </w:tabs>
        <w:numPr>
          <w:ilvl w:val="0"/>
          <w:numId w:val="5"/>
        </w:numPr>
        <w:rPr>
          <w:rFonts w:ascii="Arial" w:cs="Arial" w:eastAsia="Arial" w:hAnsi="Arial"/>
          <w:sz w:val="16"/>
          <w:szCs w:val="16"/>
          <w:color w:val="auto"/>
        </w:rPr>
      </w:pPr>
      <w:r>
        <w:rPr>
          <w:rFonts w:ascii="Arial" w:cs="Arial" w:eastAsia="Arial" w:hAnsi="Arial"/>
          <w:sz w:val="16"/>
          <w:szCs w:val="16"/>
          <w:color w:val="auto"/>
        </w:rPr>
        <w:t>Represents a non-qualifyng investment as defined under Section 55 (a) of the Investment Company Act of 1940, as amended. Non-qualifying assets represent 7.5% of the Company’s portfolio at fair value. As a BDC, the Company can only invest 30% of its portfolio in non-qualifying assets.</w:t>
      </w: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Percentages are based on net assets of $122,598,742, as of February 28, 2015.</w:t>
      </w:r>
    </w:p>
    <w:p>
      <w:pPr>
        <w:spacing w:after="0" w:line="9" w:lineRule="exact"/>
        <w:rPr>
          <w:rFonts w:ascii="Arial" w:cs="Arial" w:eastAsia="Arial" w:hAnsi="Arial"/>
          <w:sz w:val="18"/>
          <w:szCs w:val="18"/>
          <w:color w:val="auto"/>
        </w:rPr>
      </w:pPr>
    </w:p>
    <w:p>
      <w:pPr>
        <w:ind w:left="460" w:right="220" w:hanging="452"/>
        <w:spacing w:after="0" w:line="250"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Because there is no readily available market value for these investments, the fair value of these investments is approved in good faith by our board of directors. (see Note 3 to the consolidated financial statements).</w:t>
      </w:r>
    </w:p>
    <w:p>
      <w:pPr>
        <w:ind w:left="460" w:hanging="452"/>
        <w:spacing w:after="0"/>
        <w:tabs>
          <w:tab w:leader="none" w:pos="46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These securities are pledged as collateral under a senior secured revolving credit facility (see Note 6 to the consolidated financial statements).</w:t>
      </w:r>
    </w:p>
    <w:p>
      <w:pPr>
        <w:spacing w:after="0" w:line="20" w:lineRule="exact"/>
        <w:rPr>
          <w:rFonts w:ascii="Arial" w:cs="Arial" w:eastAsia="Arial" w:hAnsi="Arial"/>
          <w:sz w:val="17"/>
          <w:szCs w:val="17"/>
          <w:color w:val="auto"/>
        </w:rPr>
      </w:pPr>
    </w:p>
    <w:p>
      <w:pPr>
        <w:ind w:left="460" w:right="260" w:hanging="452"/>
        <w:spacing w:after="0" w:line="281" w:lineRule="auto"/>
        <w:tabs>
          <w:tab w:leader="none" w:pos="46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This investment does not have a stated interest rate that is payable thereon. As a result, the 14.32% interest rate in the table above represents the effective interest rate currently earned on the investment cost and is based on the current cash interest and other income generated by the investment.</w:t>
      </w:r>
    </w:p>
    <w:p>
      <w:pPr>
        <w:spacing w:after="0" w:line="1" w:lineRule="exact"/>
        <w:rPr>
          <w:rFonts w:ascii="Arial" w:cs="Arial" w:eastAsia="Arial" w:hAnsi="Arial"/>
          <w:sz w:val="16"/>
          <w:szCs w:val="16"/>
          <w:color w:val="auto"/>
        </w:rPr>
      </w:pPr>
    </w:p>
    <w:p>
      <w:pPr>
        <w:ind w:left="460" w:right="220" w:hanging="452"/>
        <w:spacing w:after="0" w:line="255"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As defined in the Investment Company Act, we “Control” this portfolio company because we own more than 25% of the portfolio company’s outstanding voting securities. Transactions during the period in which the issuer was both an Affiliate and a portfolio company that we Control are as follows: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Company</w:t>
            </w:r>
          </w:p>
        </w:tc>
        <w:tc>
          <w:tcPr>
            <w:tcW w:w="300" w:type="dxa"/>
            <w:vAlign w:val="bottom"/>
          </w:tcPr>
          <w:p>
            <w:pPr>
              <w:spacing w:after="0"/>
              <w:rPr>
                <w:sz w:val="14"/>
                <w:szCs w:val="14"/>
                <w:color w:val="auto"/>
              </w:rPr>
            </w:pPr>
          </w:p>
        </w:tc>
        <w:tc>
          <w:tcPr>
            <w:tcW w:w="62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84"/>
              </w:rPr>
              <w:t>Purchases</w:t>
            </w:r>
          </w:p>
        </w:tc>
        <w:tc>
          <w:tcPr>
            <w:tcW w:w="340" w:type="dxa"/>
            <w:vAlign w:val="bottom"/>
          </w:tcPr>
          <w:p>
            <w:pPr>
              <w:spacing w:after="0"/>
              <w:rPr>
                <w:sz w:val="14"/>
                <w:szCs w:val="14"/>
                <w:color w:val="auto"/>
              </w:rPr>
            </w:pPr>
          </w:p>
        </w:tc>
        <w:tc>
          <w:tcPr>
            <w:tcW w:w="8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87"/>
              </w:rPr>
              <w:t>Redemptions</w:t>
            </w:r>
          </w:p>
        </w:tc>
        <w:tc>
          <w:tcPr>
            <w:tcW w:w="360" w:type="dxa"/>
            <w:vAlign w:val="bottom"/>
          </w:tcPr>
          <w:p>
            <w:pPr>
              <w:spacing w:after="0"/>
              <w:rPr>
                <w:sz w:val="14"/>
                <w:szCs w:val="14"/>
                <w:color w:val="auto"/>
              </w:rPr>
            </w:pPr>
          </w:p>
        </w:tc>
        <w:tc>
          <w:tcPr>
            <w:tcW w:w="380" w:type="dxa"/>
            <w:vAlign w:val="bottom"/>
          </w:tcPr>
          <w:p>
            <w:pPr>
              <w:ind w:left="40"/>
              <w:spacing w:after="0"/>
              <w:rPr>
                <w:sz w:val="20"/>
                <w:szCs w:val="20"/>
                <w:color w:val="auto"/>
              </w:rPr>
            </w:pPr>
            <w:r>
              <w:rPr>
                <w:rFonts w:ascii="Arial" w:cs="Arial" w:eastAsia="Arial" w:hAnsi="Arial"/>
                <w:sz w:val="14"/>
                <w:szCs w:val="14"/>
                <w:b w:val="1"/>
                <w:bCs w:val="1"/>
                <w:color w:val="auto"/>
                <w:w w:val="87"/>
              </w:rPr>
              <w:t>Sales</w:t>
            </w:r>
          </w:p>
        </w:tc>
        <w:tc>
          <w:tcPr>
            <w:tcW w:w="360" w:type="dxa"/>
            <w:vAlign w:val="bottom"/>
          </w:tcPr>
          <w:p>
            <w:pPr>
              <w:spacing w:after="0"/>
              <w:rPr>
                <w:sz w:val="14"/>
                <w:szCs w:val="14"/>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4"/>
              </w:rPr>
              <w:t>Interest</w:t>
            </w: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5"/>
              </w:rPr>
              <w:t>Management</w:t>
            </w:r>
          </w:p>
        </w:tc>
        <w:tc>
          <w:tcPr>
            <w:tcW w:w="360" w:type="dxa"/>
            <w:vAlign w:val="bottom"/>
          </w:tcPr>
          <w:p>
            <w:pPr>
              <w:spacing w:after="0"/>
              <w:rPr>
                <w:sz w:val="14"/>
                <w:szCs w:val="14"/>
                <w:color w:val="auto"/>
              </w:rPr>
            </w:pPr>
          </w:p>
        </w:tc>
        <w:tc>
          <w:tcPr>
            <w:tcW w:w="900" w:type="dxa"/>
            <w:vAlign w:val="bottom"/>
            <w:gridSpan w:val="2"/>
          </w:tcPr>
          <w:p>
            <w:pPr>
              <w:ind w:left="60"/>
              <w:spacing w:after="0"/>
              <w:rPr>
                <w:sz w:val="20"/>
                <w:szCs w:val="20"/>
                <w:color w:val="auto"/>
              </w:rPr>
            </w:pPr>
            <w:r>
              <w:rPr>
                <w:rFonts w:ascii="Arial" w:cs="Arial" w:eastAsia="Arial" w:hAnsi="Arial"/>
                <w:sz w:val="14"/>
                <w:szCs w:val="14"/>
                <w:b w:val="1"/>
                <w:bCs w:val="1"/>
                <w:color w:val="auto"/>
                <w:w w:val="98"/>
              </w:rPr>
              <w:t>Net Realized</w:t>
            </w:r>
          </w:p>
        </w:tc>
        <w:tc>
          <w:tcPr>
            <w:tcW w:w="380" w:type="dxa"/>
            <w:vAlign w:val="bottom"/>
          </w:tcPr>
          <w:p>
            <w:pPr>
              <w:spacing w:after="0"/>
              <w:rPr>
                <w:sz w:val="14"/>
                <w:szCs w:val="14"/>
                <w:color w:val="auto"/>
              </w:rPr>
            </w:pPr>
          </w:p>
        </w:tc>
        <w:tc>
          <w:tcPr>
            <w:tcW w:w="10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Net Unrealized</w:t>
            </w:r>
          </w:p>
        </w:tc>
        <w:tc>
          <w:tcPr>
            <w:tcW w:w="0" w:type="dxa"/>
            <w:vAlign w:val="bottom"/>
          </w:tcPr>
          <w:p>
            <w:pPr>
              <w:spacing w:after="0"/>
              <w:rPr>
                <w:sz w:val="1"/>
                <w:szCs w:val="1"/>
                <w:color w:val="auto"/>
              </w:rPr>
            </w:pPr>
          </w:p>
        </w:tc>
      </w:tr>
      <w:tr>
        <w:trPr>
          <w:trHeight w:val="171"/>
        </w:trPr>
        <w:tc>
          <w:tcPr>
            <w:tcW w:w="356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34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380" w:type="dxa"/>
            <w:vAlign w:val="bottom"/>
          </w:tcPr>
          <w:p>
            <w:pPr>
              <w:spacing w:after="0"/>
              <w:rPr>
                <w:sz w:val="20"/>
                <w:szCs w:val="20"/>
                <w:color w:val="auto"/>
              </w:rPr>
            </w:pPr>
            <w:r>
              <w:rPr>
                <w:rFonts w:ascii="Arial" w:cs="Arial" w:eastAsia="Arial" w:hAnsi="Arial"/>
                <w:sz w:val="14"/>
                <w:szCs w:val="14"/>
                <w:b w:val="1"/>
                <w:bCs w:val="1"/>
                <w:color w:val="auto"/>
                <w:w w:val="88"/>
              </w:rPr>
              <w:t>(Cost)</w:t>
            </w:r>
          </w:p>
        </w:tc>
        <w:tc>
          <w:tcPr>
            <w:tcW w:w="360" w:type="dxa"/>
            <w:vAlign w:val="bottom"/>
          </w:tcPr>
          <w:p>
            <w:pPr>
              <w:spacing w:after="0"/>
              <w:rPr>
                <w:sz w:val="14"/>
                <w:szCs w:val="14"/>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9"/>
              </w:rPr>
              <w:t>Income</w:t>
            </w: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0"/>
              </w:rPr>
              <w:t>Fee Income</w:t>
            </w:r>
          </w:p>
        </w:tc>
        <w:tc>
          <w:tcPr>
            <w:tcW w:w="360" w:type="dxa"/>
            <w:vAlign w:val="bottom"/>
          </w:tcPr>
          <w:p>
            <w:pPr>
              <w:spacing w:after="0"/>
              <w:rPr>
                <w:sz w:val="14"/>
                <w:szCs w:val="14"/>
                <w:color w:val="auto"/>
              </w:rPr>
            </w:pPr>
          </w:p>
        </w:tc>
        <w:tc>
          <w:tcPr>
            <w:tcW w:w="900" w:type="dxa"/>
            <w:vAlign w:val="bottom"/>
            <w:gridSpan w:val="2"/>
          </w:tcPr>
          <w:p>
            <w:pPr>
              <w:spacing w:after="0"/>
              <w:rPr>
                <w:sz w:val="20"/>
                <w:szCs w:val="20"/>
                <w:color w:val="auto"/>
              </w:rPr>
            </w:pPr>
            <w:r>
              <w:rPr>
                <w:rFonts w:ascii="Arial" w:cs="Arial" w:eastAsia="Arial" w:hAnsi="Arial"/>
                <w:sz w:val="14"/>
                <w:szCs w:val="14"/>
                <w:b w:val="1"/>
                <w:bCs w:val="1"/>
                <w:color w:val="auto"/>
                <w:w w:val="87"/>
              </w:rPr>
              <w:t>Gains/(Losses)</w:t>
            </w:r>
          </w:p>
        </w:tc>
        <w:tc>
          <w:tcPr>
            <w:tcW w:w="380" w:type="dxa"/>
            <w:vAlign w:val="bottom"/>
          </w:tcPr>
          <w:p>
            <w:pPr>
              <w:spacing w:after="0"/>
              <w:rPr>
                <w:sz w:val="14"/>
                <w:szCs w:val="14"/>
                <w:color w:val="auto"/>
              </w:rPr>
            </w:pPr>
          </w:p>
        </w:tc>
        <w:tc>
          <w:tcPr>
            <w:tcW w:w="10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Appreciation</w:t>
            </w:r>
          </w:p>
        </w:tc>
        <w:tc>
          <w:tcPr>
            <w:tcW w:w="0" w:type="dxa"/>
            <w:vAlign w:val="bottom"/>
          </w:tcPr>
          <w:p>
            <w:pPr>
              <w:spacing w:after="0"/>
              <w:rPr>
                <w:sz w:val="1"/>
                <w:szCs w:val="1"/>
                <w:color w:val="auto"/>
              </w:rPr>
            </w:pPr>
          </w:p>
        </w:tc>
      </w:tr>
      <w:tr>
        <w:trPr>
          <w:trHeight w:val="210"/>
        </w:trPr>
        <w:tc>
          <w:tcPr>
            <w:tcW w:w="6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Saratoga</w:t>
            </w:r>
          </w:p>
        </w:tc>
        <w:tc>
          <w:tcPr>
            <w:tcW w:w="2960" w:type="dxa"/>
            <w:vAlign w:val="bottom"/>
            <w:tcBorders>
              <w:top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Investment Corp. CLO 2013-1, Ltd.</w:t>
            </w:r>
          </w:p>
        </w:tc>
        <w:tc>
          <w:tcPr>
            <w:tcW w:w="3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auto"/>
              <w:bottom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u w:val="single" w:color="auto"/>
                <w:color w:val="auto"/>
                <w:w w:val="93"/>
              </w:rPr>
              <w:t>$</w:t>
            </w:r>
            <w:r>
              <w:rPr>
                <w:rFonts w:ascii="Arial" w:cs="Arial" w:eastAsia="Arial" w:hAnsi="Arial"/>
                <w:sz w:val="18"/>
                <w:szCs w:val="18"/>
                <w:color w:val="auto"/>
                <w:w w:val="93"/>
              </w:rPr>
              <w:t>2,707,230</w:t>
            </w:r>
          </w:p>
        </w:tc>
        <w:tc>
          <w:tcPr>
            <w:tcW w:w="36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1,520,205</w:t>
            </w:r>
          </w:p>
        </w:tc>
        <w:tc>
          <w:tcPr>
            <w:tcW w:w="36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bottom w:val="single" w:sz="8" w:color="auto"/>
            </w:tcBorders>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38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  1,078,145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Non-income producing at February 28, 2015.</w:t>
      </w:r>
    </w:p>
    <w:p>
      <w:pPr>
        <w:spacing w:after="0" w:line="23" w:lineRule="exact"/>
        <w:rPr>
          <w:rFonts w:ascii="Arial" w:cs="Arial" w:eastAsia="Arial" w:hAnsi="Arial"/>
          <w:sz w:val="18"/>
          <w:szCs w:val="18"/>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Includes securities issued by an affiliate of the company.</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Non-U.S. company. The principal place of business for Polar Holding Company, Ltd. is Canada.</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investment has an unfunded commitment as of February 28, 2015 (See Note 7).</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Includes an analysis of the value of any unfunded loan commitments.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entire commitment was unfunded at February 28, 2015. As such, no interest is being earned on this investment.</w:t>
      </w:r>
    </w:p>
    <w:p>
      <w:pPr>
        <w:spacing w:after="0" w:line="9" w:lineRule="exact"/>
        <w:rPr>
          <w:rFonts w:ascii="Arial" w:cs="Arial" w:eastAsia="Arial" w:hAnsi="Arial"/>
          <w:sz w:val="18"/>
          <w:szCs w:val="18"/>
          <w:color w:val="auto"/>
        </w:rPr>
      </w:pPr>
    </w:p>
    <w:p>
      <w:pPr>
        <w:ind w:left="460" w:right="280" w:hanging="452"/>
        <w:spacing w:after="0" w:line="261"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Included within cash and cash equivalents and cash and cash equivalents, reserve accounts in the Company’s Consolidated Statements of Assets and Liabilities as of February 28, 2015.</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Saratoga Investment Corp.</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Net Assets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2140" w:type="dxa"/>
            <w:vAlign w:val="bottom"/>
            <w:gridSpan w:val="3"/>
          </w:tcPr>
          <w:p>
            <w:pPr>
              <w:spacing w:after="0"/>
              <w:rPr>
                <w:sz w:val="20"/>
                <w:szCs w:val="20"/>
                <w:color w:val="auto"/>
              </w:rPr>
            </w:pPr>
            <w:r>
              <w:rPr>
                <w:rFonts w:ascii="Arial" w:cs="Arial" w:eastAsia="Arial" w:hAnsi="Arial"/>
                <w:sz w:val="14"/>
                <w:szCs w:val="14"/>
                <w:b w:val="1"/>
                <w:bCs w:val="1"/>
                <w:color w:val="auto"/>
              </w:rPr>
              <w:t>For the nine months ended</w:t>
            </w:r>
          </w:p>
        </w:tc>
        <w:tc>
          <w:tcPr>
            <w:tcW w:w="440" w:type="dxa"/>
            <w:vAlign w:val="bottom"/>
          </w:tcPr>
          <w:p>
            <w:pPr>
              <w:spacing w:after="0"/>
              <w:rPr>
                <w:sz w:val="14"/>
                <w:szCs w:val="14"/>
                <w:color w:val="auto"/>
              </w:rPr>
            </w:pPr>
          </w:p>
        </w:tc>
        <w:tc>
          <w:tcPr>
            <w:tcW w:w="1760" w:type="dxa"/>
            <w:vAlign w:val="bottom"/>
            <w:gridSpan w:val="3"/>
          </w:tcPr>
          <w:p>
            <w:pPr>
              <w:spacing w:after="0"/>
              <w:rPr>
                <w:sz w:val="20"/>
                <w:szCs w:val="20"/>
                <w:color w:val="auto"/>
              </w:rPr>
            </w:pPr>
            <w:r>
              <w:rPr>
                <w:rFonts w:ascii="Arial" w:cs="Arial" w:eastAsia="Arial" w:hAnsi="Arial"/>
                <w:sz w:val="14"/>
                <w:szCs w:val="14"/>
                <w:b w:val="1"/>
                <w:bCs w:val="1"/>
                <w:color w:val="auto"/>
                <w:w w:val="96"/>
              </w:rPr>
              <w:t>For the nine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8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w w:val="97"/>
              </w:rPr>
              <w:t>November 30, 2015</w:t>
            </w: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7"/>
              </w:rPr>
              <w:t>November 30, 2014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1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INCREASE FROM OPERATIONS:</w:t>
            </w:r>
          </w:p>
        </w:tc>
        <w:tc>
          <w:tcPr>
            <w:tcW w:w="18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5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5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ind w:left="340"/>
              <w:spacing w:after="0"/>
              <w:rPr>
                <w:sz w:val="20"/>
                <w:szCs w:val="20"/>
                <w:color w:val="auto"/>
              </w:rPr>
            </w:pPr>
            <w:r>
              <w:rPr>
                <w:rFonts w:ascii="Arial" w:cs="Arial" w:eastAsia="Arial" w:hAnsi="Arial"/>
                <w:sz w:val="18"/>
                <w:szCs w:val="18"/>
                <w:color w:val="auto"/>
              </w:rPr>
              <w:t>Net investment income</w:t>
            </w:r>
          </w:p>
        </w:tc>
        <w:tc>
          <w:tcPr>
            <w:tcW w:w="2040" w:type="dxa"/>
            <w:vAlign w:val="bottom"/>
            <w:gridSpan w:val="2"/>
          </w:tcPr>
          <w:p>
            <w:pPr>
              <w:ind w:left="1880"/>
              <w:spacing w:after="0"/>
              <w:rPr>
                <w:sz w:val="20"/>
                <w:szCs w:val="20"/>
                <w:color w:val="auto"/>
              </w:rPr>
            </w:pPr>
            <w:r>
              <w:rPr>
                <w:rFonts w:ascii="Arial" w:cs="Arial" w:eastAsia="Arial" w:hAnsi="Arial"/>
                <w:sz w:val="18"/>
                <w:szCs w:val="18"/>
                <w:color w:val="auto"/>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7,578,534</w:t>
            </w:r>
          </w:p>
        </w:tc>
        <w:tc>
          <w:tcPr>
            <w:tcW w:w="480" w:type="dxa"/>
            <w:vAlign w:val="bottom"/>
          </w:tcPr>
          <w:p>
            <w:pPr>
              <w:spacing w:after="0"/>
              <w:rPr>
                <w:sz w:val="18"/>
                <w:szCs w:val="18"/>
                <w:color w:val="auto"/>
              </w:rPr>
            </w:pPr>
          </w:p>
        </w:tc>
        <w:tc>
          <w:tcPr>
            <w:tcW w:w="60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100"/>
              <w:spacing w:after="0"/>
              <w:rPr>
                <w:sz w:val="20"/>
                <w:szCs w:val="20"/>
                <w:color w:val="auto"/>
              </w:rPr>
            </w:pPr>
            <w:r>
              <w:rPr>
                <w:rFonts w:ascii="Arial" w:cs="Arial" w:eastAsia="Arial" w:hAnsi="Arial"/>
                <w:sz w:val="18"/>
                <w:szCs w:val="18"/>
                <w:color w:val="auto"/>
              </w:rPr>
              <w:t>6,785,383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realized gain from investments</w:t>
            </w:r>
          </w:p>
        </w:tc>
        <w:tc>
          <w:tcPr>
            <w:tcW w:w="1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4,231,006</w:t>
            </w:r>
          </w:p>
        </w:tc>
        <w:tc>
          <w:tcPr>
            <w:tcW w:w="4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3,203,399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80" w:type="dxa"/>
            <w:vAlign w:val="bottom"/>
          </w:tcPr>
          <w:p>
            <w:pPr>
              <w:ind w:left="340"/>
              <w:spacing w:after="0"/>
              <w:rPr>
                <w:sz w:val="20"/>
                <w:szCs w:val="20"/>
                <w:color w:val="auto"/>
              </w:rPr>
            </w:pPr>
            <w:r>
              <w:rPr>
                <w:rFonts w:ascii="Arial" w:cs="Arial" w:eastAsia="Arial" w:hAnsi="Arial"/>
                <w:sz w:val="18"/>
                <w:szCs w:val="18"/>
                <w:color w:val="auto"/>
              </w:rPr>
              <w:t>Net unrealized appreciation/(depreciation) on investments</w:t>
            </w:r>
          </w:p>
        </w:tc>
        <w:tc>
          <w:tcPr>
            <w:tcW w:w="1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239,354</w:t>
            </w:r>
          </w:p>
        </w:tc>
        <w:tc>
          <w:tcPr>
            <w:tcW w:w="4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gridSpan w:val="2"/>
          </w:tcPr>
          <w:p>
            <w:pPr>
              <w:jc w:val="right"/>
              <w:ind w:right="40"/>
              <w:spacing w:after="0"/>
              <w:rPr>
                <w:sz w:val="20"/>
                <w:szCs w:val="20"/>
                <w:color w:val="auto"/>
              </w:rPr>
            </w:pPr>
            <w:r>
              <w:rPr>
                <w:rFonts w:ascii="Arial" w:cs="Arial" w:eastAsia="Arial" w:hAnsi="Arial"/>
                <w:sz w:val="18"/>
                <w:szCs w:val="18"/>
                <w:color w:val="auto"/>
              </w:rPr>
              <w:t>(1,686,263)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Net increase in net assets from operations</w:t>
            </w:r>
          </w:p>
        </w:tc>
        <w:tc>
          <w:tcPr>
            <w:tcW w:w="1880" w:type="dxa"/>
            <w:vAlign w:val="bottom"/>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12,048,894</w:t>
            </w:r>
          </w:p>
        </w:tc>
        <w:tc>
          <w:tcPr>
            <w:tcW w:w="4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8,302,519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200" w:type="dxa"/>
            <w:vAlign w:val="bottom"/>
            <w:gridSpan w:val="2"/>
          </w:tcPr>
          <w:p>
            <w:pPr>
              <w:spacing w:after="0"/>
              <w:rPr>
                <w:sz w:val="20"/>
                <w:szCs w:val="20"/>
                <w:color w:val="auto"/>
              </w:rPr>
            </w:pPr>
            <w:r>
              <w:rPr>
                <w:rFonts w:ascii="Arial" w:cs="Arial" w:eastAsia="Arial" w:hAnsi="Arial"/>
                <w:sz w:val="18"/>
                <w:szCs w:val="18"/>
                <w:color w:val="auto"/>
              </w:rPr>
              <w:t>DECREASE FROM SHAREHOLDER DISTRIBUTIONS:</w:t>
            </w:r>
          </w:p>
        </w:tc>
        <w:tc>
          <w:tcPr>
            <w:tcW w:w="1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Distributions</w:t>
            </w:r>
          </w:p>
        </w:tc>
        <w:tc>
          <w:tcPr>
            <w:tcW w:w="1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(10,767,093)</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(968,333)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80" w:type="dxa"/>
            <w:vAlign w:val="bottom"/>
          </w:tcPr>
          <w:p>
            <w:pPr>
              <w:ind w:left="700"/>
              <w:spacing w:after="0"/>
              <w:rPr>
                <w:sz w:val="20"/>
                <w:szCs w:val="20"/>
                <w:color w:val="auto"/>
              </w:rPr>
            </w:pPr>
            <w:r>
              <w:rPr>
                <w:rFonts w:ascii="Arial" w:cs="Arial" w:eastAsia="Arial" w:hAnsi="Arial"/>
                <w:sz w:val="18"/>
                <w:szCs w:val="18"/>
                <w:color w:val="auto"/>
                <w:w w:val="97"/>
              </w:rPr>
              <w:t>Net decrease in net assets from shareholder distributions</w:t>
            </w:r>
          </w:p>
        </w:tc>
        <w:tc>
          <w:tcPr>
            <w:tcW w:w="188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(10,767,093)</w:t>
            </w:r>
          </w:p>
        </w:tc>
        <w:tc>
          <w:tcPr>
            <w:tcW w:w="4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(968,333)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CAPITAL SHARE TRANSACTIONS:</w:t>
            </w:r>
          </w:p>
        </w:tc>
        <w:tc>
          <w:tcPr>
            <w:tcW w:w="1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ind w:left="340"/>
              <w:spacing w:after="0"/>
              <w:rPr>
                <w:sz w:val="20"/>
                <w:szCs w:val="20"/>
                <w:color w:val="auto"/>
              </w:rPr>
            </w:pPr>
            <w:r>
              <w:rPr>
                <w:rFonts w:ascii="Arial" w:cs="Arial" w:eastAsia="Arial" w:hAnsi="Arial"/>
                <w:sz w:val="18"/>
                <w:szCs w:val="18"/>
                <w:color w:val="auto"/>
              </w:rPr>
              <w:t>Stock dividend distribution</w:t>
            </w:r>
          </w:p>
        </w:tc>
        <w:tc>
          <w:tcPr>
            <w:tcW w:w="1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3,778,630</w:t>
            </w:r>
          </w:p>
        </w:tc>
        <w:tc>
          <w:tcPr>
            <w:tcW w:w="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Repurchases of common stock</w:t>
            </w:r>
          </w:p>
        </w:tc>
        <w:tc>
          <w:tcPr>
            <w:tcW w:w="1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(38,981)</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80" w:type="dxa"/>
            <w:vAlign w:val="bottom"/>
          </w:tcPr>
          <w:p>
            <w:pPr>
              <w:ind w:left="340"/>
              <w:spacing w:after="0"/>
              <w:rPr>
                <w:sz w:val="20"/>
                <w:szCs w:val="20"/>
                <w:color w:val="auto"/>
              </w:rPr>
            </w:pPr>
            <w:r>
              <w:rPr>
                <w:rFonts w:ascii="Arial" w:cs="Arial" w:eastAsia="Arial" w:hAnsi="Arial"/>
                <w:sz w:val="18"/>
                <w:szCs w:val="18"/>
                <w:color w:val="auto"/>
              </w:rPr>
              <w:t>Offering costs</w:t>
            </w:r>
          </w:p>
        </w:tc>
        <w:tc>
          <w:tcPr>
            <w:tcW w:w="1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980" w:type="dxa"/>
            <w:vAlign w:val="bottom"/>
            <w:gridSpan w:val="2"/>
          </w:tcPr>
          <w:p>
            <w:pPr>
              <w:jc w:val="right"/>
              <w:ind w:right="420"/>
              <w:spacing w:after="0"/>
              <w:rPr>
                <w:sz w:val="20"/>
                <w:szCs w:val="20"/>
                <w:color w:val="auto"/>
              </w:rPr>
            </w:pPr>
            <w:r>
              <w:rPr>
                <w:rFonts w:ascii="Arial" w:cs="Arial" w:eastAsia="Arial" w:hAnsi="Arial"/>
                <w:sz w:val="18"/>
                <w:szCs w:val="18"/>
                <w:color w:val="auto"/>
              </w:rPr>
              <w:t>(346,826)</w:t>
            </w: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ind w:left="700"/>
              <w:spacing w:after="0"/>
              <w:rPr>
                <w:sz w:val="20"/>
                <w:szCs w:val="20"/>
                <w:color w:val="auto"/>
              </w:rPr>
            </w:pPr>
            <w:r>
              <w:rPr>
                <w:rFonts w:ascii="Arial" w:cs="Arial" w:eastAsia="Arial" w:hAnsi="Arial"/>
                <w:sz w:val="18"/>
                <w:szCs w:val="18"/>
                <w:color w:val="auto"/>
                <w:w w:val="97"/>
              </w:rPr>
              <w:t>Net increase in net assets from capital share transactions</w:t>
            </w:r>
          </w:p>
        </w:tc>
        <w:tc>
          <w:tcPr>
            <w:tcW w:w="1880" w:type="dxa"/>
            <w:vAlign w:val="bottom"/>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3,392,823</w:t>
            </w:r>
          </w:p>
        </w:tc>
        <w:tc>
          <w:tcPr>
            <w:tcW w:w="4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50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80" w:type="dxa"/>
            <w:vAlign w:val="bottom"/>
          </w:tcPr>
          <w:p>
            <w:pPr>
              <w:ind w:left="700"/>
              <w:spacing w:after="0"/>
              <w:rPr>
                <w:sz w:val="20"/>
                <w:szCs w:val="20"/>
                <w:color w:val="auto"/>
              </w:rPr>
            </w:pPr>
            <w:r>
              <w:rPr>
                <w:rFonts w:ascii="Arial" w:cs="Arial" w:eastAsia="Arial" w:hAnsi="Arial"/>
                <w:sz w:val="18"/>
                <w:szCs w:val="18"/>
                <w:color w:val="auto"/>
              </w:rPr>
              <w:t>Total increase in net assets</w:t>
            </w:r>
          </w:p>
        </w:tc>
        <w:tc>
          <w:tcPr>
            <w:tcW w:w="1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4,674,624</w:t>
            </w:r>
          </w:p>
        </w:tc>
        <w:tc>
          <w:tcPr>
            <w:tcW w:w="4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7,334,186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Net assets at beginning of period</w:t>
            </w:r>
          </w:p>
        </w:tc>
        <w:tc>
          <w:tcPr>
            <w:tcW w:w="1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122,598,742</w:t>
            </w:r>
          </w:p>
        </w:tc>
        <w:tc>
          <w:tcPr>
            <w:tcW w:w="4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113,427,929</w:t>
            </w:r>
          </w:p>
        </w:tc>
        <w:tc>
          <w:tcPr>
            <w:tcW w:w="0" w:type="dxa"/>
            <w:vAlign w:val="bottom"/>
          </w:tcPr>
          <w:p>
            <w:pPr>
              <w:spacing w:after="0"/>
              <w:rPr>
                <w:sz w:val="1"/>
                <w:szCs w:val="1"/>
                <w:color w:val="auto"/>
              </w:rPr>
            </w:pPr>
          </w:p>
        </w:tc>
      </w:tr>
      <w:tr>
        <w:trPr>
          <w:trHeight w:val="223"/>
        </w:trPr>
        <w:tc>
          <w:tcPr>
            <w:tcW w:w="5200" w:type="dxa"/>
            <w:vAlign w:val="bottom"/>
            <w:gridSpan w:val="2"/>
          </w:tcPr>
          <w:p>
            <w:pPr>
              <w:spacing w:after="0"/>
              <w:rPr>
                <w:sz w:val="20"/>
                <w:szCs w:val="20"/>
                <w:color w:val="auto"/>
              </w:rPr>
            </w:pPr>
            <w:r>
              <w:rPr>
                <w:rFonts w:ascii="Arial" w:cs="Arial" w:eastAsia="Arial" w:hAnsi="Arial"/>
                <w:sz w:val="18"/>
                <w:szCs w:val="18"/>
                <w:color w:val="auto"/>
              </w:rPr>
              <w:t>Net assets at end of period</w:t>
            </w:r>
          </w:p>
        </w:tc>
        <w:tc>
          <w:tcPr>
            <w:tcW w:w="188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127,273,366</w:t>
            </w:r>
          </w:p>
        </w:tc>
        <w:tc>
          <w:tcPr>
            <w:tcW w:w="4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120,762,115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Net asset value per common share</w:t>
            </w:r>
          </w:p>
        </w:tc>
        <w:tc>
          <w:tcPr>
            <w:tcW w:w="2040" w:type="dxa"/>
            <w:vAlign w:val="bottom"/>
            <w:gridSpan w:val="2"/>
            <w:shd w:val="clear" w:color="auto" w:fill="CCEEFF"/>
          </w:tcPr>
          <w:p>
            <w:pPr>
              <w:ind w:left="188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22.59</w:t>
            </w:r>
          </w:p>
        </w:tc>
        <w:tc>
          <w:tcPr>
            <w:tcW w:w="4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22.45</w:t>
            </w:r>
          </w:p>
        </w:tc>
        <w:tc>
          <w:tcPr>
            <w:tcW w:w="0" w:type="dxa"/>
            <w:vAlign w:val="bottom"/>
          </w:tcPr>
          <w:p>
            <w:pPr>
              <w:spacing w:after="0"/>
              <w:rPr>
                <w:sz w:val="1"/>
                <w:szCs w:val="1"/>
                <w:color w:val="auto"/>
              </w:rPr>
            </w:pPr>
          </w:p>
        </w:tc>
      </w:tr>
      <w:tr>
        <w:trPr>
          <w:trHeight w:val="324"/>
        </w:trPr>
        <w:tc>
          <w:tcPr>
            <w:tcW w:w="5200" w:type="dxa"/>
            <w:vAlign w:val="bottom"/>
            <w:gridSpan w:val="2"/>
          </w:tcPr>
          <w:p>
            <w:pPr>
              <w:spacing w:after="0"/>
              <w:rPr>
                <w:sz w:val="20"/>
                <w:szCs w:val="20"/>
                <w:color w:val="auto"/>
              </w:rPr>
            </w:pPr>
            <w:r>
              <w:rPr>
                <w:rFonts w:ascii="Arial" w:cs="Arial" w:eastAsia="Arial" w:hAnsi="Arial"/>
                <w:sz w:val="18"/>
                <w:szCs w:val="18"/>
                <w:color w:val="auto"/>
              </w:rPr>
              <w:t>Common shares outstanding at end of period</w:t>
            </w:r>
          </w:p>
        </w:tc>
        <w:tc>
          <w:tcPr>
            <w:tcW w:w="1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980" w:type="dxa"/>
            <w:vAlign w:val="bottom"/>
            <w:gridSpan w:val="2"/>
          </w:tcPr>
          <w:p>
            <w:pPr>
              <w:jc w:val="right"/>
              <w:ind w:right="480"/>
              <w:spacing w:after="0"/>
              <w:rPr>
                <w:sz w:val="20"/>
                <w:szCs w:val="20"/>
                <w:color w:val="auto"/>
              </w:rPr>
            </w:pPr>
            <w:r>
              <w:rPr>
                <w:rFonts w:ascii="Arial" w:cs="Arial" w:eastAsia="Arial" w:hAnsi="Arial"/>
                <w:sz w:val="18"/>
                <w:szCs w:val="18"/>
                <w:color w:val="auto"/>
              </w:rPr>
              <w:t>5,634,115</w:t>
            </w: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0" w:type="dxa"/>
            <w:vAlign w:val="bottom"/>
            <w:gridSpan w:val="2"/>
          </w:tcPr>
          <w:p>
            <w:pPr>
              <w:jc w:val="right"/>
              <w:ind w:right="100"/>
              <w:spacing w:after="0"/>
              <w:rPr>
                <w:sz w:val="20"/>
                <w:szCs w:val="20"/>
                <w:color w:val="auto"/>
              </w:rPr>
            </w:pPr>
            <w:r>
              <w:rPr>
                <w:rFonts w:ascii="Arial" w:cs="Arial" w:eastAsia="Arial" w:hAnsi="Arial"/>
                <w:sz w:val="18"/>
                <w:szCs w:val="18"/>
                <w:color w:val="auto"/>
              </w:rPr>
              <w:t>5,379,616</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5180" w:type="dxa"/>
            <w:vAlign w:val="bottom"/>
          </w:tcPr>
          <w:p>
            <w:pPr>
              <w:spacing w:after="0"/>
              <w:rPr>
                <w:sz w:val="9"/>
                <w:szCs w:val="9"/>
                <w:color w:val="auto"/>
              </w:rPr>
            </w:pPr>
          </w:p>
        </w:tc>
        <w:tc>
          <w:tcPr>
            <w:tcW w:w="18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500" w:type="dxa"/>
            <w:vAlign w:val="bottom"/>
          </w:tcPr>
          <w:p>
            <w:pPr>
              <w:spacing w:after="0"/>
              <w:rPr>
                <w:sz w:val="9"/>
                <w:szCs w:val="9"/>
                <w:color w:val="auto"/>
              </w:rPr>
            </w:pPr>
          </w:p>
        </w:tc>
        <w:tc>
          <w:tcPr>
            <w:tcW w:w="4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Distribution in excess of net investment income</w:t>
            </w:r>
          </w:p>
        </w:tc>
        <w:tc>
          <w:tcPr>
            <w:tcW w:w="2040" w:type="dxa"/>
            <w:vAlign w:val="bottom"/>
            <w:gridSpan w:val="2"/>
            <w:shd w:val="clear" w:color="auto" w:fill="CCEEFF"/>
          </w:tcPr>
          <w:p>
            <w:pPr>
              <w:ind w:left="1880"/>
              <w:spacing w:after="0"/>
              <w:rPr>
                <w:sz w:val="20"/>
                <w:szCs w:val="20"/>
                <w:color w:val="auto"/>
              </w:rPr>
            </w:pPr>
            <w:r>
              <w:rPr>
                <w:rFonts w:ascii="Arial" w:cs="Arial" w:eastAsia="Arial" w:hAnsi="Arial"/>
                <w:sz w:val="18"/>
                <w:szCs w:val="18"/>
                <w:color w:val="auto"/>
              </w:rPr>
              <w:t>$</w:t>
            </w:r>
          </w:p>
        </w:tc>
        <w:tc>
          <w:tcPr>
            <w:tcW w:w="19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(27,094,304)</w:t>
            </w:r>
          </w:p>
        </w:tc>
        <w:tc>
          <w:tcPr>
            <w:tcW w:w="6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(25,306,616)</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9200" w:type="dxa"/>
            <w:vAlign w:val="bottom"/>
            <w:gridSpan w:val="5"/>
          </w:tcPr>
          <w:p>
            <w:pPr>
              <w:jc w:val="center"/>
              <w:ind w:left="2110"/>
              <w:spacing w:after="0"/>
              <w:rPr>
                <w:sz w:val="20"/>
                <w:szCs w:val="20"/>
                <w:color w:val="auto"/>
              </w:rPr>
            </w:pPr>
            <w:r>
              <w:rPr>
                <w:rFonts w:ascii="Arial" w:cs="Arial" w:eastAsia="Arial" w:hAnsi="Arial"/>
                <w:sz w:val="18"/>
                <w:szCs w:val="18"/>
                <w:color w:val="auto"/>
                <w:w w:val="89"/>
              </w:rPr>
              <w:t>See accompanying notes to consolidated financial statements.</w:t>
            </w: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5180" w:type="dxa"/>
            <w:vAlign w:val="bottom"/>
          </w:tcPr>
          <w:p>
            <w:pPr>
              <w:spacing w:after="0"/>
              <w:rPr>
                <w:sz w:val="24"/>
                <w:szCs w:val="24"/>
                <w:color w:val="auto"/>
              </w:rPr>
            </w:pPr>
          </w:p>
        </w:tc>
        <w:tc>
          <w:tcPr>
            <w:tcW w:w="1880" w:type="dxa"/>
            <w:vAlign w:val="bottom"/>
          </w:tcPr>
          <w:p>
            <w:pPr>
              <w:jc w:val="right"/>
              <w:ind w:right="1190"/>
              <w:spacing w:after="0"/>
              <w:rPr>
                <w:sz w:val="20"/>
                <w:szCs w:val="20"/>
                <w:color w:val="auto"/>
              </w:rPr>
            </w:pPr>
            <w:r>
              <w:rPr>
                <w:rFonts w:ascii="Arial" w:cs="Arial" w:eastAsia="Arial" w:hAnsi="Arial"/>
                <w:sz w:val="18"/>
                <w:szCs w:val="18"/>
                <w:color w:val="auto"/>
              </w:rPr>
              <w:t>11</w:t>
            </w:r>
          </w:p>
        </w:tc>
        <w:tc>
          <w:tcPr>
            <w:tcW w:w="1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Saratoga Investment Corp.</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020" w:type="dxa"/>
            <w:vAlign w:val="bottom"/>
          </w:tcPr>
          <w:p>
            <w:pPr>
              <w:spacing w:after="0"/>
              <w:rPr>
                <w:sz w:val="14"/>
                <w:szCs w:val="14"/>
                <w:color w:val="auto"/>
              </w:rPr>
            </w:pPr>
          </w:p>
        </w:tc>
        <w:tc>
          <w:tcPr>
            <w:tcW w:w="2160" w:type="dxa"/>
            <w:vAlign w:val="bottom"/>
            <w:gridSpan w:val="3"/>
          </w:tcPr>
          <w:p>
            <w:pPr>
              <w:spacing w:after="0"/>
              <w:rPr>
                <w:sz w:val="20"/>
                <w:szCs w:val="20"/>
                <w:color w:val="auto"/>
              </w:rPr>
            </w:pPr>
            <w:r>
              <w:rPr>
                <w:rFonts w:ascii="Arial" w:cs="Arial" w:eastAsia="Arial" w:hAnsi="Arial"/>
                <w:sz w:val="14"/>
                <w:szCs w:val="14"/>
                <w:b w:val="1"/>
                <w:bCs w:val="1"/>
                <w:color w:val="auto"/>
              </w:rPr>
              <w:t>For the nine months ended</w:t>
            </w:r>
          </w:p>
        </w:tc>
        <w:tc>
          <w:tcPr>
            <w:tcW w:w="460" w:type="dxa"/>
            <w:vAlign w:val="bottom"/>
          </w:tcPr>
          <w:p>
            <w:pPr>
              <w:spacing w:after="0"/>
              <w:rPr>
                <w:sz w:val="14"/>
                <w:szCs w:val="14"/>
                <w:color w:val="auto"/>
              </w:rPr>
            </w:pPr>
          </w:p>
        </w:tc>
        <w:tc>
          <w:tcPr>
            <w:tcW w:w="1760" w:type="dxa"/>
            <w:vAlign w:val="bottom"/>
            <w:gridSpan w:val="3"/>
          </w:tcPr>
          <w:p>
            <w:pPr>
              <w:spacing w:after="0"/>
              <w:rPr>
                <w:sz w:val="20"/>
                <w:szCs w:val="20"/>
                <w:color w:val="auto"/>
              </w:rPr>
            </w:pPr>
            <w:r>
              <w:rPr>
                <w:rFonts w:ascii="Arial" w:cs="Arial" w:eastAsia="Arial" w:hAnsi="Arial"/>
                <w:sz w:val="14"/>
                <w:szCs w:val="14"/>
                <w:b w:val="1"/>
                <w:bCs w:val="1"/>
                <w:color w:val="auto"/>
                <w:w w:val="96"/>
              </w:rPr>
              <w:t>For the nine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w w:val="96"/>
              </w:rPr>
              <w:t>November 30, 2015</w:t>
            </w: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7"/>
              </w:rPr>
              <w:t>November 30, 2014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0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Operating activities</w:t>
            </w:r>
          </w:p>
        </w:tc>
        <w:tc>
          <w:tcPr>
            <w:tcW w:w="160" w:type="dxa"/>
            <w:vAlign w:val="bottom"/>
            <w:tcBorders>
              <w:top w:val="single" w:sz="8" w:color="auto"/>
            </w:tcBorders>
            <w:shd w:val="clear" w:color="auto" w:fill="CCEEFF"/>
          </w:tcPr>
          <w:p>
            <w:pPr>
              <w:spacing w:after="0"/>
              <w:rPr>
                <w:sz w:val="17"/>
                <w:szCs w:val="17"/>
                <w:color w:val="auto"/>
              </w:rPr>
            </w:pPr>
          </w:p>
        </w:tc>
        <w:tc>
          <w:tcPr>
            <w:tcW w:w="148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5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spacing w:after="0"/>
              <w:rPr>
                <w:sz w:val="20"/>
                <w:szCs w:val="20"/>
                <w:color w:val="auto"/>
              </w:rPr>
            </w:pPr>
            <w:r>
              <w:rPr>
                <w:rFonts w:ascii="Arial" w:cs="Arial" w:eastAsia="Arial" w:hAnsi="Arial"/>
                <w:sz w:val="18"/>
                <w:szCs w:val="18"/>
                <w:color w:val="auto"/>
              </w:rPr>
              <w:t>NET INCREASE IN NET ASSETS FROM OPERATIONS</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2000" w:type="dxa"/>
            <w:vAlign w:val="bottom"/>
            <w:gridSpan w:val="2"/>
          </w:tcPr>
          <w:p>
            <w:pPr>
              <w:jc w:val="right"/>
              <w:ind w:right="520"/>
              <w:spacing w:after="0"/>
              <w:rPr>
                <w:sz w:val="20"/>
                <w:szCs w:val="20"/>
                <w:color w:val="auto"/>
              </w:rPr>
            </w:pPr>
            <w:r>
              <w:rPr>
                <w:rFonts w:ascii="Arial" w:cs="Arial" w:eastAsia="Arial" w:hAnsi="Arial"/>
                <w:sz w:val="18"/>
                <w:szCs w:val="18"/>
                <w:color w:val="auto"/>
              </w:rPr>
              <w:t>12,048,894</w:t>
            </w:r>
          </w:p>
        </w:tc>
        <w:tc>
          <w:tcPr>
            <w:tcW w:w="62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100"/>
              <w:spacing w:after="0"/>
              <w:rPr>
                <w:sz w:val="20"/>
                <w:szCs w:val="20"/>
                <w:color w:val="auto"/>
              </w:rPr>
            </w:pPr>
            <w:r>
              <w:rPr>
                <w:rFonts w:ascii="Arial" w:cs="Arial" w:eastAsia="Arial" w:hAnsi="Arial"/>
                <w:sz w:val="18"/>
                <w:szCs w:val="18"/>
                <w:color w:val="auto"/>
              </w:rPr>
              <w:t>8,302,519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0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ADJUSTMENTS TO RECONCILE NET INCREASE IN NET ASSETS FROM</w:t>
            </w:r>
          </w:p>
        </w:tc>
        <w:tc>
          <w:tcPr>
            <w:tcW w:w="16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OPERATIONS TO NET CASH PROVIDED BY (USED IN) OPERATING</w:t>
            </w: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ACTIVITIES:</w:t>
            </w:r>
          </w:p>
        </w:tc>
        <w:tc>
          <w:tcPr>
            <w:tcW w:w="16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ind w:left="700"/>
              <w:spacing w:after="0"/>
              <w:rPr>
                <w:sz w:val="20"/>
                <w:szCs w:val="20"/>
                <w:color w:val="auto"/>
              </w:rPr>
            </w:pPr>
            <w:r>
              <w:rPr>
                <w:rFonts w:ascii="Arial" w:cs="Arial" w:eastAsia="Arial" w:hAnsi="Arial"/>
                <w:sz w:val="18"/>
                <w:szCs w:val="18"/>
                <w:color w:val="auto"/>
              </w:rPr>
              <w:t>Paid-in-kind interest income</w:t>
            </w:r>
          </w:p>
        </w:tc>
        <w:tc>
          <w:tcPr>
            <w:tcW w:w="160" w:type="dxa"/>
            <w:vAlign w:val="bottom"/>
          </w:tcPr>
          <w:p>
            <w:pPr>
              <w:spacing w:after="0"/>
              <w:rPr>
                <w:sz w:val="18"/>
                <w:szCs w:val="18"/>
                <w:color w:val="auto"/>
              </w:rPr>
            </w:pPr>
          </w:p>
        </w:tc>
        <w:tc>
          <w:tcPr>
            <w:tcW w:w="2000" w:type="dxa"/>
            <w:vAlign w:val="bottom"/>
            <w:gridSpan w:val="2"/>
          </w:tcPr>
          <w:p>
            <w:pPr>
              <w:jc w:val="right"/>
              <w:ind w:right="460"/>
              <w:spacing w:after="0"/>
              <w:rPr>
                <w:sz w:val="20"/>
                <w:szCs w:val="20"/>
                <w:color w:val="auto"/>
              </w:rPr>
            </w:pPr>
            <w:r>
              <w:rPr>
                <w:rFonts w:ascii="Arial" w:cs="Arial" w:eastAsia="Arial" w:hAnsi="Arial"/>
                <w:sz w:val="18"/>
                <w:szCs w:val="18"/>
                <w:color w:val="auto"/>
              </w:rPr>
              <w:t>(900,398)</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gridSpan w:val="2"/>
          </w:tcPr>
          <w:p>
            <w:pPr>
              <w:jc w:val="right"/>
              <w:ind w:right="40"/>
              <w:spacing w:after="0"/>
              <w:rPr>
                <w:sz w:val="20"/>
                <w:szCs w:val="20"/>
                <w:color w:val="auto"/>
              </w:rPr>
            </w:pPr>
            <w:r>
              <w:rPr>
                <w:rFonts w:ascii="Arial" w:cs="Arial" w:eastAsia="Arial" w:hAnsi="Arial"/>
                <w:sz w:val="18"/>
                <w:szCs w:val="18"/>
                <w:color w:val="auto"/>
              </w:rPr>
              <w:t>(566,776)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Net accretion of discount on investments</w:t>
            </w:r>
          </w:p>
        </w:tc>
        <w:tc>
          <w:tcPr>
            <w:tcW w:w="16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(377,279)</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(435,222)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ind w:left="700"/>
              <w:spacing w:after="0"/>
              <w:rPr>
                <w:sz w:val="20"/>
                <w:szCs w:val="20"/>
                <w:color w:val="auto"/>
              </w:rPr>
            </w:pPr>
            <w:r>
              <w:rPr>
                <w:rFonts w:ascii="Arial" w:cs="Arial" w:eastAsia="Arial" w:hAnsi="Arial"/>
                <w:sz w:val="18"/>
                <w:szCs w:val="18"/>
                <w:color w:val="auto"/>
              </w:rPr>
              <w:t>Amortization of deferred debt financing costs</w:t>
            </w:r>
          </w:p>
        </w:tc>
        <w:tc>
          <w:tcPr>
            <w:tcW w:w="160" w:type="dxa"/>
            <w:vAlign w:val="bottom"/>
          </w:tcPr>
          <w:p>
            <w:pPr>
              <w:spacing w:after="0"/>
              <w:rPr>
                <w:sz w:val="18"/>
                <w:szCs w:val="18"/>
                <w:color w:val="auto"/>
              </w:rPr>
            </w:pPr>
          </w:p>
        </w:tc>
        <w:tc>
          <w:tcPr>
            <w:tcW w:w="2000" w:type="dxa"/>
            <w:vAlign w:val="bottom"/>
            <w:gridSpan w:val="2"/>
          </w:tcPr>
          <w:p>
            <w:pPr>
              <w:jc w:val="right"/>
              <w:ind w:right="520"/>
              <w:spacing w:after="0"/>
              <w:rPr>
                <w:sz w:val="20"/>
                <w:szCs w:val="20"/>
                <w:color w:val="auto"/>
              </w:rPr>
            </w:pPr>
            <w:r>
              <w:rPr>
                <w:rFonts w:ascii="Arial" w:cs="Arial" w:eastAsia="Arial" w:hAnsi="Arial"/>
                <w:sz w:val="18"/>
                <w:szCs w:val="18"/>
                <w:color w:val="auto"/>
              </w:rPr>
              <w:t>669,831</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gridSpan w:val="2"/>
          </w:tcPr>
          <w:p>
            <w:pPr>
              <w:jc w:val="right"/>
              <w:ind w:right="100"/>
              <w:spacing w:after="0"/>
              <w:rPr>
                <w:sz w:val="20"/>
                <w:szCs w:val="20"/>
                <w:color w:val="auto"/>
              </w:rPr>
            </w:pPr>
            <w:r>
              <w:rPr>
                <w:rFonts w:ascii="Arial" w:cs="Arial" w:eastAsia="Arial" w:hAnsi="Arial"/>
                <w:sz w:val="18"/>
                <w:szCs w:val="18"/>
                <w:color w:val="auto"/>
              </w:rPr>
              <w:t>726,579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Net realized gain from investments</w:t>
            </w:r>
          </w:p>
        </w:tc>
        <w:tc>
          <w:tcPr>
            <w:tcW w:w="16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(4,231,006)</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(3,203,399)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ind w:left="700"/>
              <w:spacing w:after="0"/>
              <w:rPr>
                <w:sz w:val="20"/>
                <w:szCs w:val="20"/>
                <w:color w:val="auto"/>
              </w:rPr>
            </w:pPr>
            <w:r>
              <w:rPr>
                <w:rFonts w:ascii="Arial" w:cs="Arial" w:eastAsia="Arial" w:hAnsi="Arial"/>
                <w:sz w:val="18"/>
                <w:szCs w:val="18"/>
                <w:color w:val="auto"/>
              </w:rPr>
              <w:t>Net unrealized (appreciation) depreciation on investments</w:t>
            </w:r>
          </w:p>
        </w:tc>
        <w:tc>
          <w:tcPr>
            <w:tcW w:w="160" w:type="dxa"/>
            <w:vAlign w:val="bottom"/>
          </w:tcPr>
          <w:p>
            <w:pPr>
              <w:spacing w:after="0"/>
              <w:rPr>
                <w:sz w:val="18"/>
                <w:szCs w:val="18"/>
                <w:color w:val="auto"/>
              </w:rPr>
            </w:pPr>
          </w:p>
        </w:tc>
        <w:tc>
          <w:tcPr>
            <w:tcW w:w="2000" w:type="dxa"/>
            <w:vAlign w:val="bottom"/>
            <w:gridSpan w:val="2"/>
          </w:tcPr>
          <w:p>
            <w:pPr>
              <w:jc w:val="right"/>
              <w:ind w:right="460"/>
              <w:spacing w:after="0"/>
              <w:rPr>
                <w:sz w:val="20"/>
                <w:szCs w:val="20"/>
                <w:color w:val="auto"/>
              </w:rPr>
            </w:pPr>
            <w:r>
              <w:rPr>
                <w:rFonts w:ascii="Arial" w:cs="Arial" w:eastAsia="Arial" w:hAnsi="Arial"/>
                <w:sz w:val="18"/>
                <w:szCs w:val="18"/>
                <w:color w:val="auto"/>
              </w:rPr>
              <w:t>(239,354)</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gridSpan w:val="2"/>
          </w:tcPr>
          <w:p>
            <w:pPr>
              <w:jc w:val="right"/>
              <w:ind w:right="100"/>
              <w:spacing w:after="0"/>
              <w:rPr>
                <w:sz w:val="20"/>
                <w:szCs w:val="20"/>
                <w:color w:val="auto"/>
              </w:rPr>
            </w:pPr>
            <w:r>
              <w:rPr>
                <w:rFonts w:ascii="Arial" w:cs="Arial" w:eastAsia="Arial" w:hAnsi="Arial"/>
                <w:sz w:val="18"/>
                <w:szCs w:val="18"/>
                <w:color w:val="auto"/>
              </w:rPr>
              <w:t>1,686,263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Proceeds from sale and redemption of investments</w:t>
            </w:r>
          </w:p>
        </w:tc>
        <w:tc>
          <w:tcPr>
            <w:tcW w:w="16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62,676,779</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51,175,739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ind w:left="700"/>
              <w:spacing w:after="0"/>
              <w:rPr>
                <w:sz w:val="20"/>
                <w:szCs w:val="20"/>
                <w:color w:val="auto"/>
              </w:rPr>
            </w:pPr>
            <w:r>
              <w:rPr>
                <w:rFonts w:ascii="Arial" w:cs="Arial" w:eastAsia="Arial" w:hAnsi="Arial"/>
                <w:sz w:val="18"/>
                <w:szCs w:val="18"/>
                <w:color w:val="auto"/>
              </w:rPr>
              <w:t>Purchase of investments</w:t>
            </w:r>
          </w:p>
        </w:tc>
        <w:tc>
          <w:tcPr>
            <w:tcW w:w="160" w:type="dxa"/>
            <w:vAlign w:val="bottom"/>
          </w:tcPr>
          <w:p>
            <w:pPr>
              <w:spacing w:after="0"/>
              <w:rPr>
                <w:sz w:val="18"/>
                <w:szCs w:val="18"/>
                <w:color w:val="auto"/>
              </w:rPr>
            </w:pPr>
          </w:p>
        </w:tc>
        <w:tc>
          <w:tcPr>
            <w:tcW w:w="2000" w:type="dxa"/>
            <w:vAlign w:val="bottom"/>
            <w:gridSpan w:val="2"/>
          </w:tcPr>
          <w:p>
            <w:pPr>
              <w:jc w:val="right"/>
              <w:ind w:right="460"/>
              <w:spacing w:after="0"/>
              <w:rPr>
                <w:sz w:val="20"/>
                <w:szCs w:val="20"/>
                <w:color w:val="auto"/>
              </w:rPr>
            </w:pPr>
            <w:r>
              <w:rPr>
                <w:rFonts w:ascii="Arial" w:cs="Arial" w:eastAsia="Arial" w:hAnsi="Arial"/>
                <w:sz w:val="18"/>
                <w:szCs w:val="18"/>
                <w:color w:val="auto"/>
              </w:rPr>
              <w:t>(57,428,806)</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gridSpan w:val="2"/>
          </w:tcPr>
          <w:p>
            <w:pPr>
              <w:jc w:val="right"/>
              <w:ind w:right="40"/>
              <w:spacing w:after="0"/>
              <w:rPr>
                <w:sz w:val="20"/>
                <w:szCs w:val="20"/>
                <w:color w:val="auto"/>
              </w:rPr>
            </w:pPr>
            <w:r>
              <w:rPr>
                <w:rFonts w:ascii="Arial" w:cs="Arial" w:eastAsia="Arial" w:hAnsi="Arial"/>
                <w:sz w:val="18"/>
                <w:szCs w:val="18"/>
                <w:color w:val="auto"/>
              </w:rPr>
              <w:t>(83,985,346)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(Increase) decrease in operating assets:</w:t>
            </w: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ind w:left="1060"/>
              <w:spacing w:after="0"/>
              <w:rPr>
                <w:sz w:val="20"/>
                <w:szCs w:val="20"/>
                <w:color w:val="auto"/>
              </w:rPr>
            </w:pPr>
            <w:r>
              <w:rPr>
                <w:rFonts w:ascii="Arial" w:cs="Arial" w:eastAsia="Arial" w:hAnsi="Arial"/>
                <w:sz w:val="18"/>
                <w:szCs w:val="18"/>
                <w:color w:val="auto"/>
              </w:rPr>
              <w:t>Cash and cash equivalents, reserve accounts</w:t>
            </w:r>
          </w:p>
        </w:tc>
        <w:tc>
          <w:tcPr>
            <w:tcW w:w="160" w:type="dxa"/>
            <w:vAlign w:val="bottom"/>
          </w:tcPr>
          <w:p>
            <w:pPr>
              <w:spacing w:after="0"/>
              <w:rPr>
                <w:sz w:val="18"/>
                <w:szCs w:val="18"/>
                <w:color w:val="auto"/>
              </w:rPr>
            </w:pPr>
          </w:p>
        </w:tc>
        <w:tc>
          <w:tcPr>
            <w:tcW w:w="2000" w:type="dxa"/>
            <w:vAlign w:val="bottom"/>
            <w:gridSpan w:val="2"/>
          </w:tcPr>
          <w:p>
            <w:pPr>
              <w:jc w:val="right"/>
              <w:ind w:right="460"/>
              <w:spacing w:after="0"/>
              <w:rPr>
                <w:sz w:val="20"/>
                <w:szCs w:val="20"/>
                <w:color w:val="auto"/>
              </w:rPr>
            </w:pPr>
            <w:r>
              <w:rPr>
                <w:rFonts w:ascii="Arial" w:cs="Arial" w:eastAsia="Arial" w:hAnsi="Arial"/>
                <w:sz w:val="18"/>
                <w:szCs w:val="18"/>
                <w:color w:val="auto"/>
              </w:rPr>
              <w:t>(2,970,027)</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gridSpan w:val="2"/>
          </w:tcPr>
          <w:p>
            <w:pPr>
              <w:jc w:val="right"/>
              <w:ind w:right="40"/>
              <w:spacing w:after="0"/>
              <w:rPr>
                <w:sz w:val="20"/>
                <w:szCs w:val="20"/>
                <w:color w:val="auto"/>
              </w:rPr>
            </w:pPr>
            <w:r>
              <w:rPr>
                <w:rFonts w:ascii="Arial" w:cs="Arial" w:eastAsia="Arial" w:hAnsi="Arial"/>
                <w:sz w:val="18"/>
                <w:szCs w:val="18"/>
                <w:color w:val="auto"/>
              </w:rPr>
              <w:t>(7,444,962)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Interest receivable</w:t>
            </w:r>
          </w:p>
        </w:tc>
        <w:tc>
          <w:tcPr>
            <w:tcW w:w="16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(504,339)</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(599,123)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ind w:left="1060"/>
              <w:spacing w:after="0"/>
              <w:rPr>
                <w:sz w:val="20"/>
                <w:szCs w:val="20"/>
                <w:color w:val="auto"/>
              </w:rPr>
            </w:pPr>
            <w:r>
              <w:rPr>
                <w:rFonts w:ascii="Arial" w:cs="Arial" w:eastAsia="Arial" w:hAnsi="Arial"/>
                <w:sz w:val="18"/>
                <w:szCs w:val="18"/>
                <w:color w:val="auto"/>
              </w:rPr>
              <w:t>Management fee receivable</w:t>
            </w:r>
          </w:p>
        </w:tc>
        <w:tc>
          <w:tcPr>
            <w:tcW w:w="160" w:type="dxa"/>
            <w:vAlign w:val="bottom"/>
          </w:tcPr>
          <w:p>
            <w:pPr>
              <w:spacing w:after="0"/>
              <w:rPr>
                <w:sz w:val="18"/>
                <w:szCs w:val="18"/>
                <w:color w:val="auto"/>
              </w:rPr>
            </w:pPr>
          </w:p>
        </w:tc>
        <w:tc>
          <w:tcPr>
            <w:tcW w:w="2000" w:type="dxa"/>
            <w:vAlign w:val="bottom"/>
            <w:gridSpan w:val="2"/>
          </w:tcPr>
          <w:p>
            <w:pPr>
              <w:jc w:val="right"/>
              <w:ind w:right="520"/>
              <w:spacing w:after="0"/>
              <w:rPr>
                <w:sz w:val="20"/>
                <w:szCs w:val="20"/>
                <w:color w:val="auto"/>
              </w:rPr>
            </w:pPr>
            <w:r>
              <w:rPr>
                <w:rFonts w:ascii="Arial" w:cs="Arial" w:eastAsia="Arial" w:hAnsi="Arial"/>
                <w:sz w:val="18"/>
                <w:szCs w:val="18"/>
                <w:color w:val="auto"/>
              </w:rPr>
              <w:t>1,657</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gridSpan w:val="2"/>
          </w:tcPr>
          <w:p>
            <w:pPr>
              <w:jc w:val="right"/>
              <w:ind w:right="40"/>
              <w:spacing w:after="0"/>
              <w:rPr>
                <w:sz w:val="20"/>
                <w:szCs w:val="20"/>
                <w:color w:val="auto"/>
              </w:rPr>
            </w:pPr>
            <w:r>
              <w:rPr>
                <w:rFonts w:ascii="Arial" w:cs="Arial" w:eastAsia="Arial" w:hAnsi="Arial"/>
                <w:sz w:val="18"/>
                <w:szCs w:val="18"/>
                <w:color w:val="auto"/>
              </w:rPr>
              <w:t>(28,128)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Other assets</w:t>
            </w:r>
          </w:p>
        </w:tc>
        <w:tc>
          <w:tcPr>
            <w:tcW w:w="16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(163,557)</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ind w:left="700"/>
              <w:spacing w:after="0"/>
              <w:rPr>
                <w:sz w:val="20"/>
                <w:szCs w:val="20"/>
                <w:color w:val="auto"/>
              </w:rPr>
            </w:pPr>
            <w:r>
              <w:rPr>
                <w:rFonts w:ascii="Arial" w:cs="Arial" w:eastAsia="Arial" w:hAnsi="Arial"/>
                <w:sz w:val="18"/>
                <w:szCs w:val="18"/>
                <w:color w:val="auto"/>
              </w:rPr>
              <w:t>Increase (decrease) in operating liabilities:</w:t>
            </w:r>
          </w:p>
        </w:tc>
        <w:tc>
          <w:tcPr>
            <w:tcW w:w="1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Management and incentive fees payable</w:t>
            </w:r>
          </w:p>
        </w:tc>
        <w:tc>
          <w:tcPr>
            <w:tcW w:w="16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(178,074)</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751,827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ind w:left="1060"/>
              <w:spacing w:after="0"/>
              <w:rPr>
                <w:sz w:val="20"/>
                <w:szCs w:val="20"/>
                <w:color w:val="auto"/>
              </w:rPr>
            </w:pPr>
            <w:r>
              <w:rPr>
                <w:rFonts w:ascii="Arial" w:cs="Arial" w:eastAsia="Arial" w:hAnsi="Arial"/>
                <w:sz w:val="18"/>
                <w:szCs w:val="18"/>
                <w:color w:val="auto"/>
              </w:rPr>
              <w:t>Accounts payable and accrued expenses</w:t>
            </w:r>
          </w:p>
        </w:tc>
        <w:tc>
          <w:tcPr>
            <w:tcW w:w="160" w:type="dxa"/>
            <w:vAlign w:val="bottom"/>
          </w:tcPr>
          <w:p>
            <w:pPr>
              <w:spacing w:after="0"/>
              <w:rPr>
                <w:sz w:val="18"/>
                <w:szCs w:val="18"/>
                <w:color w:val="auto"/>
              </w:rPr>
            </w:pPr>
          </w:p>
        </w:tc>
        <w:tc>
          <w:tcPr>
            <w:tcW w:w="2000" w:type="dxa"/>
            <w:vAlign w:val="bottom"/>
            <w:gridSpan w:val="2"/>
          </w:tcPr>
          <w:p>
            <w:pPr>
              <w:jc w:val="right"/>
              <w:ind w:right="460"/>
              <w:spacing w:after="0"/>
              <w:rPr>
                <w:sz w:val="20"/>
                <w:szCs w:val="20"/>
                <w:color w:val="auto"/>
              </w:rPr>
            </w:pPr>
            <w:r>
              <w:rPr>
                <w:rFonts w:ascii="Arial" w:cs="Arial" w:eastAsia="Arial" w:hAnsi="Arial"/>
                <w:sz w:val="18"/>
                <w:szCs w:val="18"/>
                <w:color w:val="auto"/>
              </w:rPr>
              <w:t>(186,914)</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gridSpan w:val="2"/>
          </w:tcPr>
          <w:p>
            <w:pPr>
              <w:jc w:val="right"/>
              <w:ind w:right="40"/>
              <w:spacing w:after="0"/>
              <w:rPr>
                <w:sz w:val="20"/>
                <w:szCs w:val="20"/>
                <w:color w:val="auto"/>
              </w:rPr>
            </w:pPr>
            <w:r>
              <w:rPr>
                <w:rFonts w:ascii="Arial" w:cs="Arial" w:eastAsia="Arial" w:hAnsi="Arial"/>
                <w:sz w:val="18"/>
                <w:szCs w:val="18"/>
                <w:color w:val="auto"/>
              </w:rPr>
              <w:t>(274,003)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Interest and debt fees payable</w:t>
            </w:r>
          </w:p>
        </w:tc>
        <w:tc>
          <w:tcPr>
            <w:tcW w:w="16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(555,104)</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(147,834)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ind w:left="1060"/>
              <w:spacing w:after="0"/>
              <w:rPr>
                <w:sz w:val="20"/>
                <w:szCs w:val="20"/>
                <w:color w:val="auto"/>
              </w:rPr>
            </w:pPr>
            <w:r>
              <w:rPr>
                <w:rFonts w:ascii="Arial" w:cs="Arial" w:eastAsia="Arial" w:hAnsi="Arial"/>
                <w:sz w:val="18"/>
                <w:szCs w:val="18"/>
                <w:color w:val="auto"/>
              </w:rPr>
              <w:t>Due to manager</w:t>
            </w:r>
          </w:p>
        </w:tc>
        <w:tc>
          <w:tcPr>
            <w:tcW w:w="160" w:type="dxa"/>
            <w:vAlign w:val="bottom"/>
          </w:tcPr>
          <w:p>
            <w:pPr>
              <w:spacing w:after="0"/>
              <w:rPr>
                <w:sz w:val="18"/>
                <w:szCs w:val="18"/>
                <w:color w:val="auto"/>
              </w:rPr>
            </w:pPr>
          </w:p>
        </w:tc>
        <w:tc>
          <w:tcPr>
            <w:tcW w:w="2000" w:type="dxa"/>
            <w:vAlign w:val="bottom"/>
            <w:gridSpan w:val="2"/>
          </w:tcPr>
          <w:p>
            <w:pPr>
              <w:jc w:val="right"/>
              <w:ind w:right="460"/>
              <w:spacing w:after="0"/>
              <w:rPr>
                <w:sz w:val="20"/>
                <w:szCs w:val="20"/>
                <w:color w:val="auto"/>
              </w:rPr>
            </w:pPr>
            <w:r>
              <w:rPr>
                <w:rFonts w:ascii="Arial" w:cs="Arial" w:eastAsia="Arial" w:hAnsi="Arial"/>
                <w:sz w:val="18"/>
                <w:szCs w:val="18"/>
                <w:color w:val="auto"/>
              </w:rPr>
              <w:t>(3,958)</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gridSpan w:val="2"/>
          </w:tcPr>
          <w:p>
            <w:pPr>
              <w:jc w:val="right"/>
              <w:ind w:right="40"/>
              <w:spacing w:after="0"/>
              <w:rPr>
                <w:sz w:val="20"/>
                <w:szCs w:val="20"/>
                <w:color w:val="auto"/>
              </w:rPr>
            </w:pPr>
            <w:r>
              <w:rPr>
                <w:rFonts w:ascii="Arial" w:cs="Arial" w:eastAsia="Arial" w:hAnsi="Arial"/>
                <w:sz w:val="18"/>
                <w:szCs w:val="18"/>
                <w:color w:val="auto"/>
              </w:rPr>
              <w:t>(60,721)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0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48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OPERATING ACTIVITIES</w:t>
            </w: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7,658,345</w:t>
            </w:r>
          </w:p>
        </w:tc>
        <w:tc>
          <w:tcPr>
            <w:tcW w:w="5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(34,096,709)</w:t>
            </w:r>
          </w:p>
        </w:tc>
        <w:tc>
          <w:tcPr>
            <w:tcW w:w="0" w:type="dxa"/>
            <w:vAlign w:val="bottom"/>
          </w:tcPr>
          <w:p>
            <w:pPr>
              <w:spacing w:after="0"/>
              <w:rPr>
                <w:sz w:val="1"/>
                <w:szCs w:val="1"/>
                <w:color w:val="auto"/>
              </w:rPr>
            </w:pPr>
          </w:p>
        </w:tc>
      </w:tr>
      <w:tr>
        <w:trPr>
          <w:trHeight w:val="223"/>
        </w:trPr>
        <w:tc>
          <w:tcPr>
            <w:tcW w:w="7040" w:type="dxa"/>
            <w:vAlign w:val="bottom"/>
            <w:gridSpan w:val="2"/>
          </w:tcPr>
          <w:p>
            <w:pPr>
              <w:spacing w:after="0"/>
              <w:rPr>
                <w:sz w:val="20"/>
                <w:szCs w:val="20"/>
                <w:color w:val="auto"/>
              </w:rPr>
            </w:pPr>
            <w:r>
              <w:rPr>
                <w:rFonts w:ascii="Arial" w:cs="Arial" w:eastAsia="Arial" w:hAnsi="Arial"/>
                <w:sz w:val="18"/>
                <w:szCs w:val="18"/>
                <w:b w:val="1"/>
                <w:bCs w:val="1"/>
                <w:color w:val="auto"/>
              </w:rPr>
              <w:t>Financing activities</w:t>
            </w:r>
          </w:p>
        </w:tc>
        <w:tc>
          <w:tcPr>
            <w:tcW w:w="160" w:type="dxa"/>
            <w:vAlign w:val="bottom"/>
            <w:tcBorders>
              <w:top w:val="single" w:sz="8" w:color="auto"/>
            </w:tcBorders>
          </w:tcPr>
          <w:p>
            <w:pPr>
              <w:spacing w:after="0"/>
              <w:rPr>
                <w:sz w:val="19"/>
                <w:szCs w:val="19"/>
                <w:color w:val="auto"/>
              </w:rPr>
            </w:pPr>
          </w:p>
        </w:tc>
        <w:tc>
          <w:tcPr>
            <w:tcW w:w="1480" w:type="dxa"/>
            <w:vAlign w:val="bottom"/>
            <w:tcBorders>
              <w:top w:val="single" w:sz="8" w:color="auto"/>
            </w:tcBorders>
          </w:tcPr>
          <w:p>
            <w:pPr>
              <w:spacing w:after="0"/>
              <w:rPr>
                <w:sz w:val="19"/>
                <w:szCs w:val="19"/>
                <w:color w:val="auto"/>
              </w:rPr>
            </w:pPr>
          </w:p>
        </w:tc>
        <w:tc>
          <w:tcPr>
            <w:tcW w:w="5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5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Borrowings on debt</w:t>
            </w:r>
          </w:p>
        </w:tc>
        <w:tc>
          <w:tcPr>
            <w:tcW w:w="16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10,600,000</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47,600,000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spacing w:after="0"/>
              <w:rPr>
                <w:sz w:val="20"/>
                <w:szCs w:val="20"/>
                <w:color w:val="auto"/>
              </w:rPr>
            </w:pPr>
            <w:r>
              <w:rPr>
                <w:rFonts w:ascii="Arial" w:cs="Arial" w:eastAsia="Arial" w:hAnsi="Arial"/>
                <w:sz w:val="18"/>
                <w:szCs w:val="18"/>
                <w:color w:val="auto"/>
              </w:rPr>
              <w:t>Paydowns on debt</w:t>
            </w:r>
          </w:p>
        </w:tc>
        <w:tc>
          <w:tcPr>
            <w:tcW w:w="160" w:type="dxa"/>
            <w:vAlign w:val="bottom"/>
          </w:tcPr>
          <w:p>
            <w:pPr>
              <w:spacing w:after="0"/>
              <w:rPr>
                <w:sz w:val="18"/>
                <w:szCs w:val="18"/>
                <w:color w:val="auto"/>
              </w:rPr>
            </w:pPr>
          </w:p>
        </w:tc>
        <w:tc>
          <w:tcPr>
            <w:tcW w:w="2000" w:type="dxa"/>
            <w:vAlign w:val="bottom"/>
            <w:gridSpan w:val="2"/>
          </w:tcPr>
          <w:p>
            <w:pPr>
              <w:jc w:val="right"/>
              <w:ind w:right="460"/>
              <w:spacing w:after="0"/>
              <w:rPr>
                <w:sz w:val="20"/>
                <w:szCs w:val="20"/>
                <w:color w:val="auto"/>
              </w:rPr>
            </w:pPr>
            <w:r>
              <w:rPr>
                <w:rFonts w:ascii="Arial" w:cs="Arial" w:eastAsia="Arial" w:hAnsi="Arial"/>
                <w:sz w:val="18"/>
                <w:szCs w:val="18"/>
                <w:color w:val="auto"/>
              </w:rPr>
              <w:t>(20,200,000)</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gridSpan w:val="2"/>
          </w:tcPr>
          <w:p>
            <w:pPr>
              <w:jc w:val="right"/>
              <w:ind w:right="40"/>
              <w:spacing w:after="0"/>
              <w:rPr>
                <w:sz w:val="20"/>
                <w:szCs w:val="20"/>
                <w:color w:val="auto"/>
              </w:rPr>
            </w:pPr>
            <w:r>
              <w:rPr>
                <w:rFonts w:ascii="Arial" w:cs="Arial" w:eastAsia="Arial" w:hAnsi="Arial"/>
                <w:sz w:val="18"/>
                <w:szCs w:val="18"/>
                <w:color w:val="auto"/>
              </w:rPr>
              <w:t>(13,700,000)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Issuance of notes</w:t>
            </w:r>
          </w:p>
        </w:tc>
        <w:tc>
          <w:tcPr>
            <w:tcW w:w="16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13,074,525</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spacing w:after="0"/>
              <w:rPr>
                <w:sz w:val="20"/>
                <w:szCs w:val="20"/>
                <w:color w:val="auto"/>
              </w:rPr>
            </w:pPr>
            <w:r>
              <w:rPr>
                <w:rFonts w:ascii="Arial" w:cs="Arial" w:eastAsia="Arial" w:hAnsi="Arial"/>
                <w:sz w:val="18"/>
                <w:szCs w:val="18"/>
                <w:color w:val="auto"/>
              </w:rPr>
              <w:t>Debt financing cost</w:t>
            </w:r>
          </w:p>
        </w:tc>
        <w:tc>
          <w:tcPr>
            <w:tcW w:w="160" w:type="dxa"/>
            <w:vAlign w:val="bottom"/>
          </w:tcPr>
          <w:p>
            <w:pPr>
              <w:spacing w:after="0"/>
              <w:rPr>
                <w:sz w:val="18"/>
                <w:szCs w:val="18"/>
                <w:color w:val="auto"/>
              </w:rPr>
            </w:pPr>
          </w:p>
        </w:tc>
        <w:tc>
          <w:tcPr>
            <w:tcW w:w="2000" w:type="dxa"/>
            <w:vAlign w:val="bottom"/>
            <w:gridSpan w:val="2"/>
          </w:tcPr>
          <w:p>
            <w:pPr>
              <w:jc w:val="right"/>
              <w:ind w:right="460"/>
              <w:spacing w:after="0"/>
              <w:rPr>
                <w:sz w:val="20"/>
                <w:szCs w:val="20"/>
                <w:color w:val="auto"/>
              </w:rPr>
            </w:pPr>
            <w:r>
              <w:rPr>
                <w:rFonts w:ascii="Arial" w:cs="Arial" w:eastAsia="Arial" w:hAnsi="Arial"/>
                <w:sz w:val="18"/>
                <w:szCs w:val="18"/>
                <w:color w:val="auto"/>
              </w:rPr>
              <w:t>(458,753)</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gridSpan w:val="2"/>
          </w:tcPr>
          <w:p>
            <w:pPr>
              <w:jc w:val="right"/>
              <w:ind w:right="40"/>
              <w:spacing w:after="0"/>
              <w:rPr>
                <w:sz w:val="20"/>
                <w:szCs w:val="20"/>
                <w:color w:val="auto"/>
              </w:rPr>
            </w:pPr>
            <w:r>
              <w:rPr>
                <w:rFonts w:ascii="Arial" w:cs="Arial" w:eastAsia="Arial" w:hAnsi="Arial"/>
                <w:sz w:val="18"/>
                <w:szCs w:val="18"/>
                <w:color w:val="auto"/>
              </w:rPr>
              <w:t>(1,639,800)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Repurchases of common stock</w:t>
            </w:r>
          </w:p>
        </w:tc>
        <w:tc>
          <w:tcPr>
            <w:tcW w:w="16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(38,981)</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spacing w:after="0"/>
              <w:rPr>
                <w:sz w:val="20"/>
                <w:szCs w:val="20"/>
                <w:color w:val="auto"/>
              </w:rPr>
            </w:pPr>
            <w:r>
              <w:rPr>
                <w:rFonts w:ascii="Arial" w:cs="Arial" w:eastAsia="Arial" w:hAnsi="Arial"/>
                <w:sz w:val="18"/>
                <w:szCs w:val="18"/>
                <w:color w:val="auto"/>
              </w:rPr>
              <w:t>Payments of cash dividends</w:t>
            </w:r>
          </w:p>
        </w:tc>
        <w:tc>
          <w:tcPr>
            <w:tcW w:w="160" w:type="dxa"/>
            <w:vAlign w:val="bottom"/>
          </w:tcPr>
          <w:p>
            <w:pPr>
              <w:spacing w:after="0"/>
              <w:rPr>
                <w:sz w:val="18"/>
                <w:szCs w:val="18"/>
                <w:color w:val="auto"/>
              </w:rPr>
            </w:pPr>
          </w:p>
        </w:tc>
        <w:tc>
          <w:tcPr>
            <w:tcW w:w="2000" w:type="dxa"/>
            <w:vAlign w:val="bottom"/>
            <w:gridSpan w:val="2"/>
          </w:tcPr>
          <w:p>
            <w:pPr>
              <w:jc w:val="right"/>
              <w:ind w:right="460"/>
              <w:spacing w:after="0"/>
              <w:rPr>
                <w:sz w:val="20"/>
                <w:szCs w:val="20"/>
                <w:color w:val="auto"/>
              </w:rPr>
            </w:pPr>
            <w:r>
              <w:rPr>
                <w:rFonts w:ascii="Arial" w:cs="Arial" w:eastAsia="Arial" w:hAnsi="Arial"/>
                <w:sz w:val="18"/>
                <w:szCs w:val="18"/>
                <w:color w:val="auto"/>
              </w:rPr>
              <w:t>(6,503,846)</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gridSpan w:val="2"/>
          </w:tcPr>
          <w:p>
            <w:pPr>
              <w:jc w:val="right"/>
              <w:ind w:right="40"/>
              <w:spacing w:after="0"/>
              <w:rPr>
                <w:sz w:val="20"/>
                <w:szCs w:val="20"/>
                <w:color w:val="auto"/>
              </w:rPr>
            </w:pPr>
            <w:r>
              <w:rPr>
                <w:rFonts w:ascii="Arial" w:cs="Arial" w:eastAsia="Arial" w:hAnsi="Arial"/>
                <w:sz w:val="18"/>
                <w:szCs w:val="18"/>
                <w:color w:val="auto"/>
              </w:rPr>
              <w:t>(648,144)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0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48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FINANCING ACTIVITIES</w:t>
            </w:r>
          </w:p>
        </w:tc>
        <w:tc>
          <w:tcPr>
            <w:tcW w:w="16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(3,527,055)</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31,612,056</w:t>
            </w:r>
          </w:p>
        </w:tc>
        <w:tc>
          <w:tcPr>
            <w:tcW w:w="0" w:type="dxa"/>
            <w:vAlign w:val="bottom"/>
          </w:tcPr>
          <w:p>
            <w:pPr>
              <w:spacing w:after="0"/>
              <w:rPr>
                <w:sz w:val="1"/>
                <w:szCs w:val="1"/>
                <w:color w:val="auto"/>
              </w:rPr>
            </w:pPr>
          </w:p>
        </w:tc>
      </w:tr>
      <w:tr>
        <w:trPr>
          <w:trHeight w:val="223"/>
        </w:trPr>
        <w:tc>
          <w:tcPr>
            <w:tcW w:w="7040" w:type="dxa"/>
            <w:vAlign w:val="bottom"/>
            <w:gridSpan w:val="2"/>
          </w:tcPr>
          <w:p>
            <w:pPr>
              <w:spacing w:after="0"/>
              <w:rPr>
                <w:sz w:val="20"/>
                <w:szCs w:val="20"/>
                <w:color w:val="auto"/>
              </w:rPr>
            </w:pPr>
            <w:r>
              <w:rPr>
                <w:rFonts w:ascii="Arial" w:cs="Arial" w:eastAsia="Arial" w:hAnsi="Arial"/>
                <w:sz w:val="18"/>
                <w:szCs w:val="18"/>
                <w:color w:val="auto"/>
              </w:rPr>
              <w:t>NET INCREASE (DECREASE) IN CASH AND CASH EQUIVALENTS</w:t>
            </w:r>
          </w:p>
        </w:tc>
        <w:tc>
          <w:tcPr>
            <w:tcW w:w="160" w:type="dxa"/>
            <w:vAlign w:val="bottom"/>
            <w:tcBorders>
              <w:top w:val="single" w:sz="8" w:color="auto"/>
            </w:tcBorders>
          </w:tcPr>
          <w:p>
            <w:pPr>
              <w:spacing w:after="0"/>
              <w:rPr>
                <w:sz w:val="19"/>
                <w:szCs w:val="19"/>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4,131,290</w:t>
            </w:r>
          </w:p>
        </w:tc>
        <w:tc>
          <w:tcPr>
            <w:tcW w:w="5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(2,484,653)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BEGINNING OF PERIOD</w:t>
            </w:r>
          </w:p>
        </w:tc>
        <w:tc>
          <w:tcPr>
            <w:tcW w:w="16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1,888,158</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3,293,898</w:t>
            </w:r>
          </w:p>
        </w:tc>
        <w:tc>
          <w:tcPr>
            <w:tcW w:w="0" w:type="dxa"/>
            <w:vAlign w:val="bottom"/>
          </w:tcPr>
          <w:p>
            <w:pPr>
              <w:spacing w:after="0"/>
              <w:rPr>
                <w:sz w:val="1"/>
                <w:szCs w:val="1"/>
                <w:color w:val="auto"/>
              </w:rPr>
            </w:pPr>
          </w:p>
        </w:tc>
      </w:tr>
      <w:tr>
        <w:trPr>
          <w:trHeight w:val="223"/>
        </w:trPr>
        <w:tc>
          <w:tcPr>
            <w:tcW w:w="7040" w:type="dxa"/>
            <w:vAlign w:val="bottom"/>
            <w:gridSpan w:val="2"/>
          </w:tcPr>
          <w:p>
            <w:pPr>
              <w:spacing w:after="0"/>
              <w:rPr>
                <w:sz w:val="20"/>
                <w:szCs w:val="20"/>
                <w:color w:val="auto"/>
              </w:rPr>
            </w:pPr>
            <w:r>
              <w:rPr>
                <w:rFonts w:ascii="Arial" w:cs="Arial" w:eastAsia="Arial" w:hAnsi="Arial"/>
                <w:sz w:val="18"/>
                <w:szCs w:val="18"/>
                <w:color w:val="auto"/>
              </w:rPr>
              <w:t>CASH AND CASH EQUIVALENTS, END OF PERIOD</w:t>
            </w: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6,019,448</w:t>
            </w:r>
          </w:p>
        </w:tc>
        <w:tc>
          <w:tcPr>
            <w:tcW w:w="5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809,245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Supplemental information:</w:t>
            </w: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020" w:type="dxa"/>
            <w:vAlign w:val="bottom"/>
          </w:tcPr>
          <w:p>
            <w:pPr>
              <w:ind w:left="340"/>
              <w:spacing w:after="0"/>
              <w:rPr>
                <w:sz w:val="20"/>
                <w:szCs w:val="20"/>
                <w:color w:val="auto"/>
              </w:rPr>
            </w:pPr>
            <w:r>
              <w:rPr>
                <w:rFonts w:ascii="Arial" w:cs="Arial" w:eastAsia="Arial" w:hAnsi="Arial"/>
                <w:sz w:val="18"/>
                <w:szCs w:val="18"/>
                <w:color w:val="auto"/>
              </w:rPr>
              <w:t>Interest paid during the period</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2000" w:type="dxa"/>
            <w:vAlign w:val="bottom"/>
            <w:gridSpan w:val="2"/>
          </w:tcPr>
          <w:p>
            <w:pPr>
              <w:jc w:val="right"/>
              <w:ind w:right="520"/>
              <w:spacing w:after="0"/>
              <w:rPr>
                <w:sz w:val="20"/>
                <w:szCs w:val="20"/>
                <w:color w:val="auto"/>
              </w:rPr>
            </w:pPr>
            <w:r>
              <w:rPr>
                <w:rFonts w:ascii="Arial" w:cs="Arial" w:eastAsia="Arial" w:hAnsi="Arial"/>
                <w:sz w:val="18"/>
                <w:szCs w:val="18"/>
                <w:color w:val="auto"/>
              </w:rPr>
              <w:t>6,126,220</w:t>
            </w:r>
          </w:p>
        </w:tc>
        <w:tc>
          <w:tcPr>
            <w:tcW w:w="62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100"/>
              <w:spacing w:after="0"/>
              <w:rPr>
                <w:sz w:val="20"/>
                <w:szCs w:val="20"/>
                <w:color w:val="auto"/>
              </w:rPr>
            </w:pPr>
            <w:r>
              <w:rPr>
                <w:rFonts w:ascii="Arial" w:cs="Arial" w:eastAsia="Arial" w:hAnsi="Arial"/>
                <w:sz w:val="18"/>
                <w:szCs w:val="18"/>
                <w:color w:val="auto"/>
              </w:rPr>
              <w:t>4,887,477</w:t>
            </w: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70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80" w:type="dxa"/>
            <w:vAlign w:val="bottom"/>
          </w:tcPr>
          <w:p>
            <w:pPr>
              <w:spacing w:after="0"/>
              <w:rPr>
                <w:sz w:val="8"/>
                <w:szCs w:val="8"/>
                <w:color w:val="auto"/>
              </w:rPr>
            </w:pPr>
          </w:p>
        </w:tc>
        <w:tc>
          <w:tcPr>
            <w:tcW w:w="5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Supplemental non-cash information:</w:t>
            </w: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ind w:left="340"/>
              <w:spacing w:after="0"/>
              <w:rPr>
                <w:sz w:val="20"/>
                <w:szCs w:val="20"/>
                <w:color w:val="auto"/>
              </w:rPr>
            </w:pPr>
            <w:r>
              <w:rPr>
                <w:rFonts w:ascii="Arial" w:cs="Arial" w:eastAsia="Arial" w:hAnsi="Arial"/>
                <w:sz w:val="18"/>
                <w:szCs w:val="18"/>
                <w:color w:val="auto"/>
              </w:rPr>
              <w:t>Paid-in-kind interest income</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2000" w:type="dxa"/>
            <w:vAlign w:val="bottom"/>
            <w:gridSpan w:val="2"/>
          </w:tcPr>
          <w:p>
            <w:pPr>
              <w:jc w:val="right"/>
              <w:ind w:right="520"/>
              <w:spacing w:after="0"/>
              <w:rPr>
                <w:sz w:val="20"/>
                <w:szCs w:val="20"/>
                <w:color w:val="auto"/>
              </w:rPr>
            </w:pPr>
            <w:r>
              <w:rPr>
                <w:rFonts w:ascii="Arial" w:cs="Arial" w:eastAsia="Arial" w:hAnsi="Arial"/>
                <w:sz w:val="18"/>
                <w:szCs w:val="18"/>
                <w:color w:val="auto"/>
              </w:rPr>
              <w:t>900,398</w:t>
            </w:r>
          </w:p>
        </w:tc>
        <w:tc>
          <w:tcPr>
            <w:tcW w:w="62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100"/>
              <w:spacing w:after="0"/>
              <w:rPr>
                <w:sz w:val="20"/>
                <w:szCs w:val="20"/>
                <w:color w:val="auto"/>
              </w:rPr>
            </w:pPr>
            <w:r>
              <w:rPr>
                <w:rFonts w:ascii="Arial" w:cs="Arial" w:eastAsia="Arial" w:hAnsi="Arial"/>
                <w:sz w:val="18"/>
                <w:szCs w:val="18"/>
                <w:color w:val="auto"/>
              </w:rPr>
              <w:t>566,776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accretion of discount on investments</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0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377,279</w:t>
            </w:r>
          </w:p>
        </w:tc>
        <w:tc>
          <w:tcPr>
            <w:tcW w:w="6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435,222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ind w:left="340"/>
              <w:spacing w:after="0"/>
              <w:rPr>
                <w:sz w:val="20"/>
                <w:szCs w:val="20"/>
                <w:color w:val="auto"/>
              </w:rPr>
            </w:pPr>
            <w:r>
              <w:rPr>
                <w:rFonts w:ascii="Arial" w:cs="Arial" w:eastAsia="Arial" w:hAnsi="Arial"/>
                <w:sz w:val="18"/>
                <w:szCs w:val="18"/>
                <w:color w:val="auto"/>
              </w:rPr>
              <w:t>Amortization of deferred debt financing costs</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2000" w:type="dxa"/>
            <w:vAlign w:val="bottom"/>
            <w:gridSpan w:val="2"/>
          </w:tcPr>
          <w:p>
            <w:pPr>
              <w:jc w:val="right"/>
              <w:ind w:right="520"/>
              <w:spacing w:after="0"/>
              <w:rPr>
                <w:sz w:val="20"/>
                <w:szCs w:val="20"/>
                <w:color w:val="auto"/>
              </w:rPr>
            </w:pPr>
            <w:r>
              <w:rPr>
                <w:rFonts w:ascii="Arial" w:cs="Arial" w:eastAsia="Arial" w:hAnsi="Arial"/>
                <w:sz w:val="18"/>
                <w:szCs w:val="18"/>
                <w:color w:val="auto"/>
              </w:rPr>
              <w:t>669,831</w:t>
            </w:r>
          </w:p>
        </w:tc>
        <w:tc>
          <w:tcPr>
            <w:tcW w:w="62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100"/>
              <w:spacing w:after="0"/>
              <w:rPr>
                <w:sz w:val="20"/>
                <w:szCs w:val="20"/>
                <w:color w:val="auto"/>
              </w:rPr>
            </w:pPr>
            <w:r>
              <w:rPr>
                <w:rFonts w:ascii="Arial" w:cs="Arial" w:eastAsia="Arial" w:hAnsi="Arial"/>
                <w:sz w:val="18"/>
                <w:szCs w:val="18"/>
                <w:color w:val="auto"/>
              </w:rPr>
              <w:t>726,579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Stock dividend distribution</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0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3,778,630</w:t>
            </w:r>
          </w:p>
        </w:tc>
        <w:tc>
          <w:tcPr>
            <w:tcW w:w="6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SARATOGA INVESTMENT CORP.</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November 30, 2015</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Organization</w:t>
      </w:r>
    </w:p>
    <w:p>
      <w:pPr>
        <w:spacing w:after="0" w:line="121"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Saratoga Investment Corp. (the “Company”, “we”, “our” and “us”) is a non-diversified closed end management investment company incorporated in Maryland that has elected to be treated and is regulated as a business development company (“BDC”) under the Investment Company Act of 1940 (the “1940 Act”). We commenced operations on March 23, 2007 as GSC Investment Corp. and completed our initial public offering (“IPO”) on March 28, 2007. We have elected to be treated as a regulated investment company (“RIC”) under subchapter M of the Internal Revenue Code (the “Code”). We expect to continue to qualify and to elect to be treated for tax purposes as a RIC. Our investment objective is to generate current income and, to a lesser extent, capital appreciation from our investments.</w:t>
      </w:r>
    </w:p>
    <w:p>
      <w:pPr>
        <w:spacing w:after="0" w:line="193"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GSC Investment, LLC (the “LLC”) was organized in May 2006 as a Maryland limited liability company. As of February 28, 2007, the LLC had not yet commenced its operations and investment activities.</w:t>
      </w:r>
    </w:p>
    <w:p>
      <w:pPr>
        <w:spacing w:after="0" w:line="170" w:lineRule="exact"/>
        <w:rPr>
          <w:sz w:val="20"/>
          <w:szCs w:val="20"/>
          <w:color w:val="auto"/>
        </w:rPr>
      </w:pPr>
    </w:p>
    <w:p>
      <w:pPr>
        <w:ind w:right="20" w:firstLine="456"/>
        <w:spacing w:after="0" w:line="312" w:lineRule="auto"/>
        <w:rPr>
          <w:sz w:val="20"/>
          <w:szCs w:val="20"/>
          <w:color w:val="auto"/>
        </w:rPr>
      </w:pPr>
      <w:r>
        <w:rPr>
          <w:rFonts w:ascii="Arial" w:cs="Arial" w:eastAsia="Arial" w:hAnsi="Arial"/>
          <w:sz w:val="16"/>
          <w:szCs w:val="16"/>
          <w:color w:val="auto"/>
        </w:rPr>
        <w:t>On March 21, 2007, the Company was incorporated and concurrently therewith the LLC was merged with and into the Company, with the Company as the surviving entity, in accordance with the procedure for such merger in the LLC’s limited liability company agreement and Maryland law. In connection with such merger, each outstanding limited liability company interest of the LLC was converted into a share of common stock of the Company.</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 July 30, 2010, the Company changed its name from “GSC Investment Corp.” to “Saratoga Investment Corp.”.</w:t>
      </w:r>
    </w:p>
    <w:p>
      <w:pPr>
        <w:spacing w:after="0" w:line="225"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We are externally managed and advised by our investment adviser, Saratoga Investment Advisors, LLC (the “Manager”), pursuant to the Management Agreement. Prior to July 30, 2010, we were managed and advised by GSCP (NJ), L.P.</w:t>
      </w:r>
    </w:p>
    <w:p>
      <w:pPr>
        <w:spacing w:after="0" w:line="170"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On March 28, 2012, our wholly-owned subsidiary, Saratoga Investment Corp. SBIC, LP (“SBIC LP”), received a Small Business Investment Company (“SBIC”) license from the Small Business Administration (“SBA”).</w:t>
      </w:r>
    </w:p>
    <w:p>
      <w:pPr>
        <w:spacing w:after="0" w:line="170" w:lineRule="exact"/>
        <w:rPr>
          <w:sz w:val="20"/>
          <w:szCs w:val="20"/>
          <w:color w:val="auto"/>
        </w:rPr>
      </w:pPr>
    </w:p>
    <w:p>
      <w:pPr>
        <w:ind w:right="20" w:firstLine="456"/>
        <w:spacing w:after="0" w:line="276" w:lineRule="auto"/>
        <w:rPr>
          <w:sz w:val="20"/>
          <w:szCs w:val="20"/>
          <w:color w:val="auto"/>
        </w:rPr>
      </w:pPr>
      <w:r>
        <w:rPr>
          <w:rFonts w:ascii="Arial" w:cs="Arial" w:eastAsia="Arial" w:hAnsi="Arial"/>
          <w:sz w:val="17"/>
          <w:szCs w:val="17"/>
          <w:color w:val="auto"/>
        </w:rPr>
        <w:t>On April 2, 2015, the SBA issued a “green light” or “go forth” letter inviting us to continue our application process to obtain a license to form and operate its second SBIC subsidiary. If approved, a second SBIC license would provide us an incremental source of long-term capital by permitting us to issue $75 million of additional SBA-guaranteed debentures in addition to the $150 million already approved under the first license. Receipt of a green light letter from the SBA does not assure an applicant that the SBA will ultimately issue an SBIC license and we have received no assurance or indication from the SBA that it will receive an SBIC license, or of the timeframe in which it would receive a license, should one be granted.</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Summary of Significant Accounting Policies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accompanying consolidated financial statements have been prepared on the accrual basis of accounting in conformity with U.S. generally accepted</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accounting principles (“U.S. GAAP”) and include the accounts of the Company and its special purpose financing subsidiary, Saratoga Investment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Funding, LLC (previously known as GSC Investment Funding LLC). All intercompany accounts and transactions have been eliminated in consolidation. All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references made to the “Company,” “we,” and “us” herein include Saratoga Investment Corp. and its consolidated subsidiary, except as stated otherwise.</w:t>
      </w:r>
    </w:p>
    <w:p>
      <w:pPr>
        <w:spacing w:after="0" w:line="234" w:lineRule="exact"/>
        <w:rPr>
          <w:sz w:val="20"/>
          <w:szCs w:val="20"/>
          <w:color w:val="auto"/>
        </w:rPr>
      </w:pPr>
    </w:p>
    <w:p>
      <w:pPr>
        <w:jc w:val="both"/>
        <w:ind w:right="180" w:firstLine="456"/>
        <w:spacing w:after="0" w:line="264" w:lineRule="auto"/>
        <w:rPr>
          <w:sz w:val="20"/>
          <w:szCs w:val="20"/>
          <w:color w:val="auto"/>
        </w:rPr>
      </w:pPr>
      <w:r>
        <w:rPr>
          <w:rFonts w:ascii="Arial" w:cs="Arial" w:eastAsia="Arial" w:hAnsi="Arial"/>
          <w:sz w:val="18"/>
          <w:szCs w:val="18"/>
          <w:color w:val="auto"/>
        </w:rPr>
        <w:t>The Company and SBIC LP are both considered to be investment companies for financial reporting purposes and have applied the guidance in Topic 946, “Financial Services — Investment Companies”. There have been no changes to the Company or SBIC LP’s status as investment companies during the nine months ended November 30, 2015.</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80"/>
          </w:cols>
          <w:pgMar w:left="240" w:top="459" w:right="27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 in the Preparation of Financial Statements</w:t>
      </w:r>
    </w:p>
    <w:p>
      <w:pPr>
        <w:spacing w:after="0" w:line="121" w:lineRule="exact"/>
        <w:rPr>
          <w:sz w:val="20"/>
          <w:szCs w:val="20"/>
          <w:color w:val="auto"/>
        </w:rPr>
      </w:pPr>
    </w:p>
    <w:p>
      <w:pPr>
        <w:ind w:right="140" w:firstLine="456"/>
        <w:spacing w:after="0" w:line="286" w:lineRule="auto"/>
        <w:rPr>
          <w:sz w:val="20"/>
          <w:szCs w:val="20"/>
          <w:color w:val="auto"/>
        </w:rPr>
      </w:pPr>
      <w:r>
        <w:rPr>
          <w:rFonts w:ascii="Arial" w:cs="Arial" w:eastAsia="Arial" w:hAnsi="Arial"/>
          <w:sz w:val="17"/>
          <w:szCs w:val="17"/>
          <w:color w:val="auto"/>
        </w:rPr>
        <w:t>The preparation of the accompanying consolidated financial statements in conformity with U.S. GAAP requires management to make estimates and assumptions that affect the reported amounts of assets and liabilities, and disclosure of contingent assets and liabilities at the date of the financial statements, and income, gains (losses) and expenses during the period reported. Actual results could differ materially from those estimates.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121" w:lineRule="exact"/>
        <w:rPr>
          <w:sz w:val="20"/>
          <w:szCs w:val="20"/>
          <w:color w:val="auto"/>
        </w:rPr>
      </w:pPr>
    </w:p>
    <w:p>
      <w:pPr>
        <w:ind w:right="300" w:firstLine="456"/>
        <w:spacing w:after="0" w:line="264" w:lineRule="auto"/>
        <w:rPr>
          <w:sz w:val="20"/>
          <w:szCs w:val="20"/>
          <w:color w:val="auto"/>
        </w:rPr>
      </w:pPr>
      <w:r>
        <w:rPr>
          <w:rFonts w:ascii="Arial" w:cs="Arial" w:eastAsia="Arial" w:hAnsi="Arial"/>
          <w:sz w:val="18"/>
          <w:szCs w:val="18"/>
          <w:color w:val="auto"/>
        </w:rPr>
        <w:t>Cash and cash equivalents include short-term, liquid investments in a money market fund. Cash and cash equivalents are carried at cost which approximates fair value. Per section 12(d)(1)(A) of the 1940 Act, the Company may not invest in another registered investment company such as a money market fund, if such investment would cause the Company to exceed any of the following limitations:</w:t>
      </w:r>
    </w:p>
    <w:p>
      <w:pPr>
        <w:spacing w:after="0" w:line="87" w:lineRule="exact"/>
        <w:rPr>
          <w:sz w:val="20"/>
          <w:szCs w:val="20"/>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were to own more than 3.0% of the total outstanding voting stock of the money market fund;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were to hold securities in the money market fund having an aggregate value in excess of 5.0% of the value of our total assets; or</w:t>
      </w:r>
    </w:p>
    <w:p>
      <w:pPr>
        <w:spacing w:after="0" w:line="130" w:lineRule="exact"/>
        <w:rPr>
          <w:rFonts w:ascii="Arial" w:cs="Arial" w:eastAsia="Arial" w:hAnsi="Arial"/>
          <w:sz w:val="18"/>
          <w:szCs w:val="18"/>
          <w:color w:val="auto"/>
        </w:rPr>
      </w:pPr>
    </w:p>
    <w:p>
      <w:pPr>
        <w:ind w:left="900" w:right="200" w:hanging="325"/>
        <w:spacing w:after="0" w:line="277"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were to hold securities in money market funds and other registered investment companies and BDCs having an aggregate value in excess of 10.0% of the value of our total assets.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November 30, 2015, the Company did not exceed any of these limitations.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 Reserve Accounts</w:t>
      </w:r>
    </w:p>
    <w:p>
      <w:pPr>
        <w:spacing w:after="0" w:line="121"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Cash and cash equivalents, reserve accounts include amounts held in designated bank accounts in the form of cash and short-term liquid investments in money market funds representing payments received on secured investments or other reserved amounts associated with our $45.0 million senior secured revolving credit facility with Madison Capital Funding LLC. The Company is required to use these amounts to pay interest expense, reduce borrowings, or pay other amounts in accordance with the terms of the senior secured revolving credit facility.</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Classification</w:t>
      </w:r>
    </w:p>
    <w:p>
      <w:pPr>
        <w:spacing w:after="0" w:line="121"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The Company classifies its investments in accordance with the requirements of the 1940 Act. Under the 1940 Act, “Control Investments” are defined as investments in companies in which we own more than 25.0% of the voting securities or maintain greater than 50.0% of the board representation. Under the 1940 Act, “Affiliated Investments” are defined as those non-control investments in companies in which we own between 5.0% and 25.0% of the voting securities. Under the 1940 Act, “Non-affiliated Investments” are defined as investments that are neither Control Investments nor Affiliated Investments.</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Valuation</w:t>
      </w:r>
    </w:p>
    <w:p>
      <w:pPr>
        <w:spacing w:after="0" w:line="12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 xml:space="preserve">The Company accounts for its investments at fair value in accordance with the Financial Accounting Standards Board (“FASB”) Accounting Standards Codification (“ASC”) Topic 820, </w:t>
      </w:r>
      <w:r>
        <w:rPr>
          <w:rFonts w:ascii="Arial" w:cs="Arial" w:eastAsia="Arial" w:hAnsi="Arial"/>
          <w:sz w:val="18"/>
          <w:szCs w:val="18"/>
          <w:i w:val="1"/>
          <w:iCs w:val="1"/>
          <w:color w:val="auto"/>
        </w:rPr>
        <w:t>Fair Value Measurements and Disclosures</w:t>
      </w:r>
      <w:r>
        <w:rPr>
          <w:rFonts w:ascii="Arial" w:cs="Arial" w:eastAsia="Arial" w:hAnsi="Arial"/>
          <w:sz w:val="18"/>
          <w:szCs w:val="18"/>
          <w:color w:val="auto"/>
        </w:rPr>
        <w:t xml:space="preserve"> (“ASC 820”). ASC 820 defines fair value, establishes a framework for measuring fair value, establishes a fair value hierarchy based on the quality of inputs used to measure fair value and enhances disclosure requirements for fair value measurements. ASC 820 requires the Company to assume that its investments are to be sold at the statement of assets and liabilities date in the principal market to independent market participants, or in the absence of a principal market, in the most advantageous market, which may be a hypothetical market. Market participants are defined as buyers and sellers in the principal or most advantageous market that are independent, knowledgeable, and willing and able to transact.</w:t>
      </w:r>
    </w:p>
    <w:p>
      <w:pPr>
        <w:spacing w:after="0" w:line="189"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Investments for which market quotations are readily available are fair valued at such market quotations obtained from independent third party pricing services and market makers subject to any decision by our board of directors to approve a fair value determination to reflect significant events affecting the value of these investments. We value investments for which market quotations are not readily available at fair value as approved, in good faith, by our board of directors based on input from our Manager, the audit committee of our board of directors and a third party independent valuation firm. Determinations of fair value may involve subjective judgments and estimates. The types of factors that may be considered in determining the fair value of our investments include the nature and realizable value of any collateral, the portfolio company’s ability to make payments, market yield trend analysis, the markets in which the portfolio company does business, comparison to publicly traded companies, discounted cash flow and other relevant factors.</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We undertake a multi-step valuation process each quarter when valuing investments for which market quotations are not readily available, as described below:</w:t>
      </w:r>
    </w:p>
    <w:p>
      <w:pPr>
        <w:spacing w:after="0" w:line="76" w:lineRule="exact"/>
        <w:rPr>
          <w:sz w:val="20"/>
          <w:szCs w:val="20"/>
          <w:color w:val="auto"/>
        </w:rPr>
      </w:pPr>
    </w:p>
    <w:p>
      <w:pPr>
        <w:ind w:left="900" w:right="600" w:hanging="325"/>
        <w:spacing w:after="0" w:line="277"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Each investment is initially valued by the responsible investment professionals of our Manager and preliminary valuation conclusions are documented and discussed with the senior management of our Manager; and</w:t>
      </w:r>
    </w:p>
    <w:p>
      <w:pPr>
        <w:spacing w:after="0" w:line="75" w:lineRule="exact"/>
        <w:rPr>
          <w:rFonts w:ascii="Arial" w:cs="Arial" w:eastAsia="Arial" w:hAnsi="Arial"/>
          <w:sz w:val="18"/>
          <w:szCs w:val="18"/>
          <w:color w:val="auto"/>
        </w:rPr>
      </w:pPr>
    </w:p>
    <w:p>
      <w:pPr>
        <w:ind w:left="900" w:right="40" w:hanging="325"/>
        <w:spacing w:after="0" w:line="264"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 independent valuation firm engaged by our board of directors reviews approximately one quarter of these preliminary valuations each quarter so that the valuation of each investment for which market quotes are not readily available is reviewed by the independent valuation firm at least annually.</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addition, all our investments are subject to the following valuation process:</w:t>
      </w:r>
    </w:p>
    <w:p>
      <w:pPr>
        <w:spacing w:after="0" w:line="131" w:lineRule="exact"/>
        <w:rPr>
          <w:sz w:val="20"/>
          <w:szCs w:val="20"/>
          <w:color w:val="auto"/>
        </w:rPr>
      </w:pPr>
    </w:p>
    <w:p>
      <w:pPr>
        <w:ind w:left="900" w:hanging="325"/>
        <w:spacing w:after="0" w:line="277"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audit committee of our board of directors reviews each preliminary valuation and our Manager and independent valuation firm (if applicable) will supplement the preliminary valuation to reflect any comments provided by the audit committee; and</w:t>
      </w:r>
    </w:p>
    <w:p>
      <w:pPr>
        <w:spacing w:after="0" w:line="75" w:lineRule="exact"/>
        <w:rPr>
          <w:rFonts w:ascii="Arial" w:cs="Arial" w:eastAsia="Arial" w:hAnsi="Arial"/>
          <w:sz w:val="18"/>
          <w:szCs w:val="18"/>
          <w:color w:val="auto"/>
        </w:rPr>
      </w:pPr>
    </w:p>
    <w:p>
      <w:pPr>
        <w:ind w:left="900" w:right="120" w:hanging="325"/>
        <w:spacing w:after="0" w:line="277"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board of directors discusses the valuations and approves the fair value of each investment, in good faith, based on the input of our Manager, independent valuation firm (to the extent applicable) and the audit committee of our board of directors.</w:t>
      </w:r>
    </w:p>
    <w:p>
      <w:pPr>
        <w:spacing w:after="0" w:line="170" w:lineRule="exact"/>
        <w:rPr>
          <w:sz w:val="20"/>
          <w:szCs w:val="20"/>
          <w:color w:val="auto"/>
        </w:rPr>
      </w:pPr>
    </w:p>
    <w:p>
      <w:pPr>
        <w:ind w:right="160" w:firstLine="456"/>
        <w:spacing w:after="0" w:line="290" w:lineRule="auto"/>
        <w:rPr>
          <w:sz w:val="20"/>
          <w:szCs w:val="20"/>
          <w:color w:val="auto"/>
        </w:rPr>
      </w:pPr>
      <w:r>
        <w:rPr>
          <w:rFonts w:ascii="Arial" w:cs="Arial" w:eastAsia="Arial" w:hAnsi="Arial"/>
          <w:sz w:val="16"/>
          <w:szCs w:val="16"/>
          <w:color w:val="auto"/>
        </w:rPr>
        <w:t>Our investment in Saratoga Investment Corp. CLO 2013-1, Ltd. (“Saratoga CLO”) is carried at fair value, which is based on a discounted cash flow model that utilizes prepayment, re-investment and loss assumptions based on historical experience and projected performance, economic factors, the characteristics of the underlying cash flow, and comparable yields for equity interests in collateralized loan obligation funds similar to Saratoga CLO, when available, as determined by our Manager and recommended to our board of directors. Specifically, we use Intex cash flow models, or an appropriate substitute, to form the basis for the valuation of our investment in Saratoga CLO. The models use a set of assumptions including projected default rates, recovery rates, reinvestment rate and prepayment rates in order to arrive at estimated valuations. The assumptions are based on available market data and projections provided by third parties as well as management estimates. We use the output from the Intex models (i.e., the estimated cash flows) to perform a discounted cash flows analysis on expected future cash flows to determine a valuation for our investment in Saratoga CLO.</w:t>
      </w:r>
    </w:p>
    <w:p>
      <w:pPr>
        <w:spacing w:after="0" w:line="166" w:lineRule="exact"/>
        <w:rPr>
          <w:sz w:val="20"/>
          <w:szCs w:val="20"/>
          <w:color w:val="auto"/>
        </w:rPr>
      </w:pPr>
    </w:p>
    <w:p>
      <w:pPr>
        <w:ind w:right="140" w:firstLine="456"/>
        <w:spacing w:after="0" w:line="279" w:lineRule="auto"/>
        <w:rPr>
          <w:sz w:val="20"/>
          <w:szCs w:val="20"/>
          <w:color w:val="auto"/>
        </w:rPr>
      </w:pPr>
      <w:r>
        <w:rPr>
          <w:rFonts w:ascii="Arial" w:cs="Arial" w:eastAsia="Arial" w:hAnsi="Arial"/>
          <w:sz w:val="17"/>
          <w:szCs w:val="17"/>
          <w:color w:val="auto"/>
        </w:rPr>
        <w:t>Because such valuations, and particularly valuations of private investments and private companies, are inherently uncertain, they may fluctuate over short periods of time and may be based on estimates. The determination of fair value may differ materially from the values that would have been used if a ready market for these investments existed. Our net asset value could be materially affected if the determinations regarding the fair value of our investments were materially higher or lower than the values that we ultimately realize upon the disposal of such investments.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 Financial Instruments</w:t>
      </w:r>
    </w:p>
    <w:p>
      <w:pPr>
        <w:spacing w:after="0" w:line="121"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 xml:space="preserve">We account for derivative financial instruments in accordance with ASC Topic 815, </w:t>
      </w:r>
      <w:r>
        <w:rPr>
          <w:rFonts w:ascii="Arial" w:cs="Arial" w:eastAsia="Arial" w:hAnsi="Arial"/>
          <w:sz w:val="18"/>
          <w:szCs w:val="18"/>
          <w:i w:val="1"/>
          <w:iCs w:val="1"/>
          <w:color w:val="auto"/>
        </w:rPr>
        <w:t>Derivatives and Hedging</w:t>
      </w:r>
      <w:r>
        <w:rPr>
          <w:rFonts w:ascii="Arial" w:cs="Arial" w:eastAsia="Arial" w:hAnsi="Arial"/>
          <w:sz w:val="18"/>
          <w:szCs w:val="18"/>
          <w:color w:val="auto"/>
        </w:rPr>
        <w:t xml:space="preserve"> (“ASC 815”). ASC 815 requires recognizing all derivative instruments as either assets or liabilities on the consolidated statements of assets and liabilities at fair value. The Company values derivative contracts at the closing fair value provided by the counterparty. Changes in the values of derivative contracts are included in the consolidated statements of operations.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Transactions and Income Recognition</w:t>
      </w:r>
    </w:p>
    <w:p>
      <w:pPr>
        <w:spacing w:after="0" w:line="121" w:lineRule="exact"/>
        <w:rPr>
          <w:sz w:val="20"/>
          <w:szCs w:val="20"/>
          <w:color w:val="auto"/>
        </w:rPr>
      </w:pPr>
    </w:p>
    <w:p>
      <w:pPr>
        <w:ind w:right="40" w:firstLine="456"/>
        <w:spacing w:after="0" w:line="276" w:lineRule="auto"/>
        <w:rPr>
          <w:sz w:val="20"/>
          <w:szCs w:val="20"/>
          <w:color w:val="auto"/>
        </w:rPr>
      </w:pPr>
      <w:r>
        <w:rPr>
          <w:rFonts w:ascii="Arial" w:cs="Arial" w:eastAsia="Arial" w:hAnsi="Arial"/>
          <w:sz w:val="17"/>
          <w:szCs w:val="17"/>
          <w:color w:val="auto"/>
        </w:rPr>
        <w:t>Purchases and sales of investments and the related realized gains or losses are recorded on a trade-date basis. Interest income, adjusted for amortization of premium and accretion of discount, is recorded on an accrual basis to the extent that such amounts are expected to be collected. The Company stops accruing interest on its investments when it is determined that interest is no longer collectible. Discounts and premiums on investments purchased are accreted/amortized over the life of the respective investment using the effective yield method. The amortized cost of investments represents the original cost adjusted for the accretion of discounts and amortizations of premium on investments.</w:t>
      </w:r>
    </w:p>
    <w:p>
      <w:pPr>
        <w:spacing w:after="0" w:line="173"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Loans are generally placed on non-accrual status when there is reasonable doubt that principal or interest will be collected. Accrued interest is generally reserved when a loan is placed on non-accrual status. Interest payments received on non-accrual loans may be recognized as a reduction in principal depending upon management’s judgment regarding collectability. Non-accrual loans are restored to accrual status when past due principal and interest is paid and, in management’s judgment, are likely to remain current, although we may make exceptions to this general rule if the loan has sufficient collateral value and is in the process of collection.</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Interest income on our investment in Saratoga CLO is recorded using the effective interest method in accordance with the provisions of ASC</w:t>
      </w:r>
    </w:p>
    <w:p>
      <w:pPr>
        <w:spacing w:after="0" w:line="35"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 xml:space="preserve">Topic 325-40, </w:t>
      </w:r>
      <w:r>
        <w:rPr>
          <w:rFonts w:ascii="Arial" w:cs="Arial" w:eastAsia="Arial" w:hAnsi="Arial"/>
          <w:sz w:val="18"/>
          <w:szCs w:val="18"/>
          <w:i w:val="1"/>
          <w:iCs w:val="1"/>
          <w:color w:val="auto"/>
        </w:rPr>
        <w:t>Investments-Other, Beneficial Interests in Securitized Financial Assets</w:t>
      </w:r>
      <w:r>
        <w:rPr>
          <w:rFonts w:ascii="Arial" w:cs="Arial" w:eastAsia="Arial" w:hAnsi="Arial"/>
          <w:sz w:val="18"/>
          <w:szCs w:val="18"/>
          <w:color w:val="auto"/>
        </w:rPr>
        <w:t>, (“ASC 325-40”), based on the anticipated yield and the estimated cash flows over the projected life of the investment. Yields are revised when there are changes in actual or estimated cash flows due to changes in prepayments and/or re-investments, credit losses or asset pricing. Changes in estimated yield are recognized as an adjustment to the estimated yield over the remaining life of the investment from the date the estimated yield was changed.</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459" w:right="2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Other income includes dividends received, origination fees, structuring fees and advisory fees, and is recorded in income when earned.</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Paid-in-Kind Interest</w:t>
      </w:r>
    </w:p>
    <w:p>
      <w:pPr>
        <w:spacing w:after="0" w:line="121" w:lineRule="exact"/>
        <w:rPr>
          <w:sz w:val="20"/>
          <w:szCs w:val="20"/>
          <w:color w:val="auto"/>
        </w:rPr>
      </w:pPr>
    </w:p>
    <w:p>
      <w:pPr>
        <w:ind w:right="220" w:firstLine="456"/>
        <w:spacing w:after="0" w:line="312" w:lineRule="auto"/>
        <w:rPr>
          <w:sz w:val="20"/>
          <w:szCs w:val="20"/>
          <w:color w:val="auto"/>
        </w:rPr>
      </w:pPr>
      <w:r>
        <w:rPr>
          <w:rFonts w:ascii="Arial" w:cs="Arial" w:eastAsia="Arial" w:hAnsi="Arial"/>
          <w:sz w:val="16"/>
          <w:szCs w:val="16"/>
          <w:color w:val="auto"/>
        </w:rPr>
        <w:t>The Company holds debt investments in its portfolio that contain a payment-in-kind (“PIK”) interest provision. The PIK interest, which represents contractually deferred interest added to the investment balance that is generally due at maturity, is generally recorded on the accrual basis to the extent such amounts are expected to be collected. We stop accruing PIK interest if we do not expect the issuer to be able to pay all principal and interest when due.</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Deferred Debt Financing Costs</w:t>
      </w:r>
    </w:p>
    <w:p>
      <w:pPr>
        <w:spacing w:after="0" w:line="121"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Financing costs incurred in connection with our credit facility are deferred and amortized using the straight line method over the life of their respective facilities. Financing costs incurred in connection with our SBA debentures are deferred and amortized using the effective yield method over the life of the debentures.</w:t>
      </w:r>
    </w:p>
    <w:p>
      <w:pPr>
        <w:spacing w:after="0" w:line="181"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 xml:space="preserve">In April 2015, the FASB issued Accounting Standards Update (“ASU”) No. 2015-03, </w:t>
      </w:r>
      <w:r>
        <w:rPr>
          <w:rFonts w:ascii="Arial" w:cs="Arial" w:eastAsia="Arial" w:hAnsi="Arial"/>
          <w:sz w:val="16"/>
          <w:szCs w:val="16"/>
          <w:i w:val="1"/>
          <w:iCs w:val="1"/>
          <w:color w:val="auto"/>
        </w:rPr>
        <w:t>Interest—Imputation of Interest (Subtopic 835-30): Simplifying</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the Presentation of Debt Issuance Costs </w:t>
      </w:r>
      <w:r>
        <w:rPr>
          <w:rFonts w:ascii="Arial" w:cs="Arial" w:eastAsia="Arial" w:hAnsi="Arial"/>
          <w:sz w:val="16"/>
          <w:szCs w:val="16"/>
          <w:color w:val="auto"/>
        </w:rPr>
        <w:t>(“ASU 2015-03”). The amendments in this ASU require that debt issuance costs related to a recognized debt liability</w:t>
      </w:r>
      <w:r>
        <w:rPr>
          <w:rFonts w:ascii="Arial" w:cs="Arial" w:eastAsia="Arial" w:hAnsi="Arial"/>
          <w:sz w:val="16"/>
          <w:szCs w:val="16"/>
          <w:i w:val="1"/>
          <w:iCs w:val="1"/>
          <w:color w:val="auto"/>
        </w:rPr>
        <w:t xml:space="preserve"> </w:t>
      </w:r>
      <w:r>
        <w:rPr>
          <w:rFonts w:ascii="Arial" w:cs="Arial" w:eastAsia="Arial" w:hAnsi="Arial"/>
          <w:sz w:val="16"/>
          <w:szCs w:val="16"/>
          <w:color w:val="auto"/>
        </w:rPr>
        <w:t>be presented on the consolidated statements of assets and liabilities as a direct deduction from the carrying amount of that debt liability, consistent with debt discounts. The recognition and measurement guidance for debt issuance costs are not affected by the amendments in this ASU. The guidance is effective for fiscal years, and interim periods within those fiscal years, beginning after December 15, 2015, and early adoption is allowed, and is to be applied on a retrospective basis. The Company has adopted the provisions of ASU 2015-03 as of February 28, 2015, by reclassifying deferred debt financing costs from within total assets to within total liabilities as a contra-liability. The adoption of the provisions of ASU 2015-03 did not materially impact the Company’s consolidated financial position or results of operations. Prior period amounts were reclassified to conform to the current period presentation.</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Contingencies</w:t>
      </w:r>
    </w:p>
    <w:p>
      <w:pPr>
        <w:spacing w:after="0" w:line="121" w:lineRule="exact"/>
        <w:rPr>
          <w:sz w:val="20"/>
          <w:szCs w:val="20"/>
          <w:color w:val="auto"/>
        </w:rPr>
      </w:pPr>
    </w:p>
    <w:p>
      <w:pPr>
        <w:jc w:val="both"/>
        <w:ind w:right="160" w:firstLine="456"/>
        <w:spacing w:after="0" w:line="264" w:lineRule="auto"/>
        <w:rPr>
          <w:sz w:val="20"/>
          <w:szCs w:val="20"/>
          <w:color w:val="auto"/>
        </w:rPr>
      </w:pPr>
      <w:r>
        <w:rPr>
          <w:rFonts w:ascii="Arial" w:cs="Arial" w:eastAsia="Arial" w:hAnsi="Arial"/>
          <w:sz w:val="18"/>
          <w:szCs w:val="18"/>
          <w:color w:val="auto"/>
        </w:rPr>
        <w:t>In the ordinary course of its business, the Company may enter into contracts or agreements that contain indemnifications or warranties. Future events could occur that lead to the execution of these provisions against the Company. Based on its history and experience, management feels that the likelihood of such an event is remote.</w:t>
      </w:r>
    </w:p>
    <w:p>
      <w:pPr>
        <w:spacing w:after="0" w:line="181" w:lineRule="exact"/>
        <w:rPr>
          <w:sz w:val="20"/>
          <w:szCs w:val="20"/>
          <w:color w:val="auto"/>
        </w:rPr>
      </w:pPr>
    </w:p>
    <w:p>
      <w:pPr>
        <w:ind w:right="260" w:firstLine="456"/>
        <w:spacing w:after="0" w:line="264" w:lineRule="auto"/>
        <w:rPr>
          <w:sz w:val="20"/>
          <w:szCs w:val="20"/>
          <w:color w:val="auto"/>
        </w:rPr>
      </w:pPr>
      <w:r>
        <w:rPr>
          <w:rFonts w:ascii="Arial" w:cs="Arial" w:eastAsia="Arial" w:hAnsi="Arial"/>
          <w:sz w:val="18"/>
          <w:szCs w:val="18"/>
          <w:color w:val="auto"/>
        </w:rPr>
        <w:t>In the ordinary course of business, the Company may directly or indirectly be a defendant or plaintiff in legal actions with respect to bankruptcy, insolvency or other types of proceedings. Such lawsuits may involve claims that could adversely affect the value of certain financial instruments owned by the Company.</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21"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The Company has filed an election to be treated for tax purposes as a RIC under Subchapter M of the Code and, among other things, intends to make the requisite distributions to its stockholders which will relieve the Company from federal income taxes. Therefore, no provision has been recorded for federal income taxes.</w:t>
      </w:r>
    </w:p>
    <w:p>
      <w:pPr>
        <w:spacing w:after="0" w:line="181"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In order to qualify as a RIC, among other requirements, the Company is required to timely distribute to its stockholders at least 90.0% of its investment company taxable income, as defined by the Code, for each fiscal tax year. The Company will be subject to a nondeductible U.S. federal excise tax of 4.0% on undistributed income if it does not distribute at least 98.0% of its ordinary income in any calendar year and 98.2% of its capital gain net income for each one-year period ending on October 31.</w:t>
      </w:r>
    </w:p>
    <w:p>
      <w:pPr>
        <w:spacing w:after="0" w:line="187"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Depending on the level of taxable income earned in a tax year, the Company may choose to carry forward taxable income in excess of current year dividend distributions into the next tax year and pay a 4.0% excise tax on such income, as required. To the extent that the Company determines that its estimated current year annual taxable income will be in excess of estimated current year dividend distributions for excise tax purposes, the Company accrues excise tax, if any, on estimated excess taxable income as taxable income is earned.</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In accordance with certain applicable Treasury regulations and private letter rulings issued by the Internal Revenue Service, a RIC may treat a distribution of its own stock as fulfilling its RIC distribution requirements if each stockholder may elect to receive his or her entire distribution in either cash or stock of the RIC subject to a limitation on the aggregate amount of cash to be distributed to all stockholders, which limitation must be at least 20.0% of the aggregate declared distribution. If too many stockholders elect to receive cash, each stockholder electing to receive cash will receive a pro rata amount of cash (with the balance of the distribution paid in stock). In no event will any stockholder, electing to receive cash, receive less than 20.0% of his or her entire distribution in cash. If these and certain other requirements are met, for U.S federal income tax purposes, the amount of the dividend paid in stock will be equal to the amount of cash that could have been received instead of stock.</w:t>
      </w:r>
    </w:p>
    <w:p>
      <w:pPr>
        <w:spacing w:after="0" w:line="178"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 xml:space="preserve">ASC 740, </w:t>
      </w:r>
      <w:r>
        <w:rPr>
          <w:rFonts w:ascii="Arial" w:cs="Arial" w:eastAsia="Arial" w:hAnsi="Arial"/>
          <w:sz w:val="18"/>
          <w:szCs w:val="18"/>
          <w:i w:val="1"/>
          <w:iCs w:val="1"/>
          <w:color w:val="auto"/>
        </w:rPr>
        <w:t>Income Taxes</w:t>
      </w:r>
      <w:r>
        <w:rPr>
          <w:rFonts w:ascii="Arial" w:cs="Arial" w:eastAsia="Arial" w:hAnsi="Arial"/>
          <w:sz w:val="18"/>
          <w:szCs w:val="18"/>
          <w:color w:val="auto"/>
        </w:rPr>
        <w:t>, (“ASC 740”), provides guidance for how uncertain tax positions should be recognized, measured, presented and disclosed in the financial statements. ASC 740 requires the evaluation of tax positions taken or expected to be taken in the course of preparing the Company’s tax returns to determine whether the tax positions are “more-likely-than-not” of being sustained by the applicable tax authority. Tax positions deemed to meet a “more-likely-than-not” threshold would be recorded as a tax benefit or expense in the current period. The Company recognizes interest and penalties, if any, related to unrecognized tax benefits as income tax expense in the consolidated statements of operations. During the fiscal year ended February 28, 2015, the Company did not incur any interest or penalties. Although we file federal and state tax returns, our major tax jurisdiction is federal. The 2012, 2013 and 2014 federal tax years for the Company remain subject to examination by the IRS. As of November 30, 2015 and February 28, 2015, there were no uncertain tax positions.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121" w:lineRule="exact"/>
        <w:rPr>
          <w:sz w:val="20"/>
          <w:szCs w:val="20"/>
          <w:color w:val="auto"/>
        </w:rPr>
      </w:pPr>
    </w:p>
    <w:p>
      <w:pPr>
        <w:ind w:right="240" w:firstLine="456"/>
        <w:spacing w:after="0" w:line="342" w:lineRule="auto"/>
        <w:rPr>
          <w:sz w:val="20"/>
          <w:szCs w:val="20"/>
          <w:color w:val="auto"/>
        </w:rPr>
      </w:pPr>
      <w:r>
        <w:rPr>
          <w:rFonts w:ascii="Arial" w:cs="Arial" w:eastAsia="Arial" w:hAnsi="Arial"/>
          <w:sz w:val="16"/>
          <w:szCs w:val="16"/>
          <w:color w:val="auto"/>
        </w:rPr>
        <w:t>Dividends to common stockholders are recorded on the ex-dividend date. The amount to be paid out as a dividend is determined by the board of directors. Net realized capital gains, if any, are generally distributed at least annually, although we may decide to retain such capital gains for reinvestment.</w:t>
      </w:r>
    </w:p>
    <w:p>
      <w:pPr>
        <w:spacing w:after="0" w:line="124" w:lineRule="exact"/>
        <w:rPr>
          <w:sz w:val="20"/>
          <w:szCs w:val="20"/>
          <w:color w:val="auto"/>
        </w:rPr>
      </w:pPr>
    </w:p>
    <w:p>
      <w:pPr>
        <w:ind w:right="160" w:firstLine="456"/>
        <w:spacing w:after="0" w:line="276" w:lineRule="auto"/>
        <w:rPr>
          <w:sz w:val="20"/>
          <w:szCs w:val="20"/>
          <w:color w:val="auto"/>
        </w:rPr>
      </w:pPr>
      <w:r>
        <w:rPr>
          <w:rFonts w:ascii="Arial" w:cs="Arial" w:eastAsia="Arial" w:hAnsi="Arial"/>
          <w:sz w:val="17"/>
          <w:szCs w:val="17"/>
          <w:color w:val="auto"/>
        </w:rPr>
        <w:t>We have adopted a dividend reinvestment plan (“DRIP”) that provides for reinvestment of our dividend distributions on behalf of our stockholders unless a stockholder elects to receive cash. As a result, if our board of directors authorizes, and we declare, a cash dividend, then our stockholders who have not “opted out” of the DRIP by the dividend record date will have their cash dividends automatically reinvested into additional shares of our common stock, rather than receiving the cash dividends. We have the option to satisfy the share requirements of the DRIP through the issuance of new shares of common stock or through open market purchases of common stock by the DRIP plan administrator.</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Gains Incentive Fee</w:t>
      </w:r>
    </w:p>
    <w:p>
      <w:pPr>
        <w:spacing w:after="0" w:line="121"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The Company records an expense accrual on the consolidated statements of operations, relating to the capital gains incentive fee payable on the consolidated statements of assets and liabilities, by the Company to its investment adviser when the net realized and unrealized gain on its investments exceed all net realized and unrealized capital losses on its investments given the fact that a capital gains incentive fee would be owed to the investment adviser if the Company were to liquidate its investment portfolio at such time. The actual incentive fee payable to the Company’s investment adviser related to capital gains will be determined and payable in arrears at the end of each fiscal year and will include only realized capital gains net of realized and unrealized losses for the period.</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121" w:lineRule="exact"/>
        <w:rPr>
          <w:sz w:val="20"/>
          <w:szCs w:val="20"/>
          <w:color w:val="auto"/>
        </w:rPr>
      </w:pPr>
    </w:p>
    <w:p>
      <w:pPr>
        <w:ind w:right="60" w:firstLine="456"/>
        <w:spacing w:after="0" w:line="271" w:lineRule="auto"/>
        <w:rPr>
          <w:sz w:val="20"/>
          <w:szCs w:val="20"/>
          <w:color w:val="auto"/>
        </w:rPr>
      </w:pPr>
      <w:r>
        <w:rPr>
          <w:rFonts w:ascii="Arial" w:cs="Arial" w:eastAsia="Arial" w:hAnsi="Arial"/>
          <w:sz w:val="17"/>
          <w:szCs w:val="17"/>
          <w:color w:val="auto"/>
        </w:rPr>
        <w:t xml:space="preserve">In August 2015, the FASB issued ASU 2015-15, </w:t>
      </w:r>
      <w:r>
        <w:rPr>
          <w:rFonts w:ascii="Arial" w:cs="Arial" w:eastAsia="Arial" w:hAnsi="Arial"/>
          <w:sz w:val="17"/>
          <w:szCs w:val="17"/>
          <w:i w:val="1"/>
          <w:iCs w:val="1"/>
          <w:color w:val="auto"/>
        </w:rPr>
        <w:t>Interest—Imputation of Interest (Subtopic 835-30): Presentation and Subsequent Measurement of</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Debt Issuance Costs Associated with Line-of-Credit Arrangements </w:t>
      </w:r>
      <w:r>
        <w:rPr>
          <w:rFonts w:ascii="Arial" w:cs="Arial" w:eastAsia="Arial" w:hAnsi="Arial"/>
          <w:sz w:val="17"/>
          <w:szCs w:val="17"/>
          <w:color w:val="auto"/>
        </w:rPr>
        <w:t xml:space="preserve">(“ASU 2015-15”). ASU 2015-15 updates the accounting guidance included in ASU 2015-03, </w:t>
      </w:r>
      <w:r>
        <w:rPr>
          <w:rFonts w:ascii="Arial" w:cs="Arial" w:eastAsia="Arial" w:hAnsi="Arial"/>
          <w:sz w:val="17"/>
          <w:szCs w:val="17"/>
          <w:i w:val="1"/>
          <w:iCs w:val="1"/>
          <w:color w:val="auto"/>
        </w:rPr>
        <w:t>Interest—Imputation of Interest (Subtopic 835-30): Simplifying the Presentation of Debt Issuance Costs</w:t>
      </w:r>
      <w:r>
        <w:rPr>
          <w:rFonts w:ascii="Arial" w:cs="Arial" w:eastAsia="Arial" w:hAnsi="Arial"/>
          <w:sz w:val="17"/>
          <w:szCs w:val="17"/>
          <w:color w:val="auto"/>
        </w:rPr>
        <w:t>. The updated accounting guidance provided by ASU 2015-15 was the result of the Emerging Issues Task Force meeting, held on June 18, 2015, at which the SEC staff stated that the SEC would not object to an entity deferring and presenting costs related to revolving debt arrangements as an asset. As the Company previously adopted the provisions of ASU 2015-03 and reclassified all deferred debt financing costs from within total assets to within total liabilities as a contra-liability effective as of February 28, 2015, it has chosen not to avail itself of the updated accounting treatment provided by ASU 2015-15 and continues to include all deferred financing costs as a contra-liability within total liabilities.</w:t>
      </w:r>
    </w:p>
    <w:p>
      <w:pPr>
        <w:spacing w:after="0" w:line="179"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 xml:space="preserve">In February 2015, the FASB issued ASU 2015-02, </w:t>
      </w:r>
      <w:r>
        <w:rPr>
          <w:rFonts w:ascii="Arial" w:cs="Arial" w:eastAsia="Arial" w:hAnsi="Arial"/>
          <w:sz w:val="18"/>
          <w:szCs w:val="18"/>
          <w:i w:val="1"/>
          <w:iCs w:val="1"/>
          <w:color w:val="auto"/>
        </w:rPr>
        <w:t>Consolidation (ASC Topic 810): Amendments to the Consolidation Analysis</w:t>
      </w:r>
      <w:r>
        <w:rPr>
          <w:rFonts w:ascii="Arial" w:cs="Arial" w:eastAsia="Arial" w:hAnsi="Arial"/>
          <w:sz w:val="18"/>
          <w:szCs w:val="18"/>
          <w:color w:val="auto"/>
        </w:rPr>
        <w:t xml:space="preserve"> (“ASU 2015-02”). ASU 2015-02 significantly changes the consolidation analysis required under GAAP and ends the deferral granted to investment companies from applying the variable interest entity guidance. ASU 2015-02 is effective for interim and annual reporting periods in fiscal years that begin after December 15, 2015 and early adoption is permitted. Management is currently evaluating the impact these changes will have on the Company’s consolidated financial statements and disclosures.</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In August 2014, the FASB issued new accounting guidance that requires management to assess an entity’s ability to continue as a going concern by incorporating and expanding upon certain principles that are currently in U.S. auditing standards. The amendments provide a definition of the term “substantial doubt” and include principles for considering the mitigating effect of management’s plans. The amendments also require an evaluation every reporting period, including interim periods for a period of one year after the date that the financial statements are issued (or available to be issued), and certain disclosures when substantial doubt is alleviated or not alleviated. The amendments in this update are effective for reporting periods ending after December 15, 2016. Management is currently evaluating the impact of adopting this new accounting guidance update on the Company’s consolidated financial statements.</w:t>
      </w:r>
    </w:p>
    <w:p>
      <w:pPr>
        <w:spacing w:after="0" w:line="165" w:lineRule="exact"/>
        <w:rPr>
          <w:sz w:val="20"/>
          <w:szCs w:val="20"/>
          <w:color w:val="auto"/>
        </w:rPr>
      </w:pPr>
    </w:p>
    <w:p>
      <w:pPr>
        <w:ind w:right="240" w:firstLine="456"/>
        <w:spacing w:after="0" w:line="276" w:lineRule="auto"/>
        <w:rPr>
          <w:sz w:val="20"/>
          <w:szCs w:val="20"/>
          <w:color w:val="auto"/>
        </w:rPr>
      </w:pPr>
      <w:r>
        <w:rPr>
          <w:rFonts w:ascii="Arial" w:cs="Arial" w:eastAsia="Arial" w:hAnsi="Arial"/>
          <w:sz w:val="17"/>
          <w:szCs w:val="17"/>
          <w:color w:val="auto"/>
        </w:rPr>
        <w:t xml:space="preserve">In May 2014, the FASB issued ASU 2014-09, </w:t>
      </w:r>
      <w:r>
        <w:rPr>
          <w:rFonts w:ascii="Arial" w:cs="Arial" w:eastAsia="Arial" w:hAnsi="Arial"/>
          <w:sz w:val="17"/>
          <w:szCs w:val="17"/>
          <w:i w:val="1"/>
          <w:iCs w:val="1"/>
          <w:color w:val="auto"/>
        </w:rPr>
        <w:t>Revenue from Contracts with Customers (Topic 606)</w:t>
      </w:r>
      <w:r>
        <w:rPr>
          <w:rFonts w:ascii="Arial" w:cs="Arial" w:eastAsia="Arial" w:hAnsi="Arial"/>
          <w:sz w:val="17"/>
          <w:szCs w:val="17"/>
          <w:color w:val="auto"/>
        </w:rPr>
        <w:t>, which supersedes the revenue recognition requirements in Revenue Recognition (Topic 605). Under the new guidance, an entity should recognize revenue to depict the transfer of promised goods or services to customers in an amount that reflects the consideration to which the entity expects to be entitled in exchange for those goods or services. This guidance is effective for annual and interim reporting periods beginning after December 15, 2016, and early application is not permitted. The Company is currently evaluating the impact this ASU will have on its consolidated financial statements.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Management</w:t>
      </w:r>
    </w:p>
    <w:p>
      <w:pPr>
        <w:spacing w:after="0" w:line="121" w:lineRule="exact"/>
        <w:rPr>
          <w:sz w:val="20"/>
          <w:szCs w:val="20"/>
          <w:color w:val="auto"/>
        </w:rPr>
      </w:pPr>
    </w:p>
    <w:p>
      <w:pPr>
        <w:ind w:right="80" w:firstLine="456"/>
        <w:spacing w:after="0" w:line="342" w:lineRule="auto"/>
        <w:rPr>
          <w:sz w:val="20"/>
          <w:szCs w:val="20"/>
          <w:color w:val="auto"/>
        </w:rPr>
      </w:pPr>
      <w:r>
        <w:rPr>
          <w:rFonts w:ascii="Arial" w:cs="Arial" w:eastAsia="Arial" w:hAnsi="Arial"/>
          <w:sz w:val="16"/>
          <w:szCs w:val="16"/>
          <w:color w:val="auto"/>
        </w:rPr>
        <w:t>In the ordinary course of its business, the Company manages a variety of risks, including market risk and credit risk. Market risk is the risk of potential adverse changes to the value of investments because of changes in market conditions such as interest rate movements and volatility in investment prices.</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Credit risk is the risk of default or non-performance by portfolio companies, equivalent to the investment’s carrying amount.</w:t>
      </w:r>
    </w:p>
    <w:p>
      <w:pPr>
        <w:spacing w:after="0" w:line="225"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The Company is also exposed to credit risk related to maintaining all of its cash and cash equivalents, including those in reserve accounts, at a major financial institution and credit risk related to any of its derivative counterparties.</w:t>
      </w:r>
    </w:p>
    <w:p>
      <w:pPr>
        <w:spacing w:after="0" w:line="170" w:lineRule="exact"/>
        <w:rPr>
          <w:sz w:val="20"/>
          <w:szCs w:val="20"/>
          <w:color w:val="auto"/>
        </w:rPr>
      </w:pPr>
    </w:p>
    <w:p>
      <w:pPr>
        <w:ind w:right="180" w:firstLine="456"/>
        <w:spacing w:after="0" w:line="286" w:lineRule="auto"/>
        <w:rPr>
          <w:sz w:val="20"/>
          <w:szCs w:val="20"/>
          <w:color w:val="auto"/>
        </w:rPr>
      </w:pPr>
      <w:r>
        <w:rPr>
          <w:rFonts w:ascii="Arial" w:cs="Arial" w:eastAsia="Arial" w:hAnsi="Arial"/>
          <w:sz w:val="17"/>
          <w:szCs w:val="17"/>
          <w:color w:val="auto"/>
        </w:rPr>
        <w:t>The Company has investments in lower rated and comparable quality unrated high yield bonds and bank loans. Investments in high yield investments are accompanied by a greater degree of credit risk. The risk of loss due to default by the issuer is significantly greater for holders of high yield securities, because such investments are generally unsecured and are often subordinated to other creditors of the issuer.</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Investments</w:t>
      </w:r>
    </w:p>
    <w:p>
      <w:pPr>
        <w:spacing w:after="0" w:line="121" w:lineRule="exact"/>
        <w:rPr>
          <w:sz w:val="20"/>
          <w:szCs w:val="20"/>
          <w:color w:val="auto"/>
        </w:rPr>
      </w:pPr>
    </w:p>
    <w:p>
      <w:pPr>
        <w:jc w:val="both"/>
        <w:ind w:right="80" w:firstLine="456"/>
        <w:spacing w:after="0" w:line="264" w:lineRule="auto"/>
        <w:rPr>
          <w:sz w:val="20"/>
          <w:szCs w:val="20"/>
          <w:color w:val="auto"/>
        </w:rPr>
      </w:pPr>
      <w:r>
        <w:rPr>
          <w:rFonts w:ascii="Arial" w:cs="Arial" w:eastAsia="Arial" w:hAnsi="Arial"/>
          <w:sz w:val="18"/>
          <w:szCs w:val="18"/>
          <w:color w:val="auto"/>
        </w:rPr>
        <w:t>As noted above, the Company values all investments in accordance with ASC 820. ASC 820 requires enhanced disclosures about assets and liabilities that are measured and reported at fair value. As defined in ASC 820, fair value is the price that would be received to sell an asset or paid to transfer a liability in an orderly transaction between market participants at the measurement date.</w:t>
      </w:r>
    </w:p>
    <w:p>
      <w:pPr>
        <w:spacing w:after="0" w:line="181" w:lineRule="exact"/>
        <w:rPr>
          <w:sz w:val="20"/>
          <w:szCs w:val="20"/>
          <w:color w:val="auto"/>
        </w:rPr>
      </w:pPr>
    </w:p>
    <w:p>
      <w:pPr>
        <w:jc w:val="both"/>
        <w:ind w:right="60" w:firstLine="456"/>
        <w:spacing w:after="0" w:line="279" w:lineRule="auto"/>
        <w:rPr>
          <w:sz w:val="20"/>
          <w:szCs w:val="20"/>
          <w:color w:val="auto"/>
        </w:rPr>
      </w:pPr>
      <w:r>
        <w:rPr>
          <w:rFonts w:ascii="Arial" w:cs="Arial" w:eastAsia="Arial" w:hAnsi="Arial"/>
          <w:sz w:val="17"/>
          <w:szCs w:val="17"/>
          <w:color w:val="auto"/>
        </w:rPr>
        <w:t>ASC 820 establishes a hierarchal disclosure framework which prioritizes and ranks the level of market price observability of inputs used in measuring investments at fair value. Market price observability is affected by a number of factors, including the type of investment and the characteristics specific to the investment. Investments with readily available active quoted prices or for which fair value can be measured from actively quoted prices generally will have a higher degree of market price observability and a lesser degree of judgment used in measuring fair value.</w:t>
      </w:r>
    </w:p>
    <w:p>
      <w:pPr>
        <w:spacing w:after="0" w:line="171" w:lineRule="exact"/>
        <w:rPr>
          <w:sz w:val="20"/>
          <w:szCs w:val="20"/>
          <w:color w:val="auto"/>
        </w:rPr>
      </w:pPr>
    </w:p>
    <w:p>
      <w:pPr>
        <w:jc w:val="both"/>
        <w:ind w:right="220" w:firstLine="456"/>
        <w:spacing w:after="0" w:line="264" w:lineRule="auto"/>
        <w:rPr>
          <w:sz w:val="20"/>
          <w:szCs w:val="20"/>
          <w:color w:val="auto"/>
        </w:rPr>
      </w:pPr>
      <w:r>
        <w:rPr>
          <w:rFonts w:ascii="Arial" w:cs="Arial" w:eastAsia="Arial" w:hAnsi="Arial"/>
          <w:sz w:val="18"/>
          <w:szCs w:val="18"/>
          <w:color w:val="auto"/>
        </w:rPr>
        <w:t>Based on the observability of the inputs used in the valuation techniques, the Company is required to provide disclosures on fair value measurements according to the fair value hierarchy. The fair value hierarchy ranks the observability of the inputs used to determine fair values. Investments carried at fair value are classified and disclosed in one of the following three categories:</w:t>
      </w:r>
    </w:p>
    <w:p>
      <w:pPr>
        <w:spacing w:after="0" w:line="87" w:lineRule="exact"/>
        <w:rPr>
          <w:sz w:val="20"/>
          <w:szCs w:val="20"/>
          <w:color w:val="auto"/>
        </w:rPr>
      </w:pPr>
    </w:p>
    <w:p>
      <w:pPr>
        <w:ind w:left="900" w:hanging="325"/>
        <w:spacing w:after="0"/>
        <w:tabs>
          <w:tab w:leader="none" w:pos="9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Level 1—Valuations based on quoted prices in active markets for identical assets or liabilities that the Company has the ability to access.</w:t>
      </w:r>
    </w:p>
    <w:p>
      <w:pPr>
        <w:spacing w:after="0" w:line="142" w:lineRule="exact"/>
        <w:rPr>
          <w:rFonts w:ascii="Arial" w:cs="Arial" w:eastAsia="Arial" w:hAnsi="Arial"/>
          <w:sz w:val="17"/>
          <w:szCs w:val="17"/>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Level 2—Valuations based on inputs other than quoted prices in active markets, which are either directly or indirectly observable.</w:t>
      </w:r>
    </w:p>
    <w:p>
      <w:pPr>
        <w:spacing w:after="0" w:line="130" w:lineRule="exact"/>
        <w:rPr>
          <w:rFonts w:ascii="Arial" w:cs="Arial" w:eastAsia="Arial" w:hAnsi="Arial"/>
          <w:sz w:val="18"/>
          <w:szCs w:val="18"/>
          <w:color w:val="auto"/>
        </w:rPr>
      </w:pPr>
    </w:p>
    <w:p>
      <w:pPr>
        <w:ind w:left="900" w:right="60" w:hanging="325"/>
        <w:spacing w:after="0" w:line="257"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Level 3—Valuations based on inputs that are unobservable and significant to the overall fair value measurement. The inputs used in the determination of fair value may require significant management judgment or estimation. Such information may be the result of consensus pricing information or broker quotes which include a disclaimer that the broker would not be held to such a price in an actual transaction. The non-binding nature of consensus pricing and/or quotes accompanied by disclaimer would result in classification as Level 3 asset, assuming no additional corroborating evidence.</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40" w:firstLine="456"/>
        <w:spacing w:after="0" w:line="264" w:lineRule="auto"/>
        <w:rPr>
          <w:sz w:val="20"/>
          <w:szCs w:val="20"/>
          <w:color w:val="auto"/>
        </w:rPr>
      </w:pPr>
      <w:r>
        <w:rPr>
          <w:rFonts w:ascii="Arial" w:cs="Arial" w:eastAsia="Arial" w:hAnsi="Arial"/>
          <w:sz w:val="18"/>
          <w:szCs w:val="18"/>
          <w:color w:val="auto"/>
        </w:rPr>
        <w:t>In addition to using the above inputs in investment valuations, the Company continues to employ the valuation policy approved by the board of directors that is consistent with ASC 820 and the 1940 Act (see Note 2). Consistent with our Company’s valuation policy, we evaluate the source of inputs, including any markets in which our investments are trading, in determining fair value.</w:t>
      </w:r>
    </w:p>
    <w:p>
      <w:pPr>
        <w:spacing w:after="0" w:line="181"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The following table presents fair value measurements of investments, by major class, as of November 30, 2015 (dollars in thousands), according to the fair value hierarchy:</w:t>
      </w:r>
    </w:p>
    <w:p>
      <w:pPr>
        <w:spacing w:after="0" w:line="189"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5"/>
          </w:tcPr>
          <w:p>
            <w:pPr>
              <w:jc w:val="right"/>
              <w:ind w:right="100"/>
              <w:spacing w:after="0"/>
              <w:rPr>
                <w:sz w:val="20"/>
                <w:szCs w:val="20"/>
                <w:color w:val="auto"/>
              </w:rPr>
            </w:pPr>
            <w:r>
              <w:rPr>
                <w:rFonts w:ascii="Arial" w:cs="Arial" w:eastAsia="Arial" w:hAnsi="Arial"/>
                <w:sz w:val="14"/>
                <w:szCs w:val="14"/>
                <w:b w:val="1"/>
                <w:bCs w:val="1"/>
                <w:color w:val="auto"/>
                <w:w w:val="98"/>
              </w:rPr>
              <w:t>Fair Value Measurements</w:t>
            </w: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4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88"/>
              </w:rPr>
              <w:t>Level 1</w:t>
            </w:r>
          </w:p>
        </w:tc>
        <w:tc>
          <w:tcPr>
            <w:tcW w:w="360" w:type="dxa"/>
            <w:vAlign w:val="bottom"/>
          </w:tcPr>
          <w:p>
            <w:pPr>
              <w:spacing w:after="0"/>
              <w:rPr>
                <w:sz w:val="12"/>
                <w:szCs w:val="12"/>
                <w:color w:val="auto"/>
              </w:rPr>
            </w:pPr>
          </w:p>
        </w:tc>
        <w:tc>
          <w:tcPr>
            <w:tcW w:w="4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88"/>
              </w:rPr>
              <w:t>Level 2</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ind w:right="420"/>
              <w:spacing w:after="0" w:line="142" w:lineRule="exact"/>
              <w:rPr>
                <w:sz w:val="20"/>
                <w:szCs w:val="20"/>
                <w:color w:val="auto"/>
              </w:rPr>
            </w:pPr>
            <w:r>
              <w:rPr>
                <w:rFonts w:ascii="Arial" w:cs="Arial" w:eastAsia="Arial" w:hAnsi="Arial"/>
                <w:sz w:val="14"/>
                <w:szCs w:val="14"/>
                <w:b w:val="1"/>
                <w:bCs w:val="1"/>
                <w:color w:val="auto"/>
                <w:w w:val="92"/>
              </w:rPr>
              <w:t>Level 3</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ind w:right="92"/>
              <w:spacing w:after="0" w:line="142"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Syndicated loans</w:t>
            </w:r>
          </w:p>
        </w:tc>
        <w:tc>
          <w:tcPr>
            <w:tcW w:w="25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36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3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14,538</w:t>
            </w: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14,538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First lien term loans</w:t>
            </w:r>
          </w:p>
        </w:tc>
        <w:tc>
          <w:tcPr>
            <w:tcW w:w="25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145,639</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145,639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Second lien term loans</w:t>
            </w:r>
          </w:p>
        </w:tc>
        <w:tc>
          <w:tcPr>
            <w:tcW w:w="25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43,561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43,561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Unsecured notes</w:t>
            </w:r>
          </w:p>
        </w:tc>
        <w:tc>
          <w:tcPr>
            <w:tcW w:w="25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Structured finance securities</w:t>
            </w:r>
          </w:p>
        </w:tc>
        <w:tc>
          <w:tcPr>
            <w:tcW w:w="25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15,776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15,776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Equity interests</w:t>
            </w:r>
          </w:p>
        </w:tc>
        <w:tc>
          <w:tcPr>
            <w:tcW w:w="25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21,524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21,524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20" w:type="dxa"/>
            <w:vAlign w:val="bottom"/>
          </w:tcPr>
          <w:p>
            <w:pPr>
              <w:spacing w:after="0"/>
              <w:rPr>
                <w:sz w:val="2"/>
                <w:szCs w:val="2"/>
                <w:color w:val="auto"/>
              </w:rPr>
            </w:pPr>
          </w:p>
        </w:tc>
        <w:tc>
          <w:tcPr>
            <w:tcW w:w="250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5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36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241,038</w:t>
            </w:r>
          </w:p>
        </w:tc>
        <w:tc>
          <w:tcPr>
            <w:tcW w:w="3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241,038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The following table presents fair value measurements of investments, by major class, as of February 28, 2015 (dollars in thousands), according to the fair value hierarchy:</w:t>
      </w:r>
    </w:p>
    <w:p>
      <w:pPr>
        <w:spacing w:after="0" w:line="189"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5"/>
          </w:tcPr>
          <w:p>
            <w:pPr>
              <w:jc w:val="right"/>
              <w:ind w:right="200"/>
              <w:spacing w:after="0"/>
              <w:rPr>
                <w:sz w:val="20"/>
                <w:szCs w:val="20"/>
                <w:color w:val="auto"/>
              </w:rPr>
            </w:pPr>
            <w:r>
              <w:rPr>
                <w:rFonts w:ascii="Arial" w:cs="Arial" w:eastAsia="Arial" w:hAnsi="Arial"/>
                <w:sz w:val="14"/>
                <w:szCs w:val="14"/>
                <w:b w:val="1"/>
                <w:bCs w:val="1"/>
                <w:color w:val="auto"/>
              </w:rPr>
              <w:t>Fair Value Measurements</w:t>
            </w: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8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4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88"/>
              </w:rPr>
              <w:t>Level 1</w:t>
            </w:r>
          </w:p>
        </w:tc>
        <w:tc>
          <w:tcPr>
            <w:tcW w:w="360" w:type="dxa"/>
            <w:vAlign w:val="bottom"/>
          </w:tcPr>
          <w:p>
            <w:pPr>
              <w:spacing w:after="0"/>
              <w:rPr>
                <w:sz w:val="12"/>
                <w:szCs w:val="12"/>
                <w:color w:val="auto"/>
              </w:rPr>
            </w:pPr>
          </w:p>
        </w:tc>
        <w:tc>
          <w:tcPr>
            <w:tcW w:w="4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88"/>
              </w:rPr>
              <w:t>Level 2</w:t>
            </w: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right"/>
              <w:ind w:right="540"/>
              <w:spacing w:after="0" w:line="142" w:lineRule="exact"/>
              <w:rPr>
                <w:sz w:val="20"/>
                <w:szCs w:val="20"/>
                <w:color w:val="auto"/>
              </w:rPr>
            </w:pPr>
            <w:r>
              <w:rPr>
                <w:rFonts w:ascii="Arial" w:cs="Arial" w:eastAsia="Arial" w:hAnsi="Arial"/>
                <w:sz w:val="14"/>
                <w:szCs w:val="14"/>
                <w:b w:val="1"/>
                <w:bCs w:val="1"/>
                <w:color w:val="auto"/>
                <w:w w:val="92"/>
              </w:rPr>
              <w:t>Level 3</w:t>
            </w:r>
          </w:p>
        </w:tc>
        <w:tc>
          <w:tcPr>
            <w:tcW w:w="120" w:type="dxa"/>
            <w:vAlign w:val="bottom"/>
          </w:tcPr>
          <w:p>
            <w:pPr>
              <w:spacing w:after="0"/>
              <w:rPr>
                <w:sz w:val="12"/>
                <w:szCs w:val="12"/>
                <w:color w:val="auto"/>
              </w:rPr>
            </w:pPr>
          </w:p>
        </w:tc>
        <w:tc>
          <w:tcPr>
            <w:tcW w:w="600" w:type="dxa"/>
            <w:vAlign w:val="bottom"/>
          </w:tcPr>
          <w:p>
            <w:pPr>
              <w:jc w:val="right"/>
              <w:ind w:right="112"/>
              <w:spacing w:after="0" w:line="142"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Syndicated loans</w:t>
            </w:r>
          </w:p>
        </w:tc>
        <w:tc>
          <w:tcPr>
            <w:tcW w:w="246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36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3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18,302</w:t>
            </w:r>
          </w:p>
        </w:tc>
        <w:tc>
          <w:tcPr>
            <w:tcW w:w="4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18,302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First lien term loans</w:t>
            </w:r>
          </w:p>
        </w:tc>
        <w:tc>
          <w:tcPr>
            <w:tcW w:w="24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8"/>
                <w:szCs w:val="18"/>
                <w:color w:val="auto"/>
                <w:w w:val="89"/>
              </w:rPr>
              <w:t>145,207</w:t>
            </w: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145,207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Second lien term loans</w:t>
            </w:r>
          </w:p>
        </w:tc>
        <w:tc>
          <w:tcPr>
            <w:tcW w:w="246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35,603</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35,603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Unsecured notes</w:t>
            </w:r>
          </w:p>
        </w:tc>
        <w:tc>
          <w:tcPr>
            <w:tcW w:w="24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8"/>
                <w:szCs w:val="18"/>
                <w:color w:val="auto"/>
              </w:rPr>
              <w:t>4,230</w:t>
            </w: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4,230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Structured finance securities</w:t>
            </w:r>
          </w:p>
        </w:tc>
        <w:tc>
          <w:tcPr>
            <w:tcW w:w="246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17,031</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17,031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Equity interests</w:t>
            </w:r>
          </w:p>
        </w:tc>
        <w:tc>
          <w:tcPr>
            <w:tcW w:w="24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8"/>
                <w:szCs w:val="18"/>
                <w:color w:val="auto"/>
              </w:rPr>
              <w:t>20,165</w:t>
            </w: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20,165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80" w:type="dxa"/>
            <w:vAlign w:val="bottom"/>
          </w:tcPr>
          <w:p>
            <w:pPr>
              <w:spacing w:after="0"/>
              <w:rPr>
                <w:sz w:val="2"/>
                <w:szCs w:val="2"/>
                <w:color w:val="auto"/>
              </w:rPr>
            </w:pPr>
          </w:p>
        </w:tc>
        <w:tc>
          <w:tcPr>
            <w:tcW w:w="246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46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9"/>
              </w:rPr>
              <w:t>240,538</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240,538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provides a reconciliation of the beginning and ending balances for investments that use Level 3 inputs for the nine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November 30, 2015 (dollars 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8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Syndicated</w:t>
            </w:r>
          </w:p>
        </w:tc>
        <w:tc>
          <w:tcPr>
            <w:tcW w:w="120" w:type="dxa"/>
            <w:vAlign w:val="bottom"/>
          </w:tcPr>
          <w:p>
            <w:pPr>
              <w:spacing w:after="0"/>
              <w:rPr>
                <w:sz w:val="14"/>
                <w:szCs w:val="14"/>
                <w:color w:val="auto"/>
              </w:rPr>
            </w:pPr>
          </w:p>
        </w:tc>
        <w:tc>
          <w:tcPr>
            <w:tcW w:w="86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rPr>
              <w:t>First lien</w:t>
            </w:r>
          </w:p>
        </w:tc>
        <w:tc>
          <w:tcPr>
            <w:tcW w:w="120" w:type="dxa"/>
            <w:vAlign w:val="bottom"/>
          </w:tcPr>
          <w:p>
            <w:pPr>
              <w:spacing w:after="0"/>
              <w:rPr>
                <w:sz w:val="14"/>
                <w:szCs w:val="14"/>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6"/>
              </w:rPr>
              <w:t>Second</w:t>
            </w:r>
          </w:p>
        </w:tc>
        <w:tc>
          <w:tcPr>
            <w:tcW w:w="8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Unsecured</w:t>
            </w:r>
          </w:p>
        </w:tc>
        <w:tc>
          <w:tcPr>
            <w:tcW w:w="120" w:type="dxa"/>
            <w:vAlign w:val="bottom"/>
          </w:tcPr>
          <w:p>
            <w:pPr>
              <w:spacing w:after="0"/>
              <w:rPr>
                <w:sz w:val="14"/>
                <w:szCs w:val="14"/>
                <w:color w:val="auto"/>
              </w:rPr>
            </w:pPr>
          </w:p>
        </w:tc>
        <w:tc>
          <w:tcPr>
            <w:tcW w:w="860" w:type="dxa"/>
            <w:vAlign w:val="bottom"/>
            <w:gridSpan w:val="3"/>
          </w:tcPr>
          <w:p>
            <w:pPr>
              <w:spacing w:after="0"/>
              <w:rPr>
                <w:sz w:val="20"/>
                <w:szCs w:val="20"/>
                <w:color w:val="auto"/>
              </w:rPr>
            </w:pPr>
            <w:r>
              <w:rPr>
                <w:rFonts w:ascii="Arial" w:cs="Arial" w:eastAsia="Arial" w:hAnsi="Arial"/>
                <w:sz w:val="14"/>
                <w:szCs w:val="14"/>
                <w:b w:val="1"/>
                <w:bCs w:val="1"/>
                <w:color w:val="auto"/>
              </w:rPr>
              <w:t>Structured</w:t>
            </w:r>
          </w:p>
        </w:tc>
        <w:tc>
          <w:tcPr>
            <w:tcW w:w="120" w:type="dxa"/>
            <w:vAlign w:val="bottom"/>
          </w:tcPr>
          <w:p>
            <w:pPr>
              <w:spacing w:after="0"/>
              <w:rPr>
                <w:sz w:val="14"/>
                <w:szCs w:val="14"/>
                <w:color w:val="auto"/>
              </w:rPr>
            </w:pPr>
          </w:p>
        </w:tc>
        <w:tc>
          <w:tcPr>
            <w:tcW w:w="8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Common</w:t>
            </w: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40" w:type="dxa"/>
            <w:vAlign w:val="bottom"/>
          </w:tcPr>
          <w:p>
            <w:pPr>
              <w:spacing w:after="0"/>
              <w:rPr>
                <w:sz w:val="12"/>
                <w:szCs w:val="12"/>
                <w:color w:val="auto"/>
              </w:rPr>
            </w:pPr>
          </w:p>
        </w:tc>
        <w:tc>
          <w:tcPr>
            <w:tcW w:w="88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lien</w:t>
            </w:r>
          </w:p>
        </w:tc>
        <w:tc>
          <w:tcPr>
            <w:tcW w:w="84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right"/>
              <w:ind w:right="300"/>
              <w:spacing w:after="0" w:line="149" w:lineRule="exact"/>
              <w:rPr>
                <w:sz w:val="20"/>
                <w:szCs w:val="20"/>
                <w:color w:val="auto"/>
              </w:rPr>
            </w:pPr>
            <w:r>
              <w:rPr>
                <w:rFonts w:ascii="Arial" w:cs="Arial" w:eastAsia="Arial" w:hAnsi="Arial"/>
                <w:sz w:val="14"/>
                <w:szCs w:val="14"/>
                <w:b w:val="1"/>
                <w:bCs w:val="1"/>
                <w:color w:val="auto"/>
                <w:w w:val="89"/>
              </w:rPr>
              <w:t>finance</w:t>
            </w:r>
          </w:p>
        </w:tc>
        <w:tc>
          <w:tcPr>
            <w:tcW w:w="120" w:type="dxa"/>
            <w:vAlign w:val="bottom"/>
          </w:tcPr>
          <w:p>
            <w:pPr>
              <w:spacing w:after="0"/>
              <w:rPr>
                <w:sz w:val="12"/>
                <w:szCs w:val="12"/>
                <w:color w:val="auto"/>
              </w:rPr>
            </w:pPr>
          </w:p>
        </w:tc>
        <w:tc>
          <w:tcPr>
            <w:tcW w:w="8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8"/>
              </w:rPr>
              <w:t>stock/</w:t>
            </w:r>
          </w:p>
        </w:tc>
        <w:tc>
          <w:tcPr>
            <w:tcW w:w="80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8"/>
              </w:rPr>
              <w:t>loans</w:t>
            </w:r>
          </w:p>
        </w:tc>
        <w:tc>
          <w:tcPr>
            <w:tcW w:w="120" w:type="dxa"/>
            <w:vAlign w:val="bottom"/>
          </w:tcPr>
          <w:p>
            <w:pPr>
              <w:spacing w:after="0"/>
              <w:rPr>
                <w:sz w:val="14"/>
                <w:szCs w:val="14"/>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0"/>
              </w:rPr>
              <w:t>term loans</w:t>
            </w:r>
          </w:p>
        </w:tc>
        <w:tc>
          <w:tcPr>
            <w:tcW w:w="120" w:type="dxa"/>
            <w:vAlign w:val="bottom"/>
          </w:tcPr>
          <w:p>
            <w:pPr>
              <w:spacing w:after="0"/>
              <w:rPr>
                <w:sz w:val="14"/>
                <w:szCs w:val="14"/>
                <w:color w:val="auto"/>
              </w:rPr>
            </w:pPr>
          </w:p>
        </w:tc>
        <w:tc>
          <w:tcPr>
            <w:tcW w:w="9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term loans</w:t>
            </w:r>
          </w:p>
        </w:tc>
        <w:tc>
          <w:tcPr>
            <w:tcW w:w="140" w:type="dxa"/>
            <w:vAlign w:val="bottom"/>
          </w:tcPr>
          <w:p>
            <w:pPr>
              <w:spacing w:after="0"/>
              <w:rPr>
                <w:sz w:val="14"/>
                <w:szCs w:val="14"/>
                <w:color w:val="auto"/>
              </w:rPr>
            </w:pPr>
          </w:p>
        </w:tc>
        <w:tc>
          <w:tcPr>
            <w:tcW w:w="7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0"/>
              </w:rPr>
              <w:t>notes</w:t>
            </w:r>
          </w:p>
        </w:tc>
        <w:tc>
          <w:tcPr>
            <w:tcW w:w="120" w:type="dxa"/>
            <w:vAlign w:val="bottom"/>
          </w:tcPr>
          <w:p>
            <w:pPr>
              <w:spacing w:after="0"/>
              <w:rPr>
                <w:sz w:val="14"/>
                <w:szCs w:val="14"/>
                <w:color w:val="auto"/>
              </w:rPr>
            </w:pPr>
          </w:p>
        </w:tc>
        <w:tc>
          <w:tcPr>
            <w:tcW w:w="860" w:type="dxa"/>
            <w:vAlign w:val="bottom"/>
            <w:gridSpan w:val="3"/>
          </w:tcPr>
          <w:p>
            <w:pPr>
              <w:ind w:left="40"/>
              <w:spacing w:after="0"/>
              <w:rPr>
                <w:sz w:val="20"/>
                <w:szCs w:val="20"/>
                <w:color w:val="auto"/>
              </w:rPr>
            </w:pPr>
            <w:r>
              <w:rPr>
                <w:rFonts w:ascii="Arial" w:cs="Arial" w:eastAsia="Arial" w:hAnsi="Arial"/>
                <w:sz w:val="14"/>
                <w:szCs w:val="14"/>
                <w:b w:val="1"/>
                <w:bCs w:val="1"/>
                <w:color w:val="auto"/>
              </w:rPr>
              <w:t>securities</w:t>
            </w:r>
          </w:p>
        </w:tc>
        <w:tc>
          <w:tcPr>
            <w:tcW w:w="120" w:type="dxa"/>
            <w:vAlign w:val="bottom"/>
          </w:tcPr>
          <w:p>
            <w:pPr>
              <w:spacing w:after="0"/>
              <w:rPr>
                <w:sz w:val="14"/>
                <w:szCs w:val="14"/>
                <w:color w:val="auto"/>
              </w:rPr>
            </w:pPr>
          </w:p>
        </w:tc>
        <w:tc>
          <w:tcPr>
            <w:tcW w:w="8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6"/>
              </w:rPr>
              <w:t>equities</w:t>
            </w:r>
          </w:p>
        </w:tc>
        <w:tc>
          <w:tcPr>
            <w:tcW w:w="8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as of February 28, 2015</w:t>
            </w:r>
          </w:p>
        </w:tc>
        <w:tc>
          <w:tcPr>
            <w:tcW w:w="1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18,302</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$145,207</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$ 35,603</w:t>
            </w:r>
          </w:p>
        </w:tc>
        <w:tc>
          <w:tcPr>
            <w:tcW w:w="3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4,230</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17,031</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$20,165</w:t>
            </w:r>
          </w:p>
        </w:tc>
        <w:tc>
          <w:tcPr>
            <w:tcW w:w="3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$240,538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Net unrealized appreciation/(depreciation) on investments</w:t>
            </w:r>
          </w:p>
        </w:tc>
        <w:tc>
          <w:tcPr>
            <w:tcW w:w="14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(1,442)</w:t>
            </w:r>
          </w:p>
        </w:tc>
        <w:tc>
          <w:tcPr>
            <w:tcW w:w="980" w:type="dxa"/>
            <w:vAlign w:val="bottom"/>
            <w:gridSpan w:val="3"/>
          </w:tcPr>
          <w:p>
            <w:pPr>
              <w:jc w:val="right"/>
              <w:ind w:right="120"/>
              <w:spacing w:after="0"/>
              <w:rPr>
                <w:sz w:val="20"/>
                <w:szCs w:val="20"/>
                <w:color w:val="auto"/>
              </w:rPr>
            </w:pPr>
            <w:r>
              <w:rPr>
                <w:rFonts w:ascii="Arial" w:cs="Arial" w:eastAsia="Arial" w:hAnsi="Arial"/>
                <w:sz w:val="18"/>
                <w:szCs w:val="18"/>
                <w:color w:val="auto"/>
              </w:rPr>
              <w:t>(1,271)</w:t>
            </w:r>
          </w:p>
        </w:tc>
        <w:tc>
          <w:tcPr>
            <w:tcW w:w="1080" w:type="dxa"/>
            <w:vAlign w:val="bottom"/>
            <w:gridSpan w:val="3"/>
          </w:tcPr>
          <w:p>
            <w:pPr>
              <w:jc w:val="right"/>
              <w:ind w:right="240"/>
              <w:spacing w:after="0"/>
              <w:rPr>
                <w:sz w:val="20"/>
                <w:szCs w:val="20"/>
                <w:color w:val="auto"/>
              </w:rPr>
            </w:pPr>
            <w:r>
              <w:rPr>
                <w:rFonts w:ascii="Arial" w:cs="Arial" w:eastAsia="Arial" w:hAnsi="Arial"/>
                <w:sz w:val="18"/>
                <w:szCs w:val="18"/>
                <w:color w:val="auto"/>
              </w:rPr>
              <w:t>(67)</w:t>
            </w:r>
          </w:p>
        </w:tc>
        <w:tc>
          <w:tcPr>
            <w:tcW w:w="14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656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1,030</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1,333</w:t>
            </w:r>
          </w:p>
        </w:tc>
        <w:tc>
          <w:tcPr>
            <w:tcW w:w="3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Purchases and other adjustments to cost</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30</w:t>
            </w:r>
          </w:p>
        </w:tc>
        <w:tc>
          <w:tcPr>
            <w:tcW w:w="9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30,254</w:t>
            </w:r>
          </w:p>
        </w:tc>
        <w:tc>
          <w:tcPr>
            <w:tcW w:w="10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27,341</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669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413</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58,707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Sales and redemptions</w:t>
            </w:r>
          </w:p>
        </w:tc>
        <w:tc>
          <w:tcPr>
            <w:tcW w:w="14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(2,370)</w:t>
            </w:r>
          </w:p>
        </w:tc>
        <w:tc>
          <w:tcPr>
            <w:tcW w:w="980" w:type="dxa"/>
            <w:vAlign w:val="bottom"/>
            <w:gridSpan w:val="3"/>
          </w:tcPr>
          <w:p>
            <w:pPr>
              <w:jc w:val="right"/>
              <w:ind w:right="120"/>
              <w:spacing w:after="0"/>
              <w:rPr>
                <w:sz w:val="20"/>
                <w:szCs w:val="20"/>
                <w:color w:val="auto"/>
              </w:rPr>
            </w:pPr>
            <w:r>
              <w:rPr>
                <w:rFonts w:ascii="Arial" w:cs="Arial" w:eastAsia="Arial" w:hAnsi="Arial"/>
                <w:sz w:val="18"/>
                <w:szCs w:val="18"/>
                <w:color w:val="auto"/>
              </w:rPr>
              <w:t>(28,657)</w:t>
            </w:r>
          </w:p>
        </w:tc>
        <w:tc>
          <w:tcPr>
            <w:tcW w:w="1080" w:type="dxa"/>
            <w:vAlign w:val="bottom"/>
            <w:gridSpan w:val="3"/>
          </w:tcPr>
          <w:p>
            <w:pPr>
              <w:jc w:val="right"/>
              <w:ind w:right="240"/>
              <w:spacing w:after="0"/>
              <w:rPr>
                <w:sz w:val="20"/>
                <w:szCs w:val="20"/>
                <w:color w:val="auto"/>
              </w:rPr>
            </w:pPr>
            <w:r>
              <w:rPr>
                <w:rFonts w:ascii="Arial" w:cs="Arial" w:eastAsia="Arial" w:hAnsi="Arial"/>
                <w:sz w:val="18"/>
                <w:szCs w:val="18"/>
                <w:color w:val="auto"/>
              </w:rPr>
              <w:t>(19,502)</w:t>
            </w:r>
          </w:p>
        </w:tc>
        <w:tc>
          <w:tcPr>
            <w:tcW w:w="14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w w:val="98"/>
              </w:rPr>
              <w:t>(5,917)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(2,285)</w:t>
            </w:r>
          </w:p>
        </w:tc>
        <w:tc>
          <w:tcPr>
            <w:tcW w:w="1000" w:type="dxa"/>
            <w:vAlign w:val="bottom"/>
            <w:gridSpan w:val="3"/>
          </w:tcPr>
          <w:p>
            <w:pPr>
              <w:jc w:val="right"/>
              <w:ind w:right="240"/>
              <w:spacing w:after="0"/>
              <w:rPr>
                <w:sz w:val="20"/>
                <w:szCs w:val="20"/>
                <w:color w:val="auto"/>
              </w:rPr>
            </w:pPr>
            <w:r>
              <w:rPr>
                <w:rFonts w:ascii="Arial" w:cs="Arial" w:eastAsia="Arial" w:hAnsi="Arial"/>
                <w:sz w:val="18"/>
                <w:szCs w:val="18"/>
                <w:color w:val="auto"/>
              </w:rPr>
              <w:t>(3,946)</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(62,677)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Net realized gain from investments</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18</w:t>
            </w:r>
          </w:p>
        </w:tc>
        <w:tc>
          <w:tcPr>
            <w:tcW w:w="9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106</w:t>
            </w:r>
          </w:p>
        </w:tc>
        <w:tc>
          <w:tcPr>
            <w:tcW w:w="10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186</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261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3,660</w:t>
            </w:r>
          </w:p>
        </w:tc>
        <w:tc>
          <w:tcPr>
            <w:tcW w:w="3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Transfers in/out</w:t>
            </w:r>
          </w:p>
        </w:tc>
        <w:tc>
          <w:tcPr>
            <w:tcW w:w="140" w:type="dxa"/>
            <w:vAlign w:val="bottom"/>
          </w:tcPr>
          <w:p>
            <w:pPr>
              <w:spacing w:after="0"/>
              <w:rPr>
                <w:sz w:val="18"/>
                <w:szCs w:val="18"/>
                <w:color w:val="auto"/>
              </w:rPr>
            </w:pPr>
          </w:p>
        </w:tc>
        <w:tc>
          <w:tcPr>
            <w:tcW w:w="5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ind w:right="1"/>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00" w:type="dxa"/>
            <w:vAlign w:val="bottom"/>
            <w:gridSpan w:val="3"/>
          </w:tcPr>
          <w:p>
            <w:pPr>
              <w:jc w:val="right"/>
              <w:ind w:right="240"/>
              <w:spacing w:after="0"/>
              <w:rPr>
                <w:sz w:val="20"/>
                <w:szCs w:val="20"/>
                <w:color w:val="auto"/>
              </w:rPr>
            </w:pPr>
            <w:r>
              <w:rPr>
                <w:rFonts w:ascii="Arial" w:cs="Arial" w:eastAsia="Arial" w:hAnsi="Arial"/>
                <w:sz w:val="18"/>
                <w:szCs w:val="18"/>
                <w:color w:val="auto"/>
              </w:rPr>
              <w:t>(101)</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Balance as of November 30, 2015</w:t>
            </w:r>
          </w:p>
        </w:tc>
        <w:tc>
          <w:tcPr>
            <w:tcW w:w="1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14,538</w:t>
            </w:r>
          </w:p>
        </w:tc>
        <w:tc>
          <w:tcPr>
            <w:tcW w:w="18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145,639</w:t>
            </w:r>
          </w:p>
        </w:tc>
        <w:tc>
          <w:tcPr>
            <w:tcW w:w="10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$ 43,561</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15,776</w:t>
            </w:r>
          </w:p>
        </w:tc>
        <w:tc>
          <w:tcPr>
            <w:tcW w:w="10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21,524</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241,038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Purchases and other adjustments to cost include purchases of new investments at cost, effects of refinancing/restructuring, accretion/amortization of income from discount/premium on debt securities, and PIK.</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Sales and redemptions represent net proceeds received from investments sold, and principal paydowns received, during the period.</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firstLine="456"/>
        <w:spacing w:after="0" w:line="308" w:lineRule="auto"/>
        <w:rPr>
          <w:sz w:val="20"/>
          <w:szCs w:val="20"/>
          <w:color w:val="auto"/>
        </w:rPr>
      </w:pPr>
      <w:r>
        <w:rPr>
          <w:rFonts w:ascii="Arial" w:cs="Arial" w:eastAsia="Arial" w:hAnsi="Arial"/>
          <w:sz w:val="17"/>
          <w:szCs w:val="17"/>
          <w:color w:val="auto"/>
        </w:rPr>
        <w:t>The net change in unrealized appreciation/(depreciation) for the nine months ended November 30, 2015 on investments held as of November 30, 2015 is $(216,346) and is included in net unrealized appreciation/(depreciation) on investments in the consolidated statements of operations.</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provides a reconciliation of the beginning and ending balances for investments that use Level 3 inputs for the nine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November 30, 2014 (dollars 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40" w:type="dxa"/>
            <w:vAlign w:val="bottom"/>
          </w:tcPr>
          <w:p>
            <w:pPr>
              <w:spacing w:after="0"/>
              <w:rPr>
                <w:sz w:val="14"/>
                <w:szCs w:val="14"/>
                <w:color w:val="auto"/>
              </w:rPr>
            </w:pPr>
          </w:p>
        </w:tc>
        <w:tc>
          <w:tcPr>
            <w:tcW w:w="880" w:type="dxa"/>
            <w:vAlign w:val="bottom"/>
            <w:gridSpan w:val="4"/>
            <w:vMerge w:val="restart"/>
          </w:tcPr>
          <w:p>
            <w:pPr>
              <w:ind w:left="20"/>
              <w:spacing w:after="0"/>
              <w:rPr>
                <w:sz w:val="20"/>
                <w:szCs w:val="20"/>
                <w:color w:val="auto"/>
              </w:rPr>
            </w:pPr>
            <w:r>
              <w:rPr>
                <w:rFonts w:ascii="Arial" w:cs="Arial" w:eastAsia="Arial" w:hAnsi="Arial"/>
                <w:sz w:val="14"/>
                <w:szCs w:val="14"/>
                <w:b w:val="1"/>
                <w:bCs w:val="1"/>
                <w:color w:val="auto"/>
              </w:rPr>
              <w:t>Syndicated</w:t>
            </w:r>
          </w:p>
        </w:tc>
        <w:tc>
          <w:tcPr>
            <w:tcW w:w="120" w:type="dxa"/>
            <w:vAlign w:val="bottom"/>
          </w:tcPr>
          <w:p>
            <w:pPr>
              <w:spacing w:after="0"/>
              <w:rPr>
                <w:sz w:val="14"/>
                <w:szCs w:val="14"/>
                <w:color w:val="auto"/>
              </w:rPr>
            </w:pPr>
          </w:p>
        </w:tc>
        <w:tc>
          <w:tcPr>
            <w:tcW w:w="90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rPr>
              <w:t>First lien</w:t>
            </w:r>
          </w:p>
        </w:tc>
        <w:tc>
          <w:tcPr>
            <w:tcW w:w="120" w:type="dxa"/>
            <w:vAlign w:val="bottom"/>
          </w:tcPr>
          <w:p>
            <w:pPr>
              <w:spacing w:after="0"/>
              <w:rPr>
                <w:sz w:val="14"/>
                <w:szCs w:val="14"/>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6"/>
              </w:rPr>
              <w:t>Second</w:t>
            </w:r>
          </w:p>
        </w:tc>
        <w:tc>
          <w:tcPr>
            <w:tcW w:w="9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Unsecured</w:t>
            </w:r>
          </w:p>
        </w:tc>
        <w:tc>
          <w:tcPr>
            <w:tcW w:w="980" w:type="dxa"/>
            <w:vAlign w:val="bottom"/>
            <w:gridSpan w:val="3"/>
          </w:tcPr>
          <w:p>
            <w:pPr>
              <w:spacing w:after="0"/>
              <w:rPr>
                <w:sz w:val="20"/>
                <w:szCs w:val="20"/>
                <w:color w:val="auto"/>
              </w:rPr>
            </w:pPr>
            <w:r>
              <w:rPr>
                <w:rFonts w:ascii="Arial" w:cs="Arial" w:eastAsia="Arial" w:hAnsi="Arial"/>
                <w:sz w:val="14"/>
                <w:szCs w:val="14"/>
                <w:b w:val="1"/>
                <w:bCs w:val="1"/>
                <w:color w:val="auto"/>
              </w:rPr>
              <w:t>Structured</w:t>
            </w:r>
          </w:p>
        </w:tc>
        <w:tc>
          <w:tcPr>
            <w:tcW w:w="80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5"/>
              </w:rPr>
              <w:t>Common</w:t>
            </w: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740" w:type="dxa"/>
            <w:vAlign w:val="bottom"/>
          </w:tcPr>
          <w:p>
            <w:pPr>
              <w:spacing w:after="0"/>
              <w:rPr>
                <w:sz w:val="12"/>
                <w:szCs w:val="12"/>
                <w:color w:val="auto"/>
              </w:rPr>
            </w:pPr>
          </w:p>
        </w:tc>
        <w:tc>
          <w:tcPr>
            <w:tcW w:w="880" w:type="dxa"/>
            <w:vAlign w:val="bottom"/>
            <w:gridSpan w:val="4"/>
            <w:vMerge w:val="continue"/>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lien</w:t>
            </w:r>
          </w:p>
        </w:tc>
        <w:tc>
          <w:tcPr>
            <w:tcW w:w="96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ind w:right="420"/>
              <w:spacing w:after="0" w:line="149" w:lineRule="exact"/>
              <w:rPr>
                <w:sz w:val="20"/>
                <w:szCs w:val="20"/>
                <w:color w:val="auto"/>
              </w:rPr>
            </w:pPr>
            <w:r>
              <w:rPr>
                <w:rFonts w:ascii="Arial" w:cs="Arial" w:eastAsia="Arial" w:hAnsi="Arial"/>
                <w:sz w:val="14"/>
                <w:szCs w:val="14"/>
                <w:b w:val="1"/>
                <w:bCs w:val="1"/>
                <w:color w:val="auto"/>
                <w:w w:val="89"/>
              </w:rPr>
              <w:t>finance</w:t>
            </w:r>
          </w:p>
        </w:tc>
        <w:tc>
          <w:tcPr>
            <w:tcW w:w="100" w:type="dxa"/>
            <w:vAlign w:val="bottom"/>
          </w:tcPr>
          <w:p>
            <w:pPr>
              <w:spacing w:after="0"/>
              <w:rPr>
                <w:sz w:val="12"/>
                <w:szCs w:val="12"/>
                <w:color w:val="auto"/>
              </w:rPr>
            </w:pPr>
          </w:p>
        </w:tc>
        <w:tc>
          <w:tcPr>
            <w:tcW w:w="7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8"/>
              </w:rPr>
              <w:t>stock/</w:t>
            </w:r>
          </w:p>
        </w:tc>
        <w:tc>
          <w:tcPr>
            <w:tcW w:w="120" w:type="dxa"/>
            <w:vAlign w:val="bottom"/>
          </w:tcPr>
          <w:p>
            <w:pPr>
              <w:spacing w:after="0"/>
              <w:rPr>
                <w:sz w:val="12"/>
                <w:szCs w:val="12"/>
                <w:color w:val="auto"/>
              </w:rPr>
            </w:pPr>
          </w:p>
        </w:tc>
        <w:tc>
          <w:tcPr>
            <w:tcW w:w="84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w w:val="98"/>
              </w:rPr>
              <w:t>loans</w:t>
            </w:r>
          </w:p>
        </w:tc>
        <w:tc>
          <w:tcPr>
            <w:tcW w:w="120" w:type="dxa"/>
            <w:vAlign w:val="bottom"/>
          </w:tcPr>
          <w:p>
            <w:pPr>
              <w:spacing w:after="0"/>
              <w:rPr>
                <w:sz w:val="14"/>
                <w:szCs w:val="14"/>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3"/>
              </w:rPr>
              <w:t>term loans</w:t>
            </w:r>
          </w:p>
        </w:tc>
        <w:tc>
          <w:tcPr>
            <w:tcW w:w="120" w:type="dxa"/>
            <w:vAlign w:val="bottom"/>
          </w:tcPr>
          <w:p>
            <w:pPr>
              <w:spacing w:after="0"/>
              <w:rPr>
                <w:sz w:val="14"/>
                <w:szCs w:val="14"/>
                <w:color w:val="auto"/>
              </w:rPr>
            </w:pPr>
          </w:p>
        </w:tc>
        <w:tc>
          <w:tcPr>
            <w:tcW w:w="9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term loans</w:t>
            </w:r>
          </w:p>
        </w:tc>
        <w:tc>
          <w:tcPr>
            <w:tcW w:w="140" w:type="dxa"/>
            <w:vAlign w:val="bottom"/>
          </w:tcPr>
          <w:p>
            <w:pPr>
              <w:spacing w:after="0"/>
              <w:rPr>
                <w:sz w:val="14"/>
                <w:szCs w:val="14"/>
                <w:color w:val="auto"/>
              </w:rPr>
            </w:pPr>
          </w:p>
        </w:tc>
        <w:tc>
          <w:tcPr>
            <w:tcW w:w="8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90"/>
              </w:rPr>
              <w:t>notes</w:t>
            </w:r>
          </w:p>
        </w:tc>
        <w:tc>
          <w:tcPr>
            <w:tcW w:w="980" w:type="dxa"/>
            <w:vAlign w:val="bottom"/>
            <w:gridSpan w:val="3"/>
          </w:tcPr>
          <w:p>
            <w:pPr>
              <w:ind w:left="40"/>
              <w:spacing w:after="0"/>
              <w:rPr>
                <w:sz w:val="20"/>
                <w:szCs w:val="20"/>
                <w:color w:val="auto"/>
              </w:rPr>
            </w:pPr>
            <w:r>
              <w:rPr>
                <w:rFonts w:ascii="Arial" w:cs="Arial" w:eastAsia="Arial" w:hAnsi="Arial"/>
                <w:sz w:val="14"/>
                <w:szCs w:val="14"/>
                <w:b w:val="1"/>
                <w:bCs w:val="1"/>
                <w:color w:val="auto"/>
              </w:rPr>
              <w:t>securities</w:t>
            </w:r>
          </w:p>
        </w:tc>
        <w:tc>
          <w:tcPr>
            <w:tcW w:w="80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86"/>
              </w:rPr>
              <w:t>equities</w:t>
            </w:r>
          </w:p>
        </w:tc>
        <w:tc>
          <w:tcPr>
            <w:tcW w:w="12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as of February 28, 2014</w:t>
            </w: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32,390</w:t>
            </w: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$ 110,278</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$ 27,804</w:t>
            </w:r>
          </w:p>
        </w:tc>
        <w:tc>
          <w:tcPr>
            <w:tcW w:w="3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5,471</w:t>
            </w: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19,570</w:t>
            </w: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10,332</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$ 205,845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Net unrealized appreciation/(depreciation) on investments</w:t>
            </w:r>
          </w:p>
        </w:tc>
        <w:tc>
          <w:tcPr>
            <w:tcW w:w="140" w:type="dxa"/>
            <w:vAlign w:val="bottom"/>
          </w:tcPr>
          <w:p>
            <w:pPr>
              <w:spacing w:after="0"/>
              <w:rPr>
                <w:sz w:val="18"/>
                <w:szCs w:val="18"/>
                <w:color w:val="auto"/>
              </w:rPr>
            </w:pPr>
          </w:p>
        </w:tc>
        <w:tc>
          <w:tcPr>
            <w:tcW w:w="740" w:type="dxa"/>
            <w:vAlign w:val="bottom"/>
            <w:gridSpan w:val="3"/>
          </w:tcPr>
          <w:p>
            <w:pPr>
              <w:jc w:val="right"/>
              <w:ind w:right="120"/>
              <w:spacing w:after="0"/>
              <w:rPr>
                <w:sz w:val="20"/>
                <w:szCs w:val="20"/>
                <w:color w:val="auto"/>
              </w:rPr>
            </w:pPr>
            <w:r>
              <w:rPr>
                <w:rFonts w:ascii="Arial" w:cs="Arial" w:eastAsia="Arial" w:hAnsi="Arial"/>
                <w:sz w:val="18"/>
                <w:szCs w:val="18"/>
                <w:color w:val="auto"/>
              </w:rPr>
              <w:t>(485)</w:t>
            </w:r>
          </w:p>
        </w:tc>
        <w:tc>
          <w:tcPr>
            <w:tcW w:w="1020" w:type="dxa"/>
            <w:vAlign w:val="bottom"/>
            <w:gridSpan w:val="3"/>
          </w:tcPr>
          <w:p>
            <w:pPr>
              <w:jc w:val="right"/>
              <w:ind w:right="120"/>
              <w:spacing w:after="0"/>
              <w:rPr>
                <w:sz w:val="20"/>
                <w:szCs w:val="20"/>
                <w:color w:val="auto"/>
              </w:rPr>
            </w:pPr>
            <w:r>
              <w:rPr>
                <w:rFonts w:ascii="Arial" w:cs="Arial" w:eastAsia="Arial" w:hAnsi="Arial"/>
                <w:sz w:val="18"/>
                <w:szCs w:val="18"/>
                <w:color w:val="auto"/>
              </w:rPr>
              <w:t>(704)</w:t>
            </w:r>
          </w:p>
        </w:tc>
        <w:tc>
          <w:tcPr>
            <w:tcW w:w="1080" w:type="dxa"/>
            <w:vAlign w:val="bottom"/>
            <w:gridSpan w:val="3"/>
          </w:tcPr>
          <w:p>
            <w:pPr>
              <w:jc w:val="right"/>
              <w:ind w:right="240"/>
              <w:spacing w:after="0"/>
              <w:rPr>
                <w:sz w:val="20"/>
                <w:szCs w:val="20"/>
                <w:color w:val="auto"/>
              </w:rPr>
            </w:pPr>
            <w:r>
              <w:rPr>
                <w:rFonts w:ascii="Arial" w:cs="Arial" w:eastAsia="Arial" w:hAnsi="Arial"/>
                <w:sz w:val="18"/>
                <w:szCs w:val="18"/>
                <w:color w:val="auto"/>
              </w:rPr>
              <w:t>(379)</w:t>
            </w:r>
          </w:p>
        </w:tc>
        <w:tc>
          <w:tcPr>
            <w:tcW w:w="140" w:type="dxa"/>
            <w:vAlign w:val="bottom"/>
          </w:tcPr>
          <w:p>
            <w:pPr>
              <w:spacing w:after="0"/>
              <w:rPr>
                <w:sz w:val="18"/>
                <w:szCs w:val="18"/>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rPr>
              <w:t>355</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35</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(508)</w:t>
            </w:r>
          </w:p>
        </w:tc>
        <w:tc>
          <w:tcPr>
            <w:tcW w:w="960" w:type="dxa"/>
            <w:vAlign w:val="bottom"/>
            <w:gridSpan w:val="3"/>
          </w:tcPr>
          <w:p>
            <w:pPr>
              <w:jc w:val="right"/>
              <w:ind w:right="40"/>
              <w:spacing w:after="0"/>
              <w:rPr>
                <w:sz w:val="20"/>
                <w:szCs w:val="20"/>
                <w:color w:val="auto"/>
              </w:rPr>
            </w:pPr>
            <w:r>
              <w:rPr>
                <w:rFonts w:ascii="Arial" w:cs="Arial" w:eastAsia="Arial" w:hAnsi="Arial"/>
                <w:sz w:val="18"/>
                <w:szCs w:val="18"/>
                <w:color w:val="auto"/>
              </w:rPr>
              <w:t>(1,686)</w:t>
            </w: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Purchases and other adjustments to cost</w:t>
            </w: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44</w:t>
            </w:r>
          </w:p>
        </w:tc>
        <w:tc>
          <w:tcPr>
            <w:tcW w:w="16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62,903</w:t>
            </w:r>
          </w:p>
        </w:tc>
        <w:tc>
          <w:tcPr>
            <w:tcW w:w="10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18,630</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147</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3,263</w:t>
            </w:r>
          </w:p>
        </w:tc>
        <w:tc>
          <w:tcPr>
            <w:tcW w:w="9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84,987</w:t>
            </w: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Sales and redemptions</w:t>
            </w:r>
          </w:p>
        </w:tc>
        <w:tc>
          <w:tcPr>
            <w:tcW w:w="140" w:type="dxa"/>
            <w:vAlign w:val="bottom"/>
          </w:tcPr>
          <w:p>
            <w:pPr>
              <w:spacing w:after="0"/>
              <w:rPr>
                <w:sz w:val="18"/>
                <w:szCs w:val="18"/>
                <w:color w:val="auto"/>
              </w:rPr>
            </w:pPr>
          </w:p>
        </w:tc>
        <w:tc>
          <w:tcPr>
            <w:tcW w:w="740" w:type="dxa"/>
            <w:vAlign w:val="bottom"/>
            <w:gridSpan w:val="3"/>
          </w:tcPr>
          <w:p>
            <w:pPr>
              <w:jc w:val="right"/>
              <w:ind w:right="120"/>
              <w:spacing w:after="0"/>
              <w:rPr>
                <w:sz w:val="20"/>
                <w:szCs w:val="20"/>
                <w:color w:val="auto"/>
              </w:rPr>
            </w:pPr>
            <w:r>
              <w:rPr>
                <w:rFonts w:ascii="Arial" w:cs="Arial" w:eastAsia="Arial" w:hAnsi="Arial"/>
                <w:sz w:val="18"/>
                <w:szCs w:val="18"/>
                <w:color w:val="auto"/>
              </w:rPr>
              <w:t>(7,462)</w:t>
            </w:r>
          </w:p>
        </w:tc>
        <w:tc>
          <w:tcPr>
            <w:tcW w:w="1020" w:type="dxa"/>
            <w:vAlign w:val="bottom"/>
            <w:gridSpan w:val="3"/>
          </w:tcPr>
          <w:p>
            <w:pPr>
              <w:jc w:val="right"/>
              <w:ind w:right="120"/>
              <w:spacing w:after="0"/>
              <w:rPr>
                <w:sz w:val="20"/>
                <w:szCs w:val="20"/>
                <w:color w:val="auto"/>
              </w:rPr>
            </w:pPr>
            <w:r>
              <w:rPr>
                <w:rFonts w:ascii="Arial" w:cs="Arial" w:eastAsia="Arial" w:hAnsi="Arial"/>
                <w:sz w:val="18"/>
                <w:szCs w:val="18"/>
                <w:color w:val="auto"/>
              </w:rPr>
              <w:t>(27,815)</w:t>
            </w:r>
          </w:p>
        </w:tc>
        <w:tc>
          <w:tcPr>
            <w:tcW w:w="1080" w:type="dxa"/>
            <w:vAlign w:val="bottom"/>
            <w:gridSpan w:val="3"/>
          </w:tcPr>
          <w:p>
            <w:pPr>
              <w:jc w:val="right"/>
              <w:ind w:right="240"/>
              <w:spacing w:after="0"/>
              <w:rPr>
                <w:sz w:val="20"/>
                <w:szCs w:val="20"/>
                <w:color w:val="auto"/>
              </w:rPr>
            </w:pPr>
            <w:r>
              <w:rPr>
                <w:rFonts w:ascii="Arial" w:cs="Arial" w:eastAsia="Arial" w:hAnsi="Arial"/>
                <w:sz w:val="18"/>
                <w:szCs w:val="18"/>
                <w:color w:val="auto"/>
              </w:rPr>
              <w:t>(9,500)</w:t>
            </w:r>
          </w:p>
        </w:tc>
        <w:tc>
          <w:tcPr>
            <w:tcW w:w="140" w:type="dxa"/>
            <w:vAlign w:val="bottom"/>
          </w:tcPr>
          <w:p>
            <w:pPr>
              <w:spacing w:after="0"/>
              <w:rPr>
                <w:sz w:val="18"/>
                <w:szCs w:val="18"/>
                <w:color w:val="auto"/>
              </w:rPr>
            </w:pPr>
          </w:p>
        </w:tc>
        <w:tc>
          <w:tcPr>
            <w:tcW w:w="8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(172)</w:t>
            </w: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w w:val="98"/>
              </w:rPr>
              <w:t>(6,227)</w:t>
            </w:r>
          </w:p>
        </w:tc>
        <w:tc>
          <w:tcPr>
            <w:tcW w:w="960" w:type="dxa"/>
            <w:vAlign w:val="bottom"/>
            <w:gridSpan w:val="3"/>
          </w:tcPr>
          <w:p>
            <w:pPr>
              <w:jc w:val="right"/>
              <w:ind w:right="40"/>
              <w:spacing w:after="0"/>
              <w:rPr>
                <w:sz w:val="20"/>
                <w:szCs w:val="20"/>
                <w:color w:val="auto"/>
              </w:rPr>
            </w:pPr>
            <w:r>
              <w:rPr>
                <w:rFonts w:ascii="Arial" w:cs="Arial" w:eastAsia="Arial" w:hAnsi="Arial"/>
                <w:sz w:val="18"/>
                <w:szCs w:val="18"/>
                <w:color w:val="auto"/>
              </w:rPr>
              <w:t>(51,176)</w:t>
            </w: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Net realized gain from investments</w:t>
            </w: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w:t>
            </w:r>
          </w:p>
        </w:tc>
        <w:tc>
          <w:tcPr>
            <w:tcW w:w="16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756</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2,365</w:t>
            </w:r>
          </w:p>
        </w:tc>
        <w:tc>
          <w:tcPr>
            <w:tcW w:w="9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3,203</w:t>
            </w:r>
          </w:p>
        </w:tc>
        <w:tc>
          <w:tcPr>
            <w:tcW w:w="0" w:type="dxa"/>
            <w:vAlign w:val="bottom"/>
          </w:tcPr>
          <w:p>
            <w:pPr>
              <w:spacing w:after="0"/>
              <w:rPr>
                <w:sz w:val="1"/>
                <w:szCs w:val="1"/>
                <w:color w:val="auto"/>
              </w:rPr>
            </w:pPr>
          </w:p>
        </w:tc>
      </w:tr>
      <w:tr>
        <w:trPr>
          <w:trHeight w:val="223"/>
        </w:trPr>
        <w:tc>
          <w:tcPr>
            <w:tcW w:w="4740" w:type="dxa"/>
            <w:vAlign w:val="bottom"/>
          </w:tcPr>
          <w:p>
            <w:pPr>
              <w:spacing w:after="0"/>
              <w:rPr>
                <w:sz w:val="20"/>
                <w:szCs w:val="20"/>
                <w:color w:val="auto"/>
              </w:rPr>
            </w:pPr>
            <w:r>
              <w:rPr>
                <w:rFonts w:ascii="Arial" w:cs="Arial" w:eastAsia="Arial" w:hAnsi="Arial"/>
                <w:sz w:val="18"/>
                <w:szCs w:val="18"/>
                <w:color w:val="auto"/>
              </w:rPr>
              <w:t>Balance as of November 30, 2014</w:t>
            </w: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24,523</w:t>
            </w:r>
          </w:p>
        </w:tc>
        <w:tc>
          <w:tcPr>
            <w:tcW w:w="2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$ 145,418</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$ 36,601</w:t>
            </w:r>
          </w:p>
        </w:tc>
        <w:tc>
          <w:tcPr>
            <w:tcW w:w="3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5,973</w:t>
            </w: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19,433</w:t>
            </w: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9,225</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$ 241,173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Purchases and other adjustments to cost include purchases of new investments at cost, effects of refinancing/restructuring, accretion/amortization of income from discount/premium on debt securities, and PIK.</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Sales and redemptions represent net proceeds received from investments sold, and principal paydowns received, during the period.</w:t>
      </w:r>
    </w:p>
    <w:p>
      <w:pPr>
        <w:spacing w:after="0" w:line="225" w:lineRule="exact"/>
        <w:rPr>
          <w:sz w:val="20"/>
          <w:szCs w:val="20"/>
          <w:color w:val="auto"/>
        </w:rPr>
      </w:pPr>
    </w:p>
    <w:p>
      <w:pPr>
        <w:ind w:right="120" w:firstLine="456"/>
        <w:spacing w:after="0" w:line="308" w:lineRule="auto"/>
        <w:rPr>
          <w:sz w:val="20"/>
          <w:szCs w:val="20"/>
          <w:color w:val="auto"/>
        </w:rPr>
      </w:pPr>
      <w:r>
        <w:rPr>
          <w:rFonts w:ascii="Arial" w:cs="Arial" w:eastAsia="Arial" w:hAnsi="Arial"/>
          <w:sz w:val="17"/>
          <w:szCs w:val="17"/>
          <w:color w:val="auto"/>
        </w:rPr>
        <w:t>The net change in unrealized appreciation/(depreciation) for the nine months ended November 30, 2014 on investments held as of November 30, 2014 was $573,734 and is included in net unrealized appreciation (depreciation) on investments in the consolidated statements of operations.</w:t>
      </w:r>
    </w:p>
    <w:p>
      <w:pPr>
        <w:spacing w:after="0" w:line="147" w:lineRule="exact"/>
        <w:rPr>
          <w:sz w:val="20"/>
          <w:szCs w:val="20"/>
          <w:color w:val="auto"/>
        </w:rPr>
      </w:pPr>
    </w:p>
    <w:p>
      <w:pPr>
        <w:ind w:right="360" w:firstLine="456"/>
        <w:spacing w:after="0" w:line="277" w:lineRule="auto"/>
        <w:rPr>
          <w:sz w:val="20"/>
          <w:szCs w:val="20"/>
          <w:color w:val="auto"/>
        </w:rPr>
      </w:pPr>
      <w:r>
        <w:rPr>
          <w:rFonts w:ascii="Arial" w:cs="Arial" w:eastAsia="Arial" w:hAnsi="Arial"/>
          <w:sz w:val="18"/>
          <w:szCs w:val="18"/>
          <w:color w:val="auto"/>
        </w:rPr>
        <w:t>The valuation techniques and significant unobservable inputs used in recurring Level 3 fair value measurements of assets as of November 30, 2015 were as follows (dollars in thousands):</w:t>
      </w:r>
    </w:p>
    <w:p>
      <w:pPr>
        <w:spacing w:after="0" w:line="189"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4080" w:type="dxa"/>
            <w:vAlign w:val="bottom"/>
          </w:tcPr>
          <w:p>
            <w:pPr>
              <w:spacing w:after="0"/>
              <w:rPr>
                <w:sz w:val="14"/>
                <w:szCs w:val="14"/>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5"/>
              </w:rPr>
              <w:t>Fair Value</w:t>
            </w:r>
          </w:p>
        </w:tc>
        <w:tc>
          <w:tcPr>
            <w:tcW w:w="1780" w:type="dxa"/>
            <w:vAlign w:val="bottom"/>
          </w:tcPr>
          <w:p>
            <w:pPr>
              <w:ind w:left="260"/>
              <w:spacing w:after="0"/>
              <w:rPr>
                <w:sz w:val="20"/>
                <w:szCs w:val="20"/>
                <w:color w:val="auto"/>
              </w:rPr>
            </w:pPr>
            <w:r>
              <w:rPr>
                <w:rFonts w:ascii="Arial" w:cs="Arial" w:eastAsia="Arial" w:hAnsi="Arial"/>
                <w:sz w:val="14"/>
                <w:szCs w:val="14"/>
                <w:b w:val="1"/>
                <w:bCs w:val="1"/>
                <w:color w:val="auto"/>
              </w:rPr>
              <w:t>Valuation Technique</w:t>
            </w:r>
          </w:p>
        </w:tc>
        <w:tc>
          <w:tcPr>
            <w:tcW w:w="300" w:type="dxa"/>
            <w:vAlign w:val="bottom"/>
          </w:tcPr>
          <w:p>
            <w:pPr>
              <w:spacing w:after="0"/>
              <w:rPr>
                <w:sz w:val="14"/>
                <w:szCs w:val="14"/>
                <w:color w:val="auto"/>
              </w:rPr>
            </w:pPr>
          </w:p>
        </w:tc>
        <w:tc>
          <w:tcPr>
            <w:tcW w:w="2040" w:type="dxa"/>
            <w:vAlign w:val="bottom"/>
            <w:gridSpan w:val="2"/>
          </w:tcPr>
          <w:p>
            <w:pPr>
              <w:ind w:left="240"/>
              <w:spacing w:after="0"/>
              <w:rPr>
                <w:sz w:val="20"/>
                <w:szCs w:val="20"/>
                <w:color w:val="auto"/>
              </w:rPr>
            </w:pPr>
            <w:r>
              <w:rPr>
                <w:rFonts w:ascii="Arial" w:cs="Arial" w:eastAsia="Arial" w:hAnsi="Arial"/>
                <w:sz w:val="14"/>
                <w:szCs w:val="14"/>
                <w:b w:val="1"/>
                <w:bCs w:val="1"/>
                <w:color w:val="auto"/>
              </w:rPr>
              <w:t>Unobservable Input</w:t>
            </w:r>
          </w:p>
        </w:tc>
        <w:tc>
          <w:tcPr>
            <w:tcW w:w="1220" w:type="dxa"/>
            <w:vAlign w:val="bottom"/>
            <w:gridSpan w:val="2"/>
          </w:tcPr>
          <w:p>
            <w:pPr>
              <w:jc w:val="center"/>
              <w:spacing w:after="0"/>
              <w:rPr>
                <w:sz w:val="20"/>
                <w:szCs w:val="20"/>
                <w:color w:val="auto"/>
              </w:rPr>
            </w:pPr>
            <w:r>
              <w:rPr>
                <w:rFonts w:ascii="Arial" w:cs="Arial" w:eastAsia="Arial" w:hAnsi="Arial"/>
                <w:sz w:val="14"/>
                <w:szCs w:val="14"/>
                <w:b w:val="1"/>
                <w:bCs w:val="1"/>
                <w:color w:val="auto"/>
                <w:w w:val="88"/>
              </w:rPr>
              <w:t>Range</w:t>
            </w:r>
          </w:p>
        </w:tc>
      </w:tr>
      <w:tr>
        <w:trPr>
          <w:trHeight w:val="210"/>
        </w:trPr>
        <w:tc>
          <w:tcPr>
            <w:tcW w:w="4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Syndicated loans</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14,538</w:t>
            </w:r>
          </w:p>
        </w:tc>
        <w:tc>
          <w:tcPr>
            <w:tcW w:w="420" w:type="dxa"/>
            <w:vAlign w:val="bottom"/>
            <w:tcBorders>
              <w:top w:val="single" w:sz="8" w:color="CCEEFF"/>
            </w:tcBorders>
            <w:shd w:val="clear" w:color="auto" w:fill="CCEEFF"/>
          </w:tcPr>
          <w:p>
            <w:pPr>
              <w:spacing w:after="0"/>
              <w:rPr>
                <w:sz w:val="18"/>
                <w:szCs w:val="18"/>
                <w:color w:val="auto"/>
              </w:rPr>
            </w:pPr>
          </w:p>
        </w:tc>
        <w:tc>
          <w:tcPr>
            <w:tcW w:w="17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Market Comparables</w:t>
            </w:r>
          </w:p>
        </w:tc>
        <w:tc>
          <w:tcPr>
            <w:tcW w:w="300" w:type="dxa"/>
            <w:vAlign w:val="bottom"/>
            <w:tcBorders>
              <w:top w:val="single" w:sz="8" w:color="CCEEFF"/>
            </w:tcBorders>
            <w:shd w:val="clear" w:color="auto" w:fill="CCEEFF"/>
          </w:tcPr>
          <w:p>
            <w:pPr>
              <w:spacing w:after="0"/>
              <w:rPr>
                <w:sz w:val="18"/>
                <w:szCs w:val="18"/>
                <w:color w:val="auto"/>
              </w:rPr>
            </w:pPr>
          </w:p>
        </w:tc>
        <w:tc>
          <w:tcPr>
            <w:tcW w:w="17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Third-Party Bid</w:t>
            </w:r>
          </w:p>
        </w:tc>
        <w:tc>
          <w:tcPr>
            <w:tcW w:w="3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74.5%</w:t>
            </w:r>
          </w:p>
        </w:tc>
        <w:tc>
          <w:tcPr>
            <w:tcW w:w="68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w w:val="99"/>
              </w:rPr>
              <w:t>- 99.2%</w:t>
            </w: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First lien term loans</w:t>
            </w: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w w:val="98"/>
              </w:rPr>
              <w:t>145,639</w:t>
            </w:r>
          </w:p>
        </w:tc>
        <w:tc>
          <w:tcPr>
            <w:tcW w:w="1780" w:type="dxa"/>
            <w:vAlign w:val="bottom"/>
          </w:tcPr>
          <w:p>
            <w:pPr>
              <w:spacing w:after="0"/>
              <w:rPr>
                <w:sz w:val="20"/>
                <w:szCs w:val="20"/>
                <w:color w:val="auto"/>
              </w:rPr>
            </w:pPr>
            <w:r>
              <w:rPr>
                <w:rFonts w:ascii="Arial" w:cs="Arial" w:eastAsia="Arial" w:hAnsi="Arial"/>
                <w:sz w:val="18"/>
                <w:szCs w:val="18"/>
                <w:color w:val="auto"/>
              </w:rPr>
              <w:t>Market Comparables</w:t>
            </w:r>
          </w:p>
        </w:tc>
        <w:tc>
          <w:tcPr>
            <w:tcW w:w="2340" w:type="dxa"/>
            <w:vAlign w:val="bottom"/>
            <w:gridSpan w:val="3"/>
          </w:tcPr>
          <w:p>
            <w:pPr>
              <w:ind w:left="300"/>
              <w:spacing w:after="0"/>
              <w:rPr>
                <w:sz w:val="20"/>
                <w:szCs w:val="20"/>
                <w:color w:val="auto"/>
              </w:rPr>
            </w:pPr>
            <w:r>
              <w:rPr>
                <w:rFonts w:ascii="Arial" w:cs="Arial" w:eastAsia="Arial" w:hAnsi="Arial"/>
                <w:sz w:val="18"/>
                <w:szCs w:val="18"/>
                <w:color w:val="auto"/>
              </w:rPr>
              <w:t>Market Yield (%)</w:t>
            </w:r>
          </w:p>
        </w:tc>
        <w:tc>
          <w:tcPr>
            <w:tcW w:w="540" w:type="dxa"/>
            <w:vAlign w:val="bottom"/>
          </w:tcPr>
          <w:p>
            <w:pPr>
              <w:jc w:val="right"/>
              <w:spacing w:after="0"/>
              <w:rPr>
                <w:sz w:val="20"/>
                <w:szCs w:val="20"/>
                <w:color w:val="auto"/>
              </w:rPr>
            </w:pPr>
            <w:r>
              <w:rPr>
                <w:rFonts w:ascii="Arial" w:cs="Arial" w:eastAsia="Arial" w:hAnsi="Arial"/>
                <w:sz w:val="18"/>
                <w:szCs w:val="18"/>
                <w:color w:val="auto"/>
              </w:rPr>
              <w:t>6.5%</w:t>
            </w:r>
          </w:p>
        </w:tc>
        <w:tc>
          <w:tcPr>
            <w:tcW w:w="680" w:type="dxa"/>
            <w:vAlign w:val="bottom"/>
          </w:tcPr>
          <w:p>
            <w:pPr>
              <w:spacing w:after="0"/>
              <w:rPr>
                <w:sz w:val="20"/>
                <w:szCs w:val="20"/>
                <w:color w:val="auto"/>
              </w:rPr>
            </w:pPr>
            <w:r>
              <w:rPr>
                <w:rFonts w:ascii="Arial" w:cs="Arial" w:eastAsia="Arial" w:hAnsi="Arial"/>
                <w:sz w:val="18"/>
                <w:szCs w:val="18"/>
                <w:color w:val="auto"/>
              </w:rPr>
              <w:t>- 15.5%</w:t>
            </w:r>
          </w:p>
        </w:tc>
      </w:tr>
      <w:tr>
        <w:trPr>
          <w:trHeight w:val="216"/>
        </w:trPr>
        <w:tc>
          <w:tcPr>
            <w:tcW w:w="40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234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EBITDA Multiples (x)</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0.1x</w:t>
            </w:r>
          </w:p>
        </w:tc>
        <w:tc>
          <w:tcPr>
            <w:tcW w:w="680" w:type="dxa"/>
            <w:vAlign w:val="bottom"/>
            <w:shd w:val="clear" w:color="auto" w:fill="CCEEFF"/>
          </w:tcPr>
          <w:p>
            <w:pPr>
              <w:ind w:left="40"/>
              <w:spacing w:after="0"/>
              <w:rPr>
                <w:sz w:val="20"/>
                <w:szCs w:val="20"/>
                <w:color w:val="auto"/>
              </w:rPr>
            </w:pPr>
            <w:r>
              <w:rPr>
                <w:rFonts w:ascii="Arial" w:cs="Arial" w:eastAsia="Arial" w:hAnsi="Arial"/>
                <w:sz w:val="18"/>
                <w:szCs w:val="18"/>
                <w:color w:val="auto"/>
              </w:rPr>
              <w:t>- 1.0x</w:t>
            </w:r>
          </w:p>
        </w:tc>
      </w:tr>
      <w:tr>
        <w:trPr>
          <w:trHeight w:val="216"/>
        </w:trPr>
        <w:tc>
          <w:tcPr>
            <w:tcW w:w="40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2340" w:type="dxa"/>
            <w:vAlign w:val="bottom"/>
            <w:gridSpan w:val="3"/>
          </w:tcPr>
          <w:p>
            <w:pPr>
              <w:ind w:left="300"/>
              <w:spacing w:after="0"/>
              <w:rPr>
                <w:sz w:val="20"/>
                <w:szCs w:val="20"/>
                <w:color w:val="auto"/>
              </w:rPr>
            </w:pPr>
            <w:r>
              <w:rPr>
                <w:rFonts w:ascii="Arial" w:cs="Arial" w:eastAsia="Arial" w:hAnsi="Arial"/>
                <w:sz w:val="18"/>
                <w:szCs w:val="18"/>
                <w:color w:val="auto"/>
              </w:rPr>
              <w:t>Third-Party Bid</w:t>
            </w:r>
          </w:p>
        </w:tc>
        <w:tc>
          <w:tcPr>
            <w:tcW w:w="540" w:type="dxa"/>
            <w:vAlign w:val="bottom"/>
          </w:tcPr>
          <w:p>
            <w:pPr>
              <w:jc w:val="right"/>
              <w:spacing w:after="0"/>
              <w:rPr>
                <w:sz w:val="20"/>
                <w:szCs w:val="20"/>
                <w:color w:val="auto"/>
              </w:rPr>
            </w:pPr>
            <w:r>
              <w:rPr>
                <w:rFonts w:ascii="Arial" w:cs="Arial" w:eastAsia="Arial" w:hAnsi="Arial"/>
                <w:sz w:val="18"/>
                <w:szCs w:val="18"/>
                <w:color w:val="auto"/>
              </w:rPr>
              <w:t>71.8%</w:t>
            </w:r>
          </w:p>
        </w:tc>
        <w:tc>
          <w:tcPr>
            <w:tcW w:w="680" w:type="dxa"/>
            <w:vAlign w:val="bottom"/>
          </w:tcPr>
          <w:p>
            <w:pPr>
              <w:ind w:left="40"/>
              <w:spacing w:after="0"/>
              <w:rPr>
                <w:sz w:val="20"/>
                <w:szCs w:val="20"/>
                <w:color w:val="auto"/>
              </w:rPr>
            </w:pPr>
            <w:r>
              <w:rPr>
                <w:rFonts w:ascii="Arial" w:cs="Arial" w:eastAsia="Arial" w:hAnsi="Arial"/>
                <w:sz w:val="18"/>
                <w:szCs w:val="18"/>
                <w:color w:val="auto"/>
                <w:w w:val="99"/>
              </w:rPr>
              <w:t>- 99.5%</w:t>
            </w: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Second lien term loans</w:t>
            </w: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43,561</w:t>
            </w:r>
          </w:p>
        </w:tc>
        <w:tc>
          <w:tcPr>
            <w:tcW w:w="1780" w:type="dxa"/>
            <w:vAlign w:val="bottom"/>
            <w:shd w:val="clear" w:color="auto" w:fill="CCEEFF"/>
          </w:tcPr>
          <w:p>
            <w:pPr>
              <w:spacing w:after="0"/>
              <w:rPr>
                <w:sz w:val="20"/>
                <w:szCs w:val="20"/>
                <w:color w:val="auto"/>
              </w:rPr>
            </w:pPr>
            <w:r>
              <w:rPr>
                <w:rFonts w:ascii="Arial" w:cs="Arial" w:eastAsia="Arial" w:hAnsi="Arial"/>
                <w:sz w:val="18"/>
                <w:szCs w:val="18"/>
                <w:color w:val="auto"/>
              </w:rPr>
              <w:t>Market Comparables</w:t>
            </w:r>
          </w:p>
        </w:tc>
        <w:tc>
          <w:tcPr>
            <w:tcW w:w="234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Market Yield (%)</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680" w:type="dxa"/>
            <w:vAlign w:val="bottom"/>
            <w:shd w:val="clear" w:color="auto" w:fill="CCEEFF"/>
          </w:tcPr>
          <w:p>
            <w:pPr>
              <w:spacing w:after="0"/>
              <w:rPr>
                <w:sz w:val="20"/>
                <w:szCs w:val="20"/>
                <w:color w:val="auto"/>
              </w:rPr>
            </w:pPr>
            <w:r>
              <w:rPr>
                <w:rFonts w:ascii="Arial" w:cs="Arial" w:eastAsia="Arial" w:hAnsi="Arial"/>
                <w:sz w:val="18"/>
                <w:szCs w:val="18"/>
                <w:color w:val="auto"/>
              </w:rPr>
              <w:t>- 12.6%</w:t>
            </w:r>
          </w:p>
        </w:tc>
      </w:tr>
      <w:tr>
        <w:trPr>
          <w:trHeight w:val="216"/>
        </w:trPr>
        <w:tc>
          <w:tcPr>
            <w:tcW w:w="40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2340" w:type="dxa"/>
            <w:vAlign w:val="bottom"/>
            <w:gridSpan w:val="3"/>
          </w:tcPr>
          <w:p>
            <w:pPr>
              <w:ind w:left="300"/>
              <w:spacing w:after="0"/>
              <w:rPr>
                <w:sz w:val="20"/>
                <w:szCs w:val="20"/>
                <w:color w:val="auto"/>
              </w:rPr>
            </w:pPr>
            <w:r>
              <w:rPr>
                <w:rFonts w:ascii="Arial" w:cs="Arial" w:eastAsia="Arial" w:hAnsi="Arial"/>
                <w:sz w:val="18"/>
                <w:szCs w:val="18"/>
                <w:color w:val="auto"/>
              </w:rPr>
              <w:t>Third-Party Bid</w:t>
            </w:r>
          </w:p>
        </w:tc>
        <w:tc>
          <w:tcPr>
            <w:tcW w:w="540" w:type="dxa"/>
            <w:vAlign w:val="bottom"/>
          </w:tcPr>
          <w:p>
            <w:pPr>
              <w:jc w:val="right"/>
              <w:spacing w:after="0"/>
              <w:rPr>
                <w:sz w:val="20"/>
                <w:szCs w:val="20"/>
                <w:color w:val="auto"/>
              </w:rPr>
            </w:pPr>
            <w:r>
              <w:rPr>
                <w:rFonts w:ascii="Arial" w:cs="Arial" w:eastAsia="Arial" w:hAnsi="Arial"/>
                <w:sz w:val="18"/>
                <w:szCs w:val="18"/>
                <w:color w:val="auto"/>
                <w:w w:val="90"/>
              </w:rPr>
              <w:t>97.0%</w:t>
            </w:r>
          </w:p>
        </w:tc>
        <w:tc>
          <w:tcPr>
            <w:tcW w:w="680" w:type="dxa"/>
            <w:vAlign w:val="bottom"/>
          </w:tcPr>
          <w:p>
            <w:pPr>
              <w:spacing w:after="0"/>
              <w:rPr>
                <w:sz w:val="20"/>
                <w:szCs w:val="20"/>
                <w:color w:val="auto"/>
              </w:rPr>
            </w:pPr>
            <w:r>
              <w:rPr>
                <w:rFonts w:ascii="Arial" w:cs="Arial" w:eastAsia="Arial" w:hAnsi="Arial"/>
                <w:sz w:val="18"/>
                <w:szCs w:val="18"/>
                <w:color w:val="auto"/>
                <w:w w:val="91"/>
              </w:rPr>
              <w:t>- 100.0%</w:t>
            </w: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Unsecured notes</w:t>
            </w:r>
          </w:p>
        </w:tc>
        <w:tc>
          <w:tcPr>
            <w:tcW w:w="10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780" w:type="dxa"/>
            <w:vAlign w:val="bottom"/>
            <w:shd w:val="clear" w:color="auto" w:fill="CCEEFF"/>
          </w:tcPr>
          <w:p>
            <w:pPr>
              <w:spacing w:after="0"/>
              <w:rPr>
                <w:sz w:val="20"/>
                <w:szCs w:val="20"/>
                <w:color w:val="auto"/>
              </w:rPr>
            </w:pPr>
            <w:r>
              <w:rPr>
                <w:rFonts w:ascii="Arial" w:cs="Arial" w:eastAsia="Arial" w:hAnsi="Arial"/>
                <w:sz w:val="18"/>
                <w:szCs w:val="18"/>
                <w:color w:val="auto"/>
              </w:rPr>
              <w:t>Market Comparables</w:t>
            </w:r>
          </w:p>
        </w:tc>
        <w:tc>
          <w:tcPr>
            <w:tcW w:w="234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Market Yield (%)</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680" w:type="dxa"/>
            <w:vAlign w:val="bottom"/>
            <w:shd w:val="clear" w:color="auto" w:fill="CCEEFF"/>
          </w:tcPr>
          <w:p>
            <w:pPr>
              <w:ind w:left="40"/>
              <w:spacing w:after="0"/>
              <w:rPr>
                <w:sz w:val="20"/>
                <w:szCs w:val="20"/>
                <w:color w:val="auto"/>
              </w:rPr>
            </w:pPr>
            <w:r>
              <w:rPr>
                <w:rFonts w:ascii="Arial" w:cs="Arial" w:eastAsia="Arial" w:hAnsi="Arial"/>
                <w:sz w:val="18"/>
                <w:szCs w:val="18"/>
                <w:color w:val="auto"/>
              </w:rPr>
              <w:t>- 0.0%</w:t>
            </w: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Structured finance securities</w:t>
            </w: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rPr>
              <w:t>15,776</w:t>
            </w:r>
          </w:p>
        </w:tc>
        <w:tc>
          <w:tcPr>
            <w:tcW w:w="1780" w:type="dxa"/>
            <w:vAlign w:val="bottom"/>
          </w:tcPr>
          <w:p>
            <w:pPr>
              <w:spacing w:after="0"/>
              <w:rPr>
                <w:sz w:val="20"/>
                <w:szCs w:val="20"/>
                <w:color w:val="auto"/>
              </w:rPr>
            </w:pPr>
            <w:r>
              <w:rPr>
                <w:rFonts w:ascii="Arial" w:cs="Arial" w:eastAsia="Arial" w:hAnsi="Arial"/>
                <w:sz w:val="18"/>
                <w:szCs w:val="18"/>
                <w:color w:val="auto"/>
                <w:w w:val="93"/>
              </w:rPr>
              <w:t>Discounted Cash Flows</w:t>
            </w:r>
          </w:p>
        </w:tc>
        <w:tc>
          <w:tcPr>
            <w:tcW w:w="2340" w:type="dxa"/>
            <w:vAlign w:val="bottom"/>
            <w:gridSpan w:val="3"/>
          </w:tcPr>
          <w:p>
            <w:pPr>
              <w:ind w:left="300"/>
              <w:spacing w:after="0"/>
              <w:rPr>
                <w:sz w:val="20"/>
                <w:szCs w:val="20"/>
                <w:color w:val="auto"/>
              </w:rPr>
            </w:pPr>
            <w:r>
              <w:rPr>
                <w:rFonts w:ascii="Arial" w:cs="Arial" w:eastAsia="Arial" w:hAnsi="Arial"/>
                <w:sz w:val="18"/>
                <w:szCs w:val="18"/>
                <w:color w:val="auto"/>
              </w:rPr>
              <w:t>Discount Rate (%)</w:t>
            </w:r>
          </w:p>
        </w:tc>
        <w:tc>
          <w:tcPr>
            <w:tcW w:w="1220" w:type="dxa"/>
            <w:vAlign w:val="bottom"/>
            <w:gridSpan w:val="2"/>
          </w:tcPr>
          <w:p>
            <w:pPr>
              <w:jc w:val="right"/>
              <w:ind w:right="290"/>
              <w:spacing w:after="0"/>
              <w:rPr>
                <w:sz w:val="20"/>
                <w:szCs w:val="20"/>
                <w:color w:val="auto"/>
              </w:rPr>
            </w:pPr>
            <w:r>
              <w:rPr>
                <w:rFonts w:ascii="Arial" w:cs="Arial" w:eastAsia="Arial" w:hAnsi="Arial"/>
                <w:sz w:val="18"/>
                <w:szCs w:val="18"/>
                <w:color w:val="auto"/>
              </w:rPr>
              <w:t>13.0%</w:t>
            </w: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Equity interests</w:t>
            </w: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21,524</w:t>
            </w:r>
          </w:p>
        </w:tc>
        <w:tc>
          <w:tcPr>
            <w:tcW w:w="1780" w:type="dxa"/>
            <w:vAlign w:val="bottom"/>
            <w:shd w:val="clear" w:color="auto" w:fill="CCEEFF"/>
          </w:tcPr>
          <w:p>
            <w:pPr>
              <w:spacing w:after="0"/>
              <w:rPr>
                <w:sz w:val="20"/>
                <w:szCs w:val="20"/>
                <w:color w:val="auto"/>
              </w:rPr>
            </w:pPr>
            <w:r>
              <w:rPr>
                <w:rFonts w:ascii="Arial" w:cs="Arial" w:eastAsia="Arial" w:hAnsi="Arial"/>
                <w:sz w:val="18"/>
                <w:szCs w:val="18"/>
                <w:color w:val="auto"/>
              </w:rPr>
              <w:t>Market Comparables</w:t>
            </w:r>
          </w:p>
        </w:tc>
        <w:tc>
          <w:tcPr>
            <w:tcW w:w="234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EBITDA Multiples (x)</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5.0x</w:t>
            </w:r>
          </w:p>
        </w:tc>
        <w:tc>
          <w:tcPr>
            <w:tcW w:w="680" w:type="dxa"/>
            <w:vAlign w:val="bottom"/>
            <w:shd w:val="clear" w:color="auto" w:fill="CCEEFF"/>
          </w:tcPr>
          <w:p>
            <w:pPr>
              <w:spacing w:after="0"/>
              <w:rPr>
                <w:sz w:val="20"/>
                <w:szCs w:val="20"/>
                <w:color w:val="auto"/>
              </w:rPr>
            </w:pPr>
            <w:r>
              <w:rPr>
                <w:rFonts w:ascii="Arial" w:cs="Arial" w:eastAsia="Arial" w:hAnsi="Arial"/>
                <w:sz w:val="18"/>
                <w:szCs w:val="18"/>
                <w:color w:val="auto"/>
              </w:rPr>
              <w:t>- 12.8x</w:t>
            </w:r>
          </w:p>
        </w:tc>
      </w:tr>
    </w:tbl>
    <w:p>
      <w:pPr>
        <w:spacing w:after="0" w:line="202"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The valuation techniques and significant unobservable inputs used in recurring Level 3 fair value measurements of assets as of February 28, 2015 were as follows (dollars in thousands):</w:t>
      </w:r>
    </w:p>
    <w:p>
      <w:pPr>
        <w:spacing w:after="0" w:line="189"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3880" w:type="dxa"/>
            <w:vAlign w:val="bottom"/>
          </w:tcPr>
          <w:p>
            <w:pPr>
              <w:spacing w:after="0"/>
              <w:rPr>
                <w:sz w:val="14"/>
                <w:szCs w:val="14"/>
                <w:color w:val="auto"/>
              </w:rPr>
            </w:pPr>
          </w:p>
        </w:tc>
        <w:tc>
          <w:tcPr>
            <w:tcW w:w="118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95"/>
              </w:rPr>
              <w:t>Fair Value</w:t>
            </w:r>
          </w:p>
        </w:tc>
        <w:tc>
          <w:tcPr>
            <w:tcW w:w="2100" w:type="dxa"/>
            <w:vAlign w:val="bottom"/>
            <w:gridSpan w:val="2"/>
          </w:tcPr>
          <w:p>
            <w:pPr>
              <w:ind w:left="220"/>
              <w:spacing w:after="0"/>
              <w:rPr>
                <w:sz w:val="20"/>
                <w:szCs w:val="20"/>
                <w:color w:val="auto"/>
              </w:rPr>
            </w:pPr>
            <w:r>
              <w:rPr>
                <w:rFonts w:ascii="Arial" w:cs="Arial" w:eastAsia="Arial" w:hAnsi="Arial"/>
                <w:sz w:val="14"/>
                <w:szCs w:val="14"/>
                <w:b w:val="1"/>
                <w:bCs w:val="1"/>
                <w:color w:val="auto"/>
              </w:rPr>
              <w:t>Valuation Technique</w:t>
            </w:r>
          </w:p>
        </w:tc>
        <w:tc>
          <w:tcPr>
            <w:tcW w:w="2120" w:type="dxa"/>
            <w:vAlign w:val="bottom"/>
            <w:gridSpan w:val="2"/>
          </w:tcPr>
          <w:p>
            <w:pPr>
              <w:ind w:left="240"/>
              <w:spacing w:after="0"/>
              <w:rPr>
                <w:sz w:val="20"/>
                <w:szCs w:val="20"/>
                <w:color w:val="auto"/>
              </w:rPr>
            </w:pPr>
            <w:r>
              <w:rPr>
                <w:rFonts w:ascii="Arial" w:cs="Arial" w:eastAsia="Arial" w:hAnsi="Arial"/>
                <w:sz w:val="14"/>
                <w:szCs w:val="14"/>
                <w:b w:val="1"/>
                <w:bCs w:val="1"/>
                <w:color w:val="auto"/>
              </w:rPr>
              <w:t>Unobservable Input</w:t>
            </w:r>
          </w:p>
        </w:tc>
        <w:tc>
          <w:tcPr>
            <w:tcW w:w="1220" w:type="dxa"/>
            <w:vAlign w:val="bottom"/>
            <w:gridSpan w:val="2"/>
          </w:tcPr>
          <w:p>
            <w:pPr>
              <w:ind w:left="420"/>
              <w:spacing w:after="0"/>
              <w:rPr>
                <w:sz w:val="20"/>
                <w:szCs w:val="20"/>
                <w:color w:val="auto"/>
              </w:rPr>
            </w:pPr>
            <w:r>
              <w:rPr>
                <w:rFonts w:ascii="Arial" w:cs="Arial" w:eastAsia="Arial" w:hAnsi="Arial"/>
                <w:sz w:val="14"/>
                <w:szCs w:val="14"/>
                <w:b w:val="1"/>
                <w:bCs w:val="1"/>
                <w:color w:val="auto"/>
              </w:rPr>
              <w:t>Range</w:t>
            </w:r>
          </w:p>
        </w:tc>
      </w:tr>
      <w:tr>
        <w:trPr>
          <w:trHeight w:val="210"/>
        </w:trPr>
        <w:tc>
          <w:tcPr>
            <w:tcW w:w="38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Syndicated loans</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18,302</w:t>
            </w:r>
          </w:p>
        </w:tc>
        <w:tc>
          <w:tcPr>
            <w:tcW w:w="52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Market Comparables</w:t>
            </w:r>
          </w:p>
        </w:tc>
        <w:tc>
          <w:tcPr>
            <w:tcW w:w="42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Third-Party Bid</w:t>
            </w:r>
          </w:p>
        </w:tc>
        <w:tc>
          <w:tcPr>
            <w:tcW w:w="42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93.6%</w:t>
            </w:r>
          </w:p>
        </w:tc>
        <w:tc>
          <w:tcPr>
            <w:tcW w:w="7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1"/>
              </w:rPr>
              <w:t>- 100.4%</w:t>
            </w:r>
          </w:p>
        </w:tc>
      </w:tr>
      <w:tr>
        <w:trPr>
          <w:trHeight w:val="216"/>
        </w:trPr>
        <w:tc>
          <w:tcPr>
            <w:tcW w:w="3880" w:type="dxa"/>
            <w:vAlign w:val="bottom"/>
          </w:tcPr>
          <w:p>
            <w:pPr>
              <w:spacing w:after="0"/>
              <w:rPr>
                <w:sz w:val="20"/>
                <w:szCs w:val="20"/>
                <w:color w:val="auto"/>
              </w:rPr>
            </w:pPr>
            <w:r>
              <w:rPr>
                <w:rFonts w:ascii="Arial" w:cs="Arial" w:eastAsia="Arial" w:hAnsi="Arial"/>
                <w:sz w:val="18"/>
                <w:szCs w:val="18"/>
                <w:color w:val="auto"/>
              </w:rPr>
              <w:t>First lien term loans</w:t>
            </w:r>
          </w:p>
        </w:tc>
        <w:tc>
          <w:tcPr>
            <w:tcW w:w="1180" w:type="dxa"/>
            <w:vAlign w:val="bottom"/>
            <w:gridSpan w:val="2"/>
          </w:tcPr>
          <w:p>
            <w:pPr>
              <w:jc w:val="right"/>
              <w:ind w:right="520"/>
              <w:spacing w:after="0"/>
              <w:rPr>
                <w:sz w:val="20"/>
                <w:szCs w:val="20"/>
                <w:color w:val="auto"/>
              </w:rPr>
            </w:pPr>
            <w:r>
              <w:rPr>
                <w:rFonts w:ascii="Arial" w:cs="Arial" w:eastAsia="Arial" w:hAnsi="Arial"/>
                <w:sz w:val="18"/>
                <w:szCs w:val="18"/>
                <w:color w:val="auto"/>
                <w:w w:val="98"/>
              </w:rPr>
              <w:t>145,207</w:t>
            </w:r>
          </w:p>
        </w:tc>
        <w:tc>
          <w:tcPr>
            <w:tcW w:w="2100" w:type="dxa"/>
            <w:vAlign w:val="bottom"/>
            <w:gridSpan w:val="2"/>
          </w:tcPr>
          <w:p>
            <w:pPr>
              <w:spacing w:after="0"/>
              <w:rPr>
                <w:sz w:val="20"/>
                <w:szCs w:val="20"/>
                <w:color w:val="auto"/>
              </w:rPr>
            </w:pPr>
            <w:r>
              <w:rPr>
                <w:rFonts w:ascii="Arial" w:cs="Arial" w:eastAsia="Arial" w:hAnsi="Arial"/>
                <w:sz w:val="18"/>
                <w:szCs w:val="18"/>
                <w:color w:val="auto"/>
              </w:rPr>
              <w:t>Market Comparables</w:t>
            </w:r>
          </w:p>
        </w:tc>
        <w:tc>
          <w:tcPr>
            <w:tcW w:w="2120" w:type="dxa"/>
            <w:vAlign w:val="bottom"/>
            <w:gridSpan w:val="2"/>
          </w:tcPr>
          <w:p>
            <w:pPr>
              <w:spacing w:after="0"/>
              <w:rPr>
                <w:sz w:val="20"/>
                <w:szCs w:val="20"/>
                <w:color w:val="auto"/>
              </w:rPr>
            </w:pPr>
            <w:r>
              <w:rPr>
                <w:rFonts w:ascii="Arial" w:cs="Arial" w:eastAsia="Arial" w:hAnsi="Arial"/>
                <w:sz w:val="18"/>
                <w:szCs w:val="18"/>
                <w:color w:val="auto"/>
              </w:rPr>
              <w:t>Market Yield (%)</w:t>
            </w:r>
          </w:p>
        </w:tc>
        <w:tc>
          <w:tcPr>
            <w:tcW w:w="520" w:type="dxa"/>
            <w:vAlign w:val="bottom"/>
          </w:tcPr>
          <w:p>
            <w:pPr>
              <w:jc w:val="right"/>
              <w:spacing w:after="0"/>
              <w:rPr>
                <w:sz w:val="20"/>
                <w:szCs w:val="20"/>
                <w:color w:val="auto"/>
              </w:rPr>
            </w:pPr>
            <w:r>
              <w:rPr>
                <w:rFonts w:ascii="Arial" w:cs="Arial" w:eastAsia="Arial" w:hAnsi="Arial"/>
                <w:sz w:val="18"/>
                <w:szCs w:val="18"/>
                <w:color w:val="auto"/>
              </w:rPr>
              <w:t>5.8%</w:t>
            </w:r>
          </w:p>
        </w:tc>
        <w:tc>
          <w:tcPr>
            <w:tcW w:w="700" w:type="dxa"/>
            <w:vAlign w:val="bottom"/>
          </w:tcPr>
          <w:p>
            <w:pPr>
              <w:ind w:left="20"/>
              <w:spacing w:after="0"/>
              <w:rPr>
                <w:sz w:val="20"/>
                <w:szCs w:val="20"/>
                <w:color w:val="auto"/>
              </w:rPr>
            </w:pPr>
            <w:r>
              <w:rPr>
                <w:rFonts w:ascii="Arial" w:cs="Arial" w:eastAsia="Arial" w:hAnsi="Arial"/>
                <w:sz w:val="18"/>
                <w:szCs w:val="18"/>
                <w:color w:val="auto"/>
              </w:rPr>
              <w:t>- 17.7%</w:t>
            </w:r>
          </w:p>
        </w:tc>
      </w:tr>
      <w:tr>
        <w:trPr>
          <w:trHeight w:val="216"/>
        </w:trPr>
        <w:tc>
          <w:tcPr>
            <w:tcW w:w="38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EBITDA Multiples (x)</w:t>
            </w:r>
          </w:p>
        </w:tc>
        <w:tc>
          <w:tcPr>
            <w:tcW w:w="12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3"/>
              </w:rPr>
              <w:t>3.0x</w:t>
            </w:r>
          </w:p>
        </w:tc>
      </w:tr>
      <w:tr>
        <w:trPr>
          <w:trHeight w:val="216"/>
        </w:trPr>
        <w:tc>
          <w:tcPr>
            <w:tcW w:w="38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120" w:type="dxa"/>
            <w:vAlign w:val="bottom"/>
            <w:gridSpan w:val="2"/>
          </w:tcPr>
          <w:p>
            <w:pPr>
              <w:spacing w:after="0"/>
              <w:rPr>
                <w:sz w:val="20"/>
                <w:szCs w:val="20"/>
                <w:color w:val="auto"/>
              </w:rPr>
            </w:pPr>
            <w:r>
              <w:rPr>
                <w:rFonts w:ascii="Arial" w:cs="Arial" w:eastAsia="Arial" w:hAnsi="Arial"/>
                <w:sz w:val="18"/>
                <w:szCs w:val="18"/>
                <w:color w:val="auto"/>
              </w:rPr>
              <w:t>Third-Party Bid</w:t>
            </w:r>
          </w:p>
        </w:tc>
        <w:tc>
          <w:tcPr>
            <w:tcW w:w="520" w:type="dxa"/>
            <w:vAlign w:val="bottom"/>
          </w:tcPr>
          <w:p>
            <w:pPr>
              <w:jc w:val="right"/>
              <w:spacing w:after="0"/>
              <w:rPr>
                <w:sz w:val="20"/>
                <w:szCs w:val="20"/>
                <w:color w:val="auto"/>
              </w:rPr>
            </w:pPr>
            <w:r>
              <w:rPr>
                <w:rFonts w:ascii="Arial" w:cs="Arial" w:eastAsia="Arial" w:hAnsi="Arial"/>
                <w:sz w:val="18"/>
                <w:szCs w:val="18"/>
                <w:color w:val="auto"/>
              </w:rPr>
              <w:t>79.3</w:t>
            </w:r>
          </w:p>
        </w:tc>
        <w:tc>
          <w:tcPr>
            <w:tcW w:w="700" w:type="dxa"/>
            <w:vAlign w:val="bottom"/>
          </w:tcPr>
          <w:p>
            <w:pPr>
              <w:ind w:left="20"/>
              <w:spacing w:after="0"/>
              <w:rPr>
                <w:sz w:val="20"/>
                <w:szCs w:val="20"/>
                <w:color w:val="auto"/>
              </w:rPr>
            </w:pPr>
            <w:r>
              <w:rPr>
                <w:rFonts w:ascii="Arial" w:cs="Arial" w:eastAsia="Arial" w:hAnsi="Arial"/>
                <w:sz w:val="18"/>
                <w:szCs w:val="18"/>
                <w:color w:val="auto"/>
              </w:rPr>
              <w:t>- 105.0</w:t>
            </w:r>
          </w:p>
        </w:tc>
      </w:tr>
      <w:tr>
        <w:trPr>
          <w:trHeight w:val="216"/>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Second lien term loans</w:t>
            </w:r>
          </w:p>
        </w:tc>
        <w:tc>
          <w:tcPr>
            <w:tcW w:w="11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35,603</w:t>
            </w:r>
          </w:p>
        </w:tc>
        <w:tc>
          <w:tcPr>
            <w:tcW w:w="2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Market Comparables</w:t>
            </w:r>
          </w:p>
        </w:tc>
        <w:tc>
          <w:tcPr>
            <w:tcW w:w="2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Market Yield (%)</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- 15.0%</w:t>
            </w:r>
          </w:p>
        </w:tc>
      </w:tr>
      <w:tr>
        <w:trPr>
          <w:trHeight w:val="216"/>
        </w:trPr>
        <w:tc>
          <w:tcPr>
            <w:tcW w:w="38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120" w:type="dxa"/>
            <w:vAlign w:val="bottom"/>
            <w:gridSpan w:val="2"/>
          </w:tcPr>
          <w:p>
            <w:pPr>
              <w:spacing w:after="0"/>
              <w:rPr>
                <w:sz w:val="20"/>
                <w:szCs w:val="20"/>
                <w:color w:val="auto"/>
              </w:rPr>
            </w:pPr>
            <w:r>
              <w:rPr>
                <w:rFonts w:ascii="Arial" w:cs="Arial" w:eastAsia="Arial" w:hAnsi="Arial"/>
                <w:sz w:val="18"/>
                <w:szCs w:val="18"/>
                <w:color w:val="auto"/>
              </w:rPr>
              <w:t>Third-Party Bid</w:t>
            </w:r>
          </w:p>
        </w:tc>
        <w:tc>
          <w:tcPr>
            <w:tcW w:w="1220" w:type="dxa"/>
            <w:vAlign w:val="bottom"/>
            <w:gridSpan w:val="2"/>
          </w:tcPr>
          <w:p>
            <w:pPr>
              <w:jc w:val="center"/>
              <w:spacing w:after="0"/>
              <w:rPr>
                <w:sz w:val="20"/>
                <w:szCs w:val="20"/>
                <w:color w:val="auto"/>
              </w:rPr>
            </w:pPr>
            <w:r>
              <w:rPr>
                <w:rFonts w:ascii="Arial" w:cs="Arial" w:eastAsia="Arial" w:hAnsi="Arial"/>
                <w:sz w:val="18"/>
                <w:szCs w:val="18"/>
                <w:color w:val="auto"/>
                <w:w w:val="91"/>
              </w:rPr>
              <w:t>98.3% - 98.3%</w:t>
            </w:r>
          </w:p>
        </w:tc>
      </w:tr>
      <w:tr>
        <w:trPr>
          <w:trHeight w:val="216"/>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Unsecured notes</w:t>
            </w:r>
          </w:p>
        </w:tc>
        <w:tc>
          <w:tcPr>
            <w:tcW w:w="11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4,230</w:t>
            </w:r>
          </w:p>
        </w:tc>
        <w:tc>
          <w:tcPr>
            <w:tcW w:w="2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Market Comparables</w:t>
            </w:r>
          </w:p>
        </w:tc>
        <w:tc>
          <w:tcPr>
            <w:tcW w:w="2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Market Yield (%)</w:t>
            </w:r>
          </w:p>
        </w:tc>
        <w:tc>
          <w:tcPr>
            <w:tcW w:w="12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1"/>
              </w:rPr>
              <w:t>13.2% - 20.3%</w:t>
            </w:r>
          </w:p>
        </w:tc>
      </w:tr>
      <w:tr>
        <w:trPr>
          <w:trHeight w:val="216"/>
        </w:trPr>
        <w:tc>
          <w:tcPr>
            <w:tcW w:w="3880" w:type="dxa"/>
            <w:vAlign w:val="bottom"/>
          </w:tcPr>
          <w:p>
            <w:pPr>
              <w:spacing w:after="0"/>
              <w:rPr>
                <w:sz w:val="20"/>
                <w:szCs w:val="20"/>
                <w:color w:val="auto"/>
              </w:rPr>
            </w:pPr>
            <w:r>
              <w:rPr>
                <w:rFonts w:ascii="Arial" w:cs="Arial" w:eastAsia="Arial" w:hAnsi="Arial"/>
                <w:sz w:val="18"/>
                <w:szCs w:val="18"/>
                <w:color w:val="auto"/>
              </w:rPr>
              <w:t>Structured finance securities</w:t>
            </w:r>
          </w:p>
        </w:tc>
        <w:tc>
          <w:tcPr>
            <w:tcW w:w="1180" w:type="dxa"/>
            <w:vAlign w:val="bottom"/>
            <w:gridSpan w:val="2"/>
          </w:tcPr>
          <w:p>
            <w:pPr>
              <w:jc w:val="right"/>
              <w:ind w:right="520"/>
              <w:spacing w:after="0"/>
              <w:rPr>
                <w:sz w:val="20"/>
                <w:szCs w:val="20"/>
                <w:color w:val="auto"/>
              </w:rPr>
            </w:pPr>
            <w:r>
              <w:rPr>
                <w:rFonts w:ascii="Arial" w:cs="Arial" w:eastAsia="Arial" w:hAnsi="Arial"/>
                <w:sz w:val="18"/>
                <w:szCs w:val="18"/>
                <w:color w:val="auto"/>
              </w:rPr>
              <w:t>17,031</w:t>
            </w:r>
          </w:p>
        </w:tc>
        <w:tc>
          <w:tcPr>
            <w:tcW w:w="2100" w:type="dxa"/>
            <w:vAlign w:val="bottom"/>
            <w:gridSpan w:val="2"/>
          </w:tcPr>
          <w:p>
            <w:pPr>
              <w:spacing w:after="0"/>
              <w:rPr>
                <w:sz w:val="20"/>
                <w:szCs w:val="20"/>
                <w:color w:val="auto"/>
              </w:rPr>
            </w:pPr>
            <w:r>
              <w:rPr>
                <w:rFonts w:ascii="Arial" w:cs="Arial" w:eastAsia="Arial" w:hAnsi="Arial"/>
                <w:sz w:val="18"/>
                <w:szCs w:val="18"/>
                <w:color w:val="auto"/>
              </w:rPr>
              <w:t>Discounted Cash Flow</w:t>
            </w:r>
          </w:p>
        </w:tc>
        <w:tc>
          <w:tcPr>
            <w:tcW w:w="2120" w:type="dxa"/>
            <w:vAlign w:val="bottom"/>
            <w:gridSpan w:val="2"/>
          </w:tcPr>
          <w:p>
            <w:pPr>
              <w:spacing w:after="0"/>
              <w:rPr>
                <w:sz w:val="20"/>
                <w:szCs w:val="20"/>
                <w:color w:val="auto"/>
              </w:rPr>
            </w:pPr>
            <w:r>
              <w:rPr>
                <w:rFonts w:ascii="Arial" w:cs="Arial" w:eastAsia="Arial" w:hAnsi="Arial"/>
                <w:sz w:val="18"/>
                <w:szCs w:val="18"/>
                <w:color w:val="auto"/>
              </w:rPr>
              <w:t>Discount Rate (%)</w:t>
            </w:r>
          </w:p>
        </w:tc>
        <w:tc>
          <w:tcPr>
            <w:tcW w:w="1220" w:type="dxa"/>
            <w:vAlign w:val="bottom"/>
            <w:gridSpan w:val="2"/>
          </w:tcPr>
          <w:p>
            <w:pPr>
              <w:jc w:val="center"/>
              <w:spacing w:after="0"/>
              <w:rPr>
                <w:sz w:val="20"/>
                <w:szCs w:val="20"/>
                <w:color w:val="auto"/>
              </w:rPr>
            </w:pPr>
            <w:r>
              <w:rPr>
                <w:rFonts w:ascii="Arial" w:cs="Arial" w:eastAsia="Arial" w:hAnsi="Arial"/>
                <w:sz w:val="18"/>
                <w:szCs w:val="18"/>
                <w:color w:val="auto"/>
                <w:w w:val="90"/>
              </w:rPr>
              <w:t>12.0%</w:t>
            </w:r>
          </w:p>
        </w:tc>
      </w:tr>
      <w:tr>
        <w:trPr>
          <w:trHeight w:val="216"/>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Equity interests</w:t>
            </w:r>
          </w:p>
        </w:tc>
        <w:tc>
          <w:tcPr>
            <w:tcW w:w="11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20,165</w:t>
            </w:r>
          </w:p>
        </w:tc>
        <w:tc>
          <w:tcPr>
            <w:tcW w:w="2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Market Comparables</w:t>
            </w:r>
          </w:p>
        </w:tc>
        <w:tc>
          <w:tcPr>
            <w:tcW w:w="2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EBITDA Multiples (x)</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5.0x</w:t>
            </w:r>
          </w:p>
        </w:tc>
        <w:tc>
          <w:tcPr>
            <w:tcW w:w="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- 12.1x</w:t>
            </w:r>
          </w:p>
        </w:tc>
      </w:tr>
      <w:tr>
        <w:trPr>
          <w:trHeight w:val="365"/>
        </w:trPr>
        <w:tc>
          <w:tcPr>
            <w:tcW w:w="38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80" w:type="dxa"/>
            <w:vAlign w:val="bottom"/>
          </w:tcPr>
          <w:p>
            <w:pPr>
              <w:ind w:left="100"/>
              <w:spacing w:after="0"/>
              <w:rPr>
                <w:sz w:val="20"/>
                <w:szCs w:val="20"/>
                <w:color w:val="auto"/>
              </w:rPr>
            </w:pPr>
            <w:r>
              <w:rPr>
                <w:rFonts w:ascii="Arial" w:cs="Arial" w:eastAsia="Arial" w:hAnsi="Arial"/>
                <w:sz w:val="18"/>
                <w:szCs w:val="18"/>
                <w:color w:val="auto"/>
              </w:rPr>
              <w:t>20</w:t>
            </w:r>
          </w:p>
        </w:tc>
        <w:tc>
          <w:tcPr>
            <w:tcW w:w="4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456"/>
        <w:spacing w:after="0" w:line="279" w:lineRule="auto"/>
        <w:rPr>
          <w:sz w:val="20"/>
          <w:szCs w:val="20"/>
          <w:color w:val="auto"/>
        </w:rPr>
      </w:pPr>
      <w:r>
        <w:rPr>
          <w:rFonts w:ascii="Arial" w:cs="Arial" w:eastAsia="Arial" w:hAnsi="Arial"/>
          <w:sz w:val="17"/>
          <w:szCs w:val="17"/>
          <w:color w:val="auto"/>
        </w:rPr>
        <w:t>For investments utilizing a market comparables valuation technique, a significant increase (decrease) in the market yield, in isolation, would result in a significantly lower (higher) fair value measurement, and a significant increase (decrease) in any of the EBITDA valuation multiples, in isolation, would result in a significantly higher (lower) fair value measurement. For investments utilizing a discounted cash flow valuation technique, a significant increase (decrease) in the discount rate, in isolation, would result in a significantly lower (higher) fair value measurement.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composition of our investments as of November 30, 2015, at amortized cost and fair value were as follows (dollars in thousands):</w:t>
      </w:r>
    </w:p>
    <w:p>
      <w:pPr>
        <w:spacing w:after="0" w:line="23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172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Investments at</w:t>
            </w:r>
          </w:p>
        </w:tc>
        <w:tc>
          <w:tcPr>
            <w:tcW w:w="148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4"/>
              </w:rPr>
              <w:t>Amortized Cost</w:t>
            </w:r>
          </w:p>
        </w:tc>
        <w:tc>
          <w:tcPr>
            <w:tcW w:w="360" w:type="dxa"/>
            <w:vAlign w:val="bottom"/>
          </w:tcPr>
          <w:p>
            <w:pPr>
              <w:spacing w:after="0"/>
              <w:rPr>
                <w:sz w:val="14"/>
                <w:szCs w:val="14"/>
                <w:color w:val="auto"/>
              </w:rPr>
            </w:pPr>
          </w:p>
        </w:tc>
        <w:tc>
          <w:tcPr>
            <w:tcW w:w="16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Investments at</w:t>
            </w:r>
          </w:p>
        </w:tc>
        <w:tc>
          <w:tcPr>
            <w:tcW w:w="11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60" w:type="dxa"/>
            <w:vAlign w:val="bottom"/>
          </w:tcPr>
          <w:p>
            <w:pPr>
              <w:spacing w:after="0"/>
              <w:rPr>
                <w:sz w:val="12"/>
                <w:szCs w:val="12"/>
                <w:color w:val="auto"/>
              </w:rPr>
            </w:pPr>
          </w:p>
        </w:tc>
        <w:tc>
          <w:tcPr>
            <w:tcW w:w="1720" w:type="dxa"/>
            <w:vAlign w:val="bottom"/>
            <w:gridSpan w:val="3"/>
            <w:vMerge w:val="continue"/>
          </w:tcPr>
          <w:p>
            <w:pPr>
              <w:spacing w:after="0"/>
              <w:rPr>
                <w:sz w:val="12"/>
                <w:szCs w:val="12"/>
                <w:color w:val="auto"/>
              </w:rPr>
            </w:pPr>
          </w:p>
        </w:tc>
        <w:tc>
          <w:tcPr>
            <w:tcW w:w="148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0"/>
              </w:rPr>
              <w:t>Percentage of</w:t>
            </w:r>
          </w:p>
        </w:tc>
        <w:tc>
          <w:tcPr>
            <w:tcW w:w="360" w:type="dxa"/>
            <w:vAlign w:val="bottom"/>
          </w:tcPr>
          <w:p>
            <w:pPr>
              <w:spacing w:after="0"/>
              <w:rPr>
                <w:sz w:val="12"/>
                <w:szCs w:val="12"/>
                <w:color w:val="auto"/>
              </w:rPr>
            </w:pPr>
          </w:p>
        </w:tc>
        <w:tc>
          <w:tcPr>
            <w:tcW w:w="1660" w:type="dxa"/>
            <w:vAlign w:val="bottom"/>
            <w:gridSpan w:val="3"/>
            <w:vMerge w:val="continue"/>
          </w:tcPr>
          <w:p>
            <w:pPr>
              <w:spacing w:after="0"/>
              <w:rPr>
                <w:sz w:val="12"/>
                <w:szCs w:val="12"/>
                <w:color w:val="auto"/>
              </w:rPr>
            </w:pPr>
          </w:p>
        </w:tc>
        <w:tc>
          <w:tcPr>
            <w:tcW w:w="11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Percentage of</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160" w:type="dxa"/>
            <w:vAlign w:val="bottom"/>
            <w:tcBorders>
              <w:bottom w:val="single" w:sz="8" w:color="CCEEFF"/>
            </w:tcBorders>
          </w:tcPr>
          <w:p>
            <w:pPr>
              <w:spacing w:after="0"/>
              <w:rPr>
                <w:sz w:val="14"/>
                <w:szCs w:val="14"/>
                <w:color w:val="auto"/>
              </w:rPr>
            </w:pPr>
          </w:p>
        </w:tc>
        <w:tc>
          <w:tcPr>
            <w:tcW w:w="9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2"/>
              </w:rPr>
              <w:t>Amortized Cost</w:t>
            </w:r>
          </w:p>
        </w:tc>
        <w:tc>
          <w:tcPr>
            <w:tcW w:w="740" w:type="dxa"/>
            <w:vAlign w:val="bottom"/>
            <w:tcBorders>
              <w:bottom w:val="single" w:sz="8" w:color="CCEEFF"/>
            </w:tcBorders>
          </w:tcPr>
          <w:p>
            <w:pPr>
              <w:spacing w:after="0"/>
              <w:rPr>
                <w:sz w:val="14"/>
                <w:szCs w:val="14"/>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Total Portfolio</w:t>
            </w:r>
          </w:p>
        </w:tc>
        <w:tc>
          <w:tcPr>
            <w:tcW w:w="500" w:type="dxa"/>
            <w:vAlign w:val="bottom"/>
            <w:tcBorders>
              <w:bottom w:val="single" w:sz="8" w:color="CCEEFF"/>
            </w:tcBorders>
          </w:tcPr>
          <w:p>
            <w:pPr>
              <w:spacing w:after="0"/>
              <w:rPr>
                <w:sz w:val="14"/>
                <w:szCs w:val="14"/>
                <w:color w:val="auto"/>
              </w:rPr>
            </w:pPr>
          </w:p>
        </w:tc>
        <w:tc>
          <w:tcPr>
            <w:tcW w:w="3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w w:val="95"/>
              </w:rPr>
              <w:t>Fair Value</w:t>
            </w:r>
          </w:p>
        </w:tc>
        <w:tc>
          <w:tcPr>
            <w:tcW w:w="760" w:type="dxa"/>
            <w:vAlign w:val="bottom"/>
            <w:tcBorders>
              <w:bottom w:val="single" w:sz="8" w:color="CCEEFF"/>
            </w:tcBorders>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Total Portfolio</w:t>
            </w:r>
          </w:p>
        </w:tc>
        <w:tc>
          <w:tcPr>
            <w:tcW w:w="2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Syndicated loans</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16,337</w:t>
            </w:r>
          </w:p>
        </w:tc>
        <w:tc>
          <w:tcPr>
            <w:tcW w:w="7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6.8%</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14,538</w:t>
            </w:r>
          </w:p>
        </w:tc>
        <w:tc>
          <w:tcPr>
            <w:tcW w:w="7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First lien term loans</w:t>
            </w:r>
          </w:p>
        </w:tc>
        <w:tc>
          <w:tcPr>
            <w:tcW w:w="240" w:type="dxa"/>
            <w:vAlign w:val="bottom"/>
          </w:tcPr>
          <w:p>
            <w:pPr>
              <w:spacing w:after="0"/>
              <w:rPr>
                <w:sz w:val="18"/>
                <w:szCs w:val="18"/>
                <w:color w:val="auto"/>
              </w:rPr>
            </w:pPr>
          </w:p>
        </w:tc>
        <w:tc>
          <w:tcPr>
            <w:tcW w:w="1480" w:type="dxa"/>
            <w:vAlign w:val="bottom"/>
            <w:gridSpan w:val="2"/>
          </w:tcPr>
          <w:p>
            <w:pPr>
              <w:jc w:val="right"/>
              <w:ind w:right="740"/>
              <w:spacing w:after="0"/>
              <w:rPr>
                <w:sz w:val="20"/>
                <w:szCs w:val="20"/>
                <w:color w:val="auto"/>
              </w:rPr>
            </w:pPr>
            <w:r>
              <w:rPr>
                <w:rFonts w:ascii="Arial" w:cs="Arial" w:eastAsia="Arial" w:hAnsi="Arial"/>
                <w:sz w:val="18"/>
                <w:szCs w:val="18"/>
                <w:color w:val="auto"/>
              </w:rPr>
              <w:t>146,661</w:t>
            </w:r>
          </w:p>
        </w:tc>
        <w:tc>
          <w:tcPr>
            <w:tcW w:w="1480" w:type="dxa"/>
            <w:vAlign w:val="bottom"/>
            <w:gridSpan w:val="2"/>
          </w:tcPr>
          <w:p>
            <w:pPr>
              <w:jc w:val="right"/>
              <w:ind w:right="500"/>
              <w:spacing w:after="0"/>
              <w:rPr>
                <w:sz w:val="20"/>
                <w:szCs w:val="20"/>
                <w:color w:val="auto"/>
              </w:rPr>
            </w:pPr>
            <w:r>
              <w:rPr>
                <w:rFonts w:ascii="Arial" w:cs="Arial" w:eastAsia="Arial" w:hAnsi="Arial"/>
                <w:sz w:val="18"/>
                <w:szCs w:val="18"/>
                <w:color w:val="auto"/>
              </w:rPr>
              <w:t>61.4</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2"/>
          </w:tcPr>
          <w:p>
            <w:pPr>
              <w:jc w:val="right"/>
              <w:ind w:right="760"/>
              <w:spacing w:after="0"/>
              <w:rPr>
                <w:sz w:val="20"/>
                <w:szCs w:val="20"/>
                <w:color w:val="auto"/>
              </w:rPr>
            </w:pPr>
            <w:r>
              <w:rPr>
                <w:rFonts w:ascii="Arial" w:cs="Arial" w:eastAsia="Arial" w:hAnsi="Arial"/>
                <w:sz w:val="18"/>
                <w:szCs w:val="18"/>
                <w:color w:val="auto"/>
              </w:rPr>
              <w:t>145,639</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60.4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Second lien term loans</w:t>
            </w:r>
          </w:p>
        </w:tc>
        <w:tc>
          <w:tcPr>
            <w:tcW w:w="2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43,773</w:t>
            </w:r>
          </w:p>
        </w:tc>
        <w:tc>
          <w:tcPr>
            <w:tcW w:w="14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18.4</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43,561</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Unsecured notes</w:t>
            </w:r>
          </w:p>
        </w:tc>
        <w:tc>
          <w:tcPr>
            <w:tcW w:w="240" w:type="dxa"/>
            <w:vAlign w:val="bottom"/>
          </w:tcPr>
          <w:p>
            <w:pPr>
              <w:spacing w:after="0"/>
              <w:rPr>
                <w:sz w:val="18"/>
                <w:szCs w:val="18"/>
                <w:color w:val="auto"/>
              </w:rPr>
            </w:pPr>
          </w:p>
        </w:tc>
        <w:tc>
          <w:tcPr>
            <w:tcW w:w="1480" w:type="dxa"/>
            <w:vAlign w:val="bottom"/>
            <w:gridSpan w:val="2"/>
          </w:tcPr>
          <w:p>
            <w:pPr>
              <w:jc w:val="right"/>
              <w:ind w:right="740"/>
              <w:spacing w:after="0"/>
              <w:rPr>
                <w:sz w:val="20"/>
                <w:szCs w:val="20"/>
                <w:color w:val="auto"/>
              </w:rPr>
            </w:pPr>
            <w:r>
              <w:rPr>
                <w:rFonts w:ascii="Arial" w:cs="Arial" w:eastAsia="Arial" w:hAnsi="Arial"/>
                <w:sz w:val="18"/>
                <w:szCs w:val="18"/>
                <w:color w:val="auto"/>
              </w:rPr>
              <w:t>2,480</w:t>
            </w:r>
          </w:p>
        </w:tc>
        <w:tc>
          <w:tcPr>
            <w:tcW w:w="1480" w:type="dxa"/>
            <w:vAlign w:val="bottom"/>
            <w:gridSpan w:val="2"/>
          </w:tcPr>
          <w:p>
            <w:pPr>
              <w:jc w:val="right"/>
              <w:ind w:right="500"/>
              <w:spacing w:after="0"/>
              <w:rPr>
                <w:sz w:val="20"/>
                <w:szCs w:val="20"/>
                <w:color w:val="auto"/>
              </w:rPr>
            </w:pPr>
            <w:r>
              <w:rPr>
                <w:rFonts w:ascii="Arial" w:cs="Arial" w:eastAsia="Arial" w:hAnsi="Arial"/>
                <w:sz w:val="18"/>
                <w:szCs w:val="18"/>
                <w:color w:val="auto"/>
              </w:rPr>
              <w:t>1.1</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Structured finance securities</w:t>
            </w:r>
          </w:p>
        </w:tc>
        <w:tc>
          <w:tcPr>
            <w:tcW w:w="2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13,668</w:t>
            </w:r>
          </w:p>
        </w:tc>
        <w:tc>
          <w:tcPr>
            <w:tcW w:w="14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5.7</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15,776</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Equity interests</w:t>
            </w: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15,800</w:t>
            </w:r>
          </w:p>
        </w:tc>
        <w:tc>
          <w:tcPr>
            <w:tcW w:w="740" w:type="dxa"/>
            <w:vAlign w:val="bottom"/>
          </w:tcPr>
          <w:p>
            <w:pPr>
              <w:spacing w:after="0"/>
              <w:rPr>
                <w:sz w:val="18"/>
                <w:szCs w:val="18"/>
                <w:color w:val="auto"/>
              </w:rPr>
            </w:pPr>
          </w:p>
        </w:tc>
        <w:tc>
          <w:tcPr>
            <w:tcW w:w="1480" w:type="dxa"/>
            <w:vAlign w:val="bottom"/>
            <w:gridSpan w:val="2"/>
          </w:tcPr>
          <w:p>
            <w:pPr>
              <w:jc w:val="right"/>
              <w:ind w:right="500"/>
              <w:spacing w:after="0"/>
              <w:rPr>
                <w:sz w:val="20"/>
                <w:szCs w:val="20"/>
                <w:color w:val="auto"/>
              </w:rPr>
            </w:pPr>
            <w:r>
              <w:rPr>
                <w:rFonts w:ascii="Arial" w:cs="Arial" w:eastAsia="Arial" w:hAnsi="Arial"/>
                <w:sz w:val="18"/>
                <w:szCs w:val="18"/>
                <w:color w:val="auto"/>
              </w:rPr>
              <w:t>6.6</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2"/>
          </w:tcPr>
          <w:p>
            <w:pPr>
              <w:jc w:val="right"/>
              <w:ind w:right="760"/>
              <w:spacing w:after="0"/>
              <w:rPr>
                <w:sz w:val="20"/>
                <w:szCs w:val="20"/>
                <w:color w:val="auto"/>
              </w:rPr>
            </w:pPr>
            <w:r>
              <w:rPr>
                <w:rFonts w:ascii="Arial" w:cs="Arial" w:eastAsia="Arial" w:hAnsi="Arial"/>
                <w:sz w:val="18"/>
                <w:szCs w:val="18"/>
                <w:color w:val="auto"/>
              </w:rPr>
              <w:t>21,524</w:t>
            </w:r>
          </w:p>
        </w:tc>
        <w:tc>
          <w:tcPr>
            <w:tcW w:w="900" w:type="dxa"/>
            <w:vAlign w:val="bottom"/>
          </w:tcPr>
          <w:p>
            <w:pPr>
              <w:jc w:val="right"/>
              <w:spacing w:after="0"/>
              <w:rPr>
                <w:sz w:val="20"/>
                <w:szCs w:val="20"/>
                <w:color w:val="auto"/>
              </w:rPr>
            </w:pPr>
            <w:r>
              <w:rPr>
                <w:rFonts w:ascii="Arial" w:cs="Arial" w:eastAsia="Arial" w:hAnsi="Arial"/>
                <w:sz w:val="18"/>
                <w:szCs w:val="18"/>
                <w:color w:val="auto"/>
              </w:rPr>
              <w:t>8.9</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1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76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238,719</w:t>
            </w:r>
          </w:p>
        </w:tc>
        <w:tc>
          <w:tcPr>
            <w:tcW w:w="7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100.0%</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241,038</w:t>
            </w: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composition of our investments as of February 28, 2015, at amortized cost and fair value were as follows (dollars in thousands):</w:t>
      </w:r>
    </w:p>
    <w:p>
      <w:pPr>
        <w:spacing w:after="0" w:line="23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166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Investments at</w:t>
            </w:r>
          </w:p>
        </w:tc>
        <w:tc>
          <w:tcPr>
            <w:tcW w:w="1760" w:type="dxa"/>
            <w:vAlign w:val="bottom"/>
            <w:gridSpan w:val="2"/>
          </w:tcPr>
          <w:p>
            <w:pPr>
              <w:jc w:val="center"/>
              <w:ind w:right="780"/>
              <w:spacing w:after="0"/>
              <w:rPr>
                <w:sz w:val="20"/>
                <w:szCs w:val="20"/>
                <w:color w:val="auto"/>
              </w:rPr>
            </w:pPr>
            <w:r>
              <w:rPr>
                <w:rFonts w:ascii="Arial" w:cs="Arial" w:eastAsia="Arial" w:hAnsi="Arial"/>
                <w:sz w:val="14"/>
                <w:szCs w:val="14"/>
                <w:b w:val="1"/>
                <w:bCs w:val="1"/>
                <w:color w:val="auto"/>
                <w:w w:val="94"/>
              </w:rPr>
              <w:t>Amortized Cost</w:t>
            </w:r>
          </w:p>
        </w:tc>
        <w:tc>
          <w:tcPr>
            <w:tcW w:w="16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Investments at</w:t>
            </w:r>
          </w:p>
        </w:tc>
        <w:tc>
          <w:tcPr>
            <w:tcW w:w="11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1660" w:type="dxa"/>
            <w:vAlign w:val="bottom"/>
            <w:gridSpan w:val="3"/>
            <w:vMerge w:val="continue"/>
          </w:tcPr>
          <w:p>
            <w:pPr>
              <w:spacing w:after="0"/>
              <w:rPr>
                <w:sz w:val="12"/>
                <w:szCs w:val="12"/>
                <w:color w:val="auto"/>
              </w:rPr>
            </w:pPr>
          </w:p>
        </w:tc>
        <w:tc>
          <w:tcPr>
            <w:tcW w:w="1760" w:type="dxa"/>
            <w:vAlign w:val="bottom"/>
            <w:gridSpan w:val="2"/>
          </w:tcPr>
          <w:p>
            <w:pPr>
              <w:jc w:val="center"/>
              <w:ind w:right="780"/>
              <w:spacing w:after="0" w:line="149" w:lineRule="exact"/>
              <w:rPr>
                <w:sz w:val="20"/>
                <w:szCs w:val="20"/>
                <w:color w:val="auto"/>
              </w:rPr>
            </w:pPr>
            <w:r>
              <w:rPr>
                <w:rFonts w:ascii="Arial" w:cs="Arial" w:eastAsia="Arial" w:hAnsi="Arial"/>
                <w:sz w:val="14"/>
                <w:szCs w:val="14"/>
                <w:b w:val="1"/>
                <w:bCs w:val="1"/>
                <w:color w:val="auto"/>
                <w:w w:val="88"/>
              </w:rPr>
              <w:t>Percentage of</w:t>
            </w:r>
          </w:p>
        </w:tc>
        <w:tc>
          <w:tcPr>
            <w:tcW w:w="1600" w:type="dxa"/>
            <w:vAlign w:val="bottom"/>
            <w:gridSpan w:val="3"/>
            <w:vMerge w:val="continue"/>
          </w:tcPr>
          <w:p>
            <w:pPr>
              <w:spacing w:after="0"/>
              <w:rPr>
                <w:sz w:val="12"/>
                <w:szCs w:val="12"/>
                <w:color w:val="auto"/>
              </w:rPr>
            </w:pPr>
          </w:p>
        </w:tc>
        <w:tc>
          <w:tcPr>
            <w:tcW w:w="11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Percentage of</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360" w:type="dxa"/>
            <w:vAlign w:val="bottom"/>
            <w:tcBorders>
              <w:bottom w:val="single" w:sz="8" w:color="CCEEFF"/>
            </w:tcBorders>
          </w:tcPr>
          <w:p>
            <w:pPr>
              <w:spacing w:after="0"/>
              <w:rPr>
                <w:sz w:val="14"/>
                <w:szCs w:val="14"/>
                <w:color w:val="auto"/>
              </w:rPr>
            </w:pPr>
          </w:p>
        </w:tc>
        <w:tc>
          <w:tcPr>
            <w:tcW w:w="9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2"/>
              </w:rPr>
              <w:t>Amortized Cost</w:t>
            </w:r>
          </w:p>
        </w:tc>
        <w:tc>
          <w:tcPr>
            <w:tcW w:w="680" w:type="dxa"/>
            <w:vAlign w:val="bottom"/>
            <w:tcBorders>
              <w:bottom w:val="single" w:sz="8" w:color="CCEEFF"/>
            </w:tcBorders>
          </w:tcPr>
          <w:p>
            <w:pPr>
              <w:spacing w:after="0"/>
              <w:rPr>
                <w:sz w:val="14"/>
                <w:szCs w:val="14"/>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Total Portfolio</w:t>
            </w:r>
          </w:p>
        </w:tc>
        <w:tc>
          <w:tcPr>
            <w:tcW w:w="7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w w:val="95"/>
              </w:rPr>
              <w:t>Fair Value</w:t>
            </w:r>
          </w:p>
        </w:tc>
        <w:tc>
          <w:tcPr>
            <w:tcW w:w="700" w:type="dxa"/>
            <w:vAlign w:val="bottom"/>
            <w:tcBorders>
              <w:bottom w:val="single" w:sz="8" w:color="CCEEFF"/>
            </w:tcBorders>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Total Portfolio</w:t>
            </w:r>
          </w:p>
        </w:tc>
        <w:tc>
          <w:tcPr>
            <w:tcW w:w="2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Syndicated loans</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18,658</w:t>
            </w:r>
          </w:p>
        </w:tc>
        <w:tc>
          <w:tcPr>
            <w:tcW w:w="68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7.8%</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18,302</w:t>
            </w:r>
          </w:p>
        </w:tc>
        <w:tc>
          <w:tcPr>
            <w:tcW w:w="7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First lien term loans</w:t>
            </w:r>
          </w:p>
        </w:tc>
        <w:tc>
          <w:tcPr>
            <w:tcW w:w="240" w:type="dxa"/>
            <w:vAlign w:val="bottom"/>
          </w:tcPr>
          <w:p>
            <w:pPr>
              <w:spacing w:after="0"/>
              <w:rPr>
                <w:sz w:val="18"/>
                <w:szCs w:val="18"/>
                <w:color w:val="auto"/>
              </w:rPr>
            </w:pPr>
          </w:p>
        </w:tc>
        <w:tc>
          <w:tcPr>
            <w:tcW w:w="1420" w:type="dxa"/>
            <w:vAlign w:val="bottom"/>
            <w:gridSpan w:val="2"/>
          </w:tcPr>
          <w:p>
            <w:pPr>
              <w:jc w:val="right"/>
              <w:ind w:right="680"/>
              <w:spacing w:after="0"/>
              <w:rPr>
                <w:sz w:val="20"/>
                <w:szCs w:val="20"/>
                <w:color w:val="auto"/>
              </w:rPr>
            </w:pPr>
            <w:r>
              <w:rPr>
                <w:rFonts w:ascii="Arial" w:cs="Arial" w:eastAsia="Arial" w:hAnsi="Arial"/>
                <w:sz w:val="18"/>
                <w:szCs w:val="18"/>
                <w:color w:val="auto"/>
              </w:rPr>
              <w:t>144,959</w:t>
            </w:r>
          </w:p>
        </w:tc>
        <w:tc>
          <w:tcPr>
            <w:tcW w:w="1760" w:type="dxa"/>
            <w:vAlign w:val="bottom"/>
            <w:gridSpan w:val="2"/>
          </w:tcPr>
          <w:p>
            <w:pPr>
              <w:jc w:val="right"/>
              <w:ind w:right="780"/>
              <w:spacing w:after="0"/>
              <w:rPr>
                <w:sz w:val="20"/>
                <w:szCs w:val="20"/>
                <w:color w:val="auto"/>
              </w:rPr>
            </w:pPr>
            <w:r>
              <w:rPr>
                <w:rFonts w:ascii="Arial" w:cs="Arial" w:eastAsia="Arial" w:hAnsi="Arial"/>
                <w:sz w:val="18"/>
                <w:szCs w:val="18"/>
                <w:color w:val="auto"/>
              </w:rPr>
              <w:t>60.8</w:t>
            </w:r>
          </w:p>
        </w:tc>
        <w:tc>
          <w:tcPr>
            <w:tcW w:w="120" w:type="dxa"/>
            <w:vAlign w:val="bottom"/>
          </w:tcPr>
          <w:p>
            <w:pPr>
              <w:spacing w:after="0"/>
              <w:rPr>
                <w:sz w:val="18"/>
                <w:szCs w:val="18"/>
                <w:color w:val="auto"/>
              </w:rPr>
            </w:pPr>
          </w:p>
        </w:tc>
        <w:tc>
          <w:tcPr>
            <w:tcW w:w="1480" w:type="dxa"/>
            <w:vAlign w:val="bottom"/>
            <w:gridSpan w:val="2"/>
          </w:tcPr>
          <w:p>
            <w:pPr>
              <w:jc w:val="right"/>
              <w:ind w:right="700"/>
              <w:spacing w:after="0"/>
              <w:rPr>
                <w:sz w:val="20"/>
                <w:szCs w:val="20"/>
                <w:color w:val="auto"/>
              </w:rPr>
            </w:pPr>
            <w:r>
              <w:rPr>
                <w:rFonts w:ascii="Arial" w:cs="Arial" w:eastAsia="Arial" w:hAnsi="Arial"/>
                <w:sz w:val="18"/>
                <w:szCs w:val="18"/>
                <w:color w:val="auto"/>
              </w:rPr>
              <w:t>145,207</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60.3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Second lien term loans</w:t>
            </w:r>
          </w:p>
        </w:tc>
        <w:tc>
          <w:tcPr>
            <w:tcW w:w="2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35,748</w:t>
            </w:r>
          </w:p>
        </w:tc>
        <w:tc>
          <w:tcPr>
            <w:tcW w:w="176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15.0</w:t>
            </w: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35,603</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Unsecured notes</w:t>
            </w:r>
          </w:p>
        </w:tc>
        <w:tc>
          <w:tcPr>
            <w:tcW w:w="240" w:type="dxa"/>
            <w:vAlign w:val="bottom"/>
          </w:tcPr>
          <w:p>
            <w:pPr>
              <w:spacing w:after="0"/>
              <w:rPr>
                <w:sz w:val="18"/>
                <w:szCs w:val="18"/>
                <w:color w:val="auto"/>
              </w:rPr>
            </w:pPr>
          </w:p>
        </w:tc>
        <w:tc>
          <w:tcPr>
            <w:tcW w:w="1420" w:type="dxa"/>
            <w:vAlign w:val="bottom"/>
            <w:gridSpan w:val="2"/>
          </w:tcPr>
          <w:p>
            <w:pPr>
              <w:jc w:val="right"/>
              <w:ind w:right="680"/>
              <w:spacing w:after="0"/>
              <w:rPr>
                <w:sz w:val="20"/>
                <w:szCs w:val="20"/>
                <w:color w:val="auto"/>
              </w:rPr>
            </w:pPr>
            <w:r>
              <w:rPr>
                <w:rFonts w:ascii="Arial" w:cs="Arial" w:eastAsia="Arial" w:hAnsi="Arial"/>
                <w:sz w:val="18"/>
                <w:szCs w:val="18"/>
                <w:color w:val="auto"/>
              </w:rPr>
              <w:t>7,366</w:t>
            </w:r>
          </w:p>
        </w:tc>
        <w:tc>
          <w:tcPr>
            <w:tcW w:w="980" w:type="dxa"/>
            <w:vAlign w:val="bottom"/>
          </w:tcPr>
          <w:p>
            <w:pPr>
              <w:jc w:val="right"/>
              <w:spacing w:after="0"/>
              <w:rPr>
                <w:sz w:val="20"/>
                <w:szCs w:val="20"/>
                <w:color w:val="auto"/>
              </w:rPr>
            </w:pPr>
            <w:r>
              <w:rPr>
                <w:rFonts w:ascii="Arial" w:cs="Arial" w:eastAsia="Arial" w:hAnsi="Arial"/>
                <w:sz w:val="18"/>
                <w:szCs w:val="18"/>
                <w:color w:val="auto"/>
              </w:rPr>
              <w:t>3.1</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right"/>
              <w:ind w:right="700"/>
              <w:spacing w:after="0"/>
              <w:rPr>
                <w:sz w:val="20"/>
                <w:szCs w:val="20"/>
                <w:color w:val="auto"/>
              </w:rPr>
            </w:pPr>
            <w:r>
              <w:rPr>
                <w:rFonts w:ascii="Arial" w:cs="Arial" w:eastAsia="Arial" w:hAnsi="Arial"/>
                <w:sz w:val="18"/>
                <w:szCs w:val="18"/>
                <w:color w:val="auto"/>
              </w:rPr>
              <w:t>4,230</w:t>
            </w:r>
          </w:p>
        </w:tc>
        <w:tc>
          <w:tcPr>
            <w:tcW w:w="900" w:type="dxa"/>
            <w:vAlign w:val="bottom"/>
          </w:tcPr>
          <w:p>
            <w:pPr>
              <w:jc w:val="right"/>
              <w:spacing w:after="0"/>
              <w:rPr>
                <w:sz w:val="20"/>
                <w:szCs w:val="20"/>
                <w:color w:val="auto"/>
              </w:rPr>
            </w:pPr>
            <w:r>
              <w:rPr>
                <w:rFonts w:ascii="Arial" w:cs="Arial" w:eastAsia="Arial" w:hAnsi="Arial"/>
                <w:sz w:val="18"/>
                <w:szCs w:val="18"/>
                <w:color w:val="auto"/>
              </w:rPr>
              <w:t>1.8</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Structured finance securities</w:t>
            </w:r>
          </w:p>
        </w:tc>
        <w:tc>
          <w:tcPr>
            <w:tcW w:w="2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15,953</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17,031</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Equity interests</w:t>
            </w: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15,774</w:t>
            </w:r>
          </w:p>
        </w:tc>
        <w:tc>
          <w:tcPr>
            <w:tcW w:w="6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6.6</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right"/>
              <w:ind w:right="700"/>
              <w:spacing w:after="0"/>
              <w:rPr>
                <w:sz w:val="20"/>
                <w:szCs w:val="20"/>
                <w:color w:val="auto"/>
              </w:rPr>
            </w:pPr>
            <w:r>
              <w:rPr>
                <w:rFonts w:ascii="Arial" w:cs="Arial" w:eastAsia="Arial" w:hAnsi="Arial"/>
                <w:sz w:val="18"/>
                <w:szCs w:val="18"/>
                <w:color w:val="auto"/>
              </w:rPr>
              <w:t>20,165</w:t>
            </w:r>
          </w:p>
        </w:tc>
        <w:tc>
          <w:tcPr>
            <w:tcW w:w="900" w:type="dxa"/>
            <w:vAlign w:val="bottom"/>
          </w:tcPr>
          <w:p>
            <w:pPr>
              <w:jc w:val="right"/>
              <w:spacing w:after="0"/>
              <w:rPr>
                <w:sz w:val="20"/>
                <w:szCs w:val="20"/>
                <w:color w:val="auto"/>
              </w:rPr>
            </w:pPr>
            <w:r>
              <w:rPr>
                <w:rFonts w:ascii="Arial" w:cs="Arial" w:eastAsia="Arial" w:hAnsi="Arial"/>
                <w:sz w:val="18"/>
                <w:szCs w:val="18"/>
                <w:color w:val="auto"/>
              </w:rPr>
              <w:t>8.4</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3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238,458</w:t>
            </w:r>
          </w:p>
        </w:tc>
        <w:tc>
          <w:tcPr>
            <w:tcW w:w="68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100.0%</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4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240,538</w:t>
            </w: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For loans and debt securities for which market quotations are not available, we determine their fair value based on third party indicative broker quotes, where available, or the assumptions that a hypothetical market participant would use to value the security in a current hypothetical sale using a market yield valuation methodology. In applying the market yield valuation methodology, we determine the fair value based on such factors as market participant assumptions including synthetic credit ratings, estimated remaining life, current market yield and interest rate spreads of similar securities as of the measurement date. If, in our judgment, the market yield methodology is not sufficient or appropriate, we may use additional methodologies such as an asset liquidation or expected recovery model.</w:t>
      </w:r>
    </w:p>
    <w:p>
      <w:pPr>
        <w:spacing w:after="0" w:line="193"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For equity securities of portfolio companies and partnership interests, we determine the fair value based on the market approach with value then attributed to equity or equity like securities using the enterprise value waterfall valuation methodology. Under the enterprise value waterfall valuation methodology, we determine the enterprise fair value of the portfolio company and then waterfall the enterprise value over the portfolio company’s securities in order of their preference relative to one another. To estimate the enterprise value of the portfolio company, we weigh some or all of the traditional market valuation methods and factors based on the individual circumstances of the portfolio company in order to estimate the enterprise value. The methodologies for performing investments may be based on, among other things: valuations of comparable public companies, recent sales of private and public comparable companies, discounting the forecasted cash flows of the portfolio company, third party valuations of the portfolio company, considering offers from third parties to buy the company, estimating the value to potential strategic buyers and considering the value of recent investments in the equity securities of the portfolio company. For non-performing investments, we may estimate the liquidation or collateral value of the portfolio company’s assets and liabilities. We also take into account historical and anticipated financial results.</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Our investment in Saratoga Investment Corp. CLO 2013-1, Ltd. (“Saratoga CLO”) is carried at fair value, which is based on a discounted cash flow model that utilizes prepayment, re-investment and loss assumptions based on historical experience and projected performance, economic factors, the characteristics of the underlying cash flow, and comparable yields for equity interests in collateralized loan obligation funds similar to Saratoga CLO, when available, as determined by our Manager and recommended to our board of directors. Specifically, we use Intex cash flow models, or an appropriate substitute, to form the basis for the valuation of our investment in Saratoga CLO. The models use a set of assumptions including projected default rates, recovery rates, reinvestment rate and prepayment rates in order to arrive at estimated valuations. The assumptions are based on available market data and projections provided by third parties as well as management estimates. For the quarter ended November 30, 2013, in connection with the refinancing of the Saratoga CLO liabilities, we ran Intex models based on assumptions about the refinanced Saratoga CLO’s structure, including capital structure, cost of liabilities and reinvestment period. We use the output from the Intex models (i.e., the estimated cash flows) to perform a discounted cash flows analysis on expected future cash flows to determine a valuation for our investment in Saratoga CLO at November 30, 2015. The significant inputs for the valuation model include:</w:t>
      </w:r>
    </w:p>
    <w:p>
      <w:pPr>
        <w:spacing w:after="0" w:line="88" w:lineRule="exact"/>
        <w:rPr>
          <w:sz w:val="20"/>
          <w:szCs w:val="20"/>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Default rates: 2.0%</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Recovery rates: 35-75%</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Prepayment rate: 25.0%</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Reinvestment rate / price: L+375bps / $99.75</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Investment in Saratoga Investment Corp. CLO 2013-1, Ltd. (“Saratoga CLO”)</w:t>
      </w:r>
    </w:p>
    <w:p>
      <w:pPr>
        <w:spacing w:after="0" w:line="121" w:lineRule="exact"/>
        <w:rPr>
          <w:sz w:val="20"/>
          <w:szCs w:val="20"/>
          <w:color w:val="auto"/>
        </w:rPr>
      </w:pPr>
    </w:p>
    <w:p>
      <w:pPr>
        <w:ind w:firstLine="456"/>
        <w:spacing w:after="0" w:line="284" w:lineRule="auto"/>
        <w:rPr>
          <w:sz w:val="20"/>
          <w:szCs w:val="20"/>
          <w:color w:val="auto"/>
        </w:rPr>
      </w:pPr>
      <w:r>
        <w:rPr>
          <w:rFonts w:ascii="Arial" w:cs="Arial" w:eastAsia="Arial" w:hAnsi="Arial"/>
          <w:sz w:val="16"/>
          <w:szCs w:val="16"/>
          <w:color w:val="auto"/>
        </w:rPr>
        <w:t>On January 22, 2008, we invested $30 million in all of the outstanding subordinated notes of GSC Investment Corp. CLO 2007, Ltd., a collateralized loan obligation fund managed by us that invests primarily in senior secured loans. Additionally, we entered into a collateral management agreement with GSC Investment Corp. CLO 2007, Ltd. pursuant to which we act as collateral manager to it. The Saratoga CLO was refinanced in October 2013 and its reinvestment period ends in October 2016. The Saratoga CLO remains 100% owned and managed by Saratoga Investment Corp. We receive a base management fee of 0.25% and a subordinated management fee of 0.25% of the Fee Basis Amount at the beginning of the Collection Period, paid quarterly to the extent of available proceeds. We are also entitled to an incentive management fee equal to 20.0% of the remaining interest proceeds and principal proceeds, if any, after the subordinated notes have realized the incentive management fee target return of 12.0%, in accordance with the Priority of Payments after making the prior distributions on the relevant payment date. For the three months ended November 30, 2015 and November 30, 2014, we accrued</w:t>
      </w:r>
    </w:p>
    <w:p>
      <w:pPr>
        <w:spacing w:after="0" w:line="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$0.4 million and $0.4 million in management fee income, respectively, and $0.8 million and $0.7 million in interest income, respectively, from Saratoga CLO. For the nine months ended November 30, 2015 and November 30, 2014, we accrued $1.1 million and $1.2 million in management fee income, respectively, and $2.0 million and $2.0 million in interest income, respectively, from Saratoga CLO. We did not accrue any amounts related to the incentive management fee as the 12.0% hurdle rate has not yet been achieved.</w:t>
      </w:r>
    </w:p>
    <w:p>
      <w:pPr>
        <w:spacing w:after="0" w:line="190" w:lineRule="exact"/>
        <w:rPr>
          <w:sz w:val="20"/>
          <w:szCs w:val="20"/>
          <w:color w:val="auto"/>
        </w:rPr>
      </w:pPr>
    </w:p>
    <w:p>
      <w:pPr>
        <w:jc w:val="both"/>
        <w:ind w:right="220" w:firstLine="456"/>
        <w:spacing w:after="0" w:line="288" w:lineRule="auto"/>
        <w:rPr>
          <w:sz w:val="20"/>
          <w:szCs w:val="20"/>
          <w:color w:val="auto"/>
        </w:rPr>
      </w:pPr>
      <w:r>
        <w:rPr>
          <w:rFonts w:ascii="Arial" w:cs="Arial" w:eastAsia="Arial" w:hAnsi="Arial"/>
          <w:sz w:val="16"/>
          <w:szCs w:val="16"/>
          <w:color w:val="auto"/>
        </w:rPr>
        <w:t>At November 30, 2015, the Company determined that the fair value of its investment in the subordinated notes of Saratoga CLO was $15.8 million. The Company determines the fair value of its investment in the subordinated notes of Saratoga CLO based on the present value of the projected future cash flows of the subordinated notes over the life of Saratoga CLO. At November 30, 2015, Saratoga CLO had investments with a principal balance of</w:t>
      </w:r>
    </w:p>
    <w:p>
      <w:pPr>
        <w:ind w:right="120"/>
        <w:spacing w:after="0" w:line="253" w:lineRule="auto"/>
        <w:rPr>
          <w:sz w:val="20"/>
          <w:szCs w:val="20"/>
          <w:color w:val="auto"/>
        </w:rPr>
      </w:pPr>
      <w:r>
        <w:rPr>
          <w:rFonts w:ascii="Arial" w:cs="Arial" w:eastAsia="Arial" w:hAnsi="Arial"/>
          <w:sz w:val="18"/>
          <w:szCs w:val="18"/>
          <w:color w:val="auto"/>
        </w:rPr>
        <w:t>$297.4 million and a weighted average spread over LIBOR of 4.4%, and had debt with a principal balance of $282.4 million with a weighted average spread over LIBOR of 1.8%. As a result, Saratoga CLO earns a “spread” between the interest income it receives on its investments and the interest expense it pays on its debt and other operating expenses, which is distributed quarterly to the Company as the holder of its subordinated notes. At November 30, 2015, the total “spread”, or projected future cash flows of the subordinated notes, over the life of Saratoga CLO was $16.1 million, which had a present value of approximately $15.8 million, using an 13.0% discount rate.</w:t>
      </w:r>
    </w:p>
    <w:p>
      <w:pPr>
        <w:spacing w:after="0" w:line="191"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Below is certain financial information from the separate financial statements of Saratoga CLO as of November 30, 2015 (unaudited) and February 28, 2015 and for the three and nine months ended November 30, 2015 and November 30, 2014 (unaudited).</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459" w:right="2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Saratoga Investment Corp. CLO 2013-1, Ltd.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Assets and Liabilities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5"/>
              </w:rPr>
              <w:t>As of</w:t>
            </w:r>
          </w:p>
        </w:tc>
        <w:tc>
          <w:tcPr>
            <w:tcW w:w="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40" w:type="dxa"/>
            <w:vAlign w:val="bottom"/>
            <w:gridSpan w:val="3"/>
          </w:tcPr>
          <w:p>
            <w:pPr>
              <w:spacing w:after="0" w:line="142" w:lineRule="exact"/>
              <w:rPr>
                <w:sz w:val="20"/>
                <w:szCs w:val="20"/>
                <w:color w:val="auto"/>
              </w:rPr>
            </w:pPr>
            <w:r>
              <w:rPr>
                <w:rFonts w:ascii="Arial" w:cs="Arial" w:eastAsia="Arial" w:hAnsi="Arial"/>
                <w:sz w:val="14"/>
                <w:szCs w:val="14"/>
                <w:color w:val="auto"/>
              </w:rPr>
              <w:t>November 30, 2015</w:t>
            </w:r>
          </w:p>
        </w:tc>
        <w:tc>
          <w:tcPr>
            <w:tcW w:w="40" w:type="dxa"/>
            <w:vAlign w:val="bottom"/>
          </w:tcPr>
          <w:p>
            <w:pPr>
              <w:spacing w:after="0"/>
              <w:rPr>
                <w:sz w:val="12"/>
                <w:szCs w:val="12"/>
                <w:color w:val="auto"/>
              </w:rPr>
            </w:pPr>
          </w:p>
        </w:tc>
        <w:tc>
          <w:tcPr>
            <w:tcW w:w="1080" w:type="dxa"/>
            <w:vAlign w:val="bottom"/>
            <w:gridSpan w:val="2"/>
          </w:tcPr>
          <w:p>
            <w:pPr>
              <w:spacing w:after="0" w:line="142" w:lineRule="exact"/>
              <w:rPr>
                <w:sz w:val="20"/>
                <w:szCs w:val="20"/>
                <w:color w:val="auto"/>
              </w:rPr>
            </w:pPr>
            <w:r>
              <w:rPr>
                <w:rFonts w:ascii="Arial" w:cs="Arial" w:eastAsia="Arial" w:hAnsi="Arial"/>
                <w:sz w:val="14"/>
                <w:szCs w:val="14"/>
                <w:color w:val="auto"/>
                <w:w w:val="92"/>
              </w:rPr>
              <w:t>February 28, 2015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jc w:val="right"/>
              <w:ind w:right="151"/>
              <w:spacing w:after="0" w:line="142" w:lineRule="exact"/>
              <w:rPr>
                <w:sz w:val="20"/>
                <w:szCs w:val="20"/>
                <w:color w:val="auto"/>
              </w:rPr>
            </w:pPr>
            <w:r>
              <w:rPr>
                <w:rFonts w:ascii="Arial" w:cs="Arial" w:eastAsia="Arial" w:hAnsi="Arial"/>
                <w:sz w:val="14"/>
                <w:szCs w:val="14"/>
                <w:color w:val="auto"/>
              </w:rPr>
              <w:t>(unaudited)</w:t>
            </w:r>
          </w:p>
        </w:tc>
        <w:tc>
          <w:tcPr>
            <w:tcW w:w="3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80" w:type="dxa"/>
            <w:vAlign w:val="bottom"/>
          </w:tcPr>
          <w:p>
            <w:pPr>
              <w:spacing w:after="0"/>
              <w:rPr>
                <w:sz w:val="20"/>
                <w:szCs w:val="20"/>
                <w:color w:val="auto"/>
              </w:rPr>
            </w:pPr>
            <w:r>
              <w:rPr>
                <w:rFonts w:ascii="Arial" w:cs="Arial" w:eastAsia="Arial" w:hAnsi="Arial"/>
                <w:sz w:val="18"/>
                <w:szCs w:val="18"/>
                <w:color w:val="auto"/>
              </w:rPr>
              <w:t>Investments</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Fair Value Loans (amortized cost of $295,600,896 and $295,193,588, respectively)</w:t>
            </w:r>
          </w:p>
        </w:tc>
        <w:tc>
          <w:tcPr>
            <w:tcW w:w="3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285,300,231</w:t>
            </w:r>
          </w:p>
        </w:tc>
        <w:tc>
          <w:tcPr>
            <w:tcW w:w="380" w:type="dxa"/>
            <w:vAlign w:val="bottom"/>
            <w:shd w:val="clear" w:color="auto" w:fill="CCEEFF"/>
          </w:tcPr>
          <w:p>
            <w:pPr>
              <w:spacing w:after="0"/>
              <w:rPr>
                <w:sz w:val="18"/>
                <w:szCs w:val="18"/>
                <w:color w:val="auto"/>
              </w:rPr>
            </w:pPr>
          </w:p>
        </w:tc>
        <w:tc>
          <w:tcPr>
            <w:tcW w:w="1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1"/>
              </w:rPr>
              <w:t>294,621,817</w:t>
            </w:r>
          </w:p>
        </w:tc>
        <w:tc>
          <w:tcPr>
            <w:tcW w:w="0" w:type="dxa"/>
            <w:vAlign w:val="bottom"/>
          </w:tcPr>
          <w:p>
            <w:pPr>
              <w:spacing w:after="0"/>
              <w:rPr>
                <w:sz w:val="1"/>
                <w:szCs w:val="1"/>
                <w:color w:val="auto"/>
              </w:rPr>
            </w:pPr>
          </w:p>
        </w:tc>
      </w:tr>
      <w:tr>
        <w:trPr>
          <w:trHeight w:val="223"/>
        </w:trPr>
        <w:tc>
          <w:tcPr>
            <w:tcW w:w="8480" w:type="dxa"/>
            <w:vAlign w:val="bottom"/>
          </w:tcPr>
          <w:p>
            <w:pPr>
              <w:ind w:left="360"/>
              <w:spacing w:after="0"/>
              <w:rPr>
                <w:sz w:val="20"/>
                <w:szCs w:val="20"/>
                <w:color w:val="auto"/>
              </w:rPr>
            </w:pPr>
            <w:r>
              <w:rPr>
                <w:rFonts w:ascii="Arial" w:cs="Arial" w:eastAsia="Arial" w:hAnsi="Arial"/>
                <w:sz w:val="18"/>
                <w:szCs w:val="18"/>
                <w:color w:val="auto"/>
                <w:w w:val="95"/>
              </w:rPr>
              <w:t>Fair Value Other/Structured finance securities (amortized cost of $2,566,752 and $2,566,752, respectively)</w:t>
            </w:r>
          </w:p>
        </w:tc>
        <w:tc>
          <w:tcPr>
            <w:tcW w:w="1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26,803</w:t>
            </w:r>
          </w:p>
        </w:tc>
        <w:tc>
          <w:tcPr>
            <w:tcW w:w="3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617,451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investments at fair value (amortized cost of $298,167,648 and $297,760,340, respectively)</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285,327,034</w:t>
            </w:r>
          </w:p>
        </w:tc>
        <w:tc>
          <w:tcPr>
            <w:tcW w:w="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1"/>
              </w:rPr>
              <w:t>295,239,268</w:t>
            </w:r>
          </w:p>
        </w:tc>
        <w:tc>
          <w:tcPr>
            <w:tcW w:w="0" w:type="dxa"/>
            <w:vAlign w:val="bottom"/>
          </w:tcPr>
          <w:p>
            <w:pPr>
              <w:spacing w:after="0"/>
              <w:rPr>
                <w:sz w:val="1"/>
                <w:szCs w:val="1"/>
                <w:color w:val="auto"/>
              </w:rPr>
            </w:pPr>
          </w:p>
        </w:tc>
      </w:tr>
      <w:tr>
        <w:trPr>
          <w:trHeight w:val="216"/>
        </w:trPr>
        <w:tc>
          <w:tcPr>
            <w:tcW w:w="848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6,521,096</w:t>
            </w: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5,831,797</w:t>
            </w:r>
          </w:p>
        </w:tc>
        <w:tc>
          <w:tcPr>
            <w:tcW w:w="0" w:type="dxa"/>
            <w:vAlign w:val="bottom"/>
          </w:tcPr>
          <w:p>
            <w:pPr>
              <w:spacing w:after="0"/>
              <w:rPr>
                <w:sz w:val="1"/>
                <w:szCs w:val="1"/>
                <w:color w:val="auto"/>
              </w:rPr>
            </w:pPr>
          </w:p>
        </w:tc>
      </w:tr>
      <w:tr>
        <w:trPr>
          <w:trHeight w:val="216"/>
        </w:trPr>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Receivable from open trades</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1,993,750</w:t>
            </w:r>
          </w:p>
        </w:tc>
        <w:tc>
          <w:tcPr>
            <w:tcW w:w="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2,119,687</w:t>
            </w:r>
          </w:p>
        </w:tc>
        <w:tc>
          <w:tcPr>
            <w:tcW w:w="0" w:type="dxa"/>
            <w:vAlign w:val="bottom"/>
          </w:tcPr>
          <w:p>
            <w:pPr>
              <w:spacing w:after="0"/>
              <w:rPr>
                <w:sz w:val="1"/>
                <w:szCs w:val="1"/>
                <w:color w:val="auto"/>
              </w:rPr>
            </w:pPr>
          </w:p>
        </w:tc>
      </w:tr>
      <w:tr>
        <w:trPr>
          <w:trHeight w:val="223"/>
        </w:trPr>
        <w:tc>
          <w:tcPr>
            <w:tcW w:w="8480" w:type="dxa"/>
            <w:vAlign w:val="bottom"/>
          </w:tcPr>
          <w:p>
            <w:pPr>
              <w:spacing w:after="0"/>
              <w:rPr>
                <w:sz w:val="20"/>
                <w:szCs w:val="20"/>
                <w:color w:val="auto"/>
              </w:rPr>
            </w:pPr>
            <w:r>
              <w:rPr>
                <w:rFonts w:ascii="Arial" w:cs="Arial" w:eastAsia="Arial" w:hAnsi="Arial"/>
                <w:sz w:val="18"/>
                <w:szCs w:val="18"/>
                <w:color w:val="auto"/>
              </w:rPr>
              <w:t>Interest receivable</w:t>
            </w:r>
          </w:p>
        </w:tc>
        <w:tc>
          <w:tcPr>
            <w:tcW w:w="1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1,619,994</w:t>
            </w:r>
          </w:p>
        </w:tc>
        <w:tc>
          <w:tcPr>
            <w:tcW w:w="3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1,290,637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assets</w:t>
            </w:r>
          </w:p>
        </w:tc>
        <w:tc>
          <w:tcPr>
            <w:tcW w:w="3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295,461,874</w:t>
            </w:r>
          </w:p>
        </w:tc>
        <w:tc>
          <w:tcPr>
            <w:tcW w:w="380" w:type="dxa"/>
            <w:vAlign w:val="bottom"/>
            <w:shd w:val="clear" w:color="auto" w:fill="CCEEFF"/>
          </w:tcPr>
          <w:p>
            <w:pPr>
              <w:spacing w:after="0"/>
              <w:rPr>
                <w:sz w:val="18"/>
                <w:szCs w:val="18"/>
                <w:color w:val="auto"/>
              </w:rPr>
            </w:pPr>
          </w:p>
        </w:tc>
        <w:tc>
          <w:tcPr>
            <w:tcW w:w="1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1"/>
              </w:rPr>
              <w:t>304,481,389</w:t>
            </w:r>
          </w:p>
        </w:tc>
        <w:tc>
          <w:tcPr>
            <w:tcW w:w="0" w:type="dxa"/>
            <w:vAlign w:val="bottom"/>
          </w:tcPr>
          <w:p>
            <w:pPr>
              <w:spacing w:after="0"/>
              <w:rPr>
                <w:sz w:val="1"/>
                <w:szCs w:val="1"/>
                <w:color w:val="auto"/>
              </w:rPr>
            </w:pPr>
          </w:p>
        </w:tc>
      </w:tr>
      <w:tr>
        <w:trPr>
          <w:trHeight w:val="20"/>
        </w:trPr>
        <w:tc>
          <w:tcPr>
            <w:tcW w:w="8480" w:type="dxa"/>
            <w:vAlign w:val="bottom"/>
            <w:vMerge w:val="restart"/>
          </w:tcPr>
          <w:p>
            <w:pPr>
              <w:spacing w:after="0"/>
              <w:rPr>
                <w:sz w:val="20"/>
                <w:szCs w:val="20"/>
                <w:color w:val="auto"/>
              </w:rPr>
            </w:pPr>
            <w:r>
              <w:rPr>
                <w:rFonts w:ascii="Arial" w:cs="Arial" w:eastAsia="Arial" w:hAnsi="Arial"/>
                <w:sz w:val="18"/>
                <w:szCs w:val="18"/>
                <w:color w:val="auto"/>
              </w:rPr>
              <w:t>LIABILITIES</w:t>
            </w: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48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Interest payable</w:t>
            </w:r>
          </w:p>
        </w:tc>
        <w:tc>
          <w:tcPr>
            <w:tcW w:w="3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308"/>
              <w:spacing w:after="0"/>
              <w:rPr>
                <w:sz w:val="20"/>
                <w:szCs w:val="20"/>
                <w:color w:val="auto"/>
              </w:rPr>
            </w:pPr>
            <w:r>
              <w:rPr>
                <w:rFonts w:ascii="Arial" w:cs="Arial" w:eastAsia="Arial" w:hAnsi="Arial"/>
                <w:sz w:val="18"/>
                <w:szCs w:val="18"/>
                <w:color w:val="auto"/>
              </w:rPr>
              <w:t>644,005</w:t>
            </w:r>
          </w:p>
        </w:tc>
        <w:tc>
          <w:tcPr>
            <w:tcW w:w="1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631,886</w:t>
            </w:r>
          </w:p>
        </w:tc>
        <w:tc>
          <w:tcPr>
            <w:tcW w:w="0" w:type="dxa"/>
            <w:vAlign w:val="bottom"/>
          </w:tcPr>
          <w:p>
            <w:pPr>
              <w:spacing w:after="0"/>
              <w:rPr>
                <w:sz w:val="1"/>
                <w:szCs w:val="1"/>
                <w:color w:val="auto"/>
              </w:rPr>
            </w:pPr>
          </w:p>
        </w:tc>
      </w:tr>
      <w:tr>
        <w:trPr>
          <w:trHeight w:val="216"/>
        </w:trPr>
        <w:tc>
          <w:tcPr>
            <w:tcW w:w="8480" w:type="dxa"/>
            <w:vAlign w:val="bottom"/>
          </w:tcPr>
          <w:p>
            <w:pPr>
              <w:spacing w:after="0"/>
              <w:rPr>
                <w:sz w:val="20"/>
                <w:szCs w:val="20"/>
                <w:color w:val="auto"/>
              </w:rPr>
            </w:pPr>
            <w:r>
              <w:rPr>
                <w:rFonts w:ascii="Arial" w:cs="Arial" w:eastAsia="Arial" w:hAnsi="Arial"/>
                <w:sz w:val="18"/>
                <w:szCs w:val="18"/>
                <w:color w:val="auto"/>
              </w:rPr>
              <w:t>Payable from open trades</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5,382,500</w:t>
            </w: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5,214,331</w:t>
            </w:r>
          </w:p>
        </w:tc>
        <w:tc>
          <w:tcPr>
            <w:tcW w:w="0" w:type="dxa"/>
            <w:vAlign w:val="bottom"/>
          </w:tcPr>
          <w:p>
            <w:pPr>
              <w:spacing w:after="0"/>
              <w:rPr>
                <w:sz w:val="1"/>
                <w:szCs w:val="1"/>
                <w:color w:val="auto"/>
              </w:rPr>
            </w:pPr>
          </w:p>
        </w:tc>
      </w:tr>
      <w:tr>
        <w:trPr>
          <w:trHeight w:val="216"/>
        </w:trPr>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Accrued base management fee</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08"/>
              <w:spacing w:after="0"/>
              <w:rPr>
                <w:sz w:val="20"/>
                <w:szCs w:val="20"/>
                <w:color w:val="auto"/>
              </w:rPr>
            </w:pPr>
            <w:r>
              <w:rPr>
                <w:rFonts w:ascii="Arial" w:cs="Arial" w:eastAsia="Arial" w:hAnsi="Arial"/>
                <w:sz w:val="18"/>
                <w:szCs w:val="18"/>
                <w:color w:val="auto"/>
              </w:rPr>
              <w:t>85,128</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85,957</w:t>
            </w:r>
          </w:p>
        </w:tc>
        <w:tc>
          <w:tcPr>
            <w:tcW w:w="0" w:type="dxa"/>
            <w:vAlign w:val="bottom"/>
          </w:tcPr>
          <w:p>
            <w:pPr>
              <w:spacing w:after="0"/>
              <w:rPr>
                <w:sz w:val="1"/>
                <w:szCs w:val="1"/>
                <w:color w:val="auto"/>
              </w:rPr>
            </w:pPr>
          </w:p>
        </w:tc>
      </w:tr>
      <w:tr>
        <w:trPr>
          <w:trHeight w:val="216"/>
        </w:trPr>
        <w:tc>
          <w:tcPr>
            <w:tcW w:w="8480" w:type="dxa"/>
            <w:vAlign w:val="bottom"/>
          </w:tcPr>
          <w:p>
            <w:pPr>
              <w:spacing w:after="0"/>
              <w:rPr>
                <w:sz w:val="20"/>
                <w:szCs w:val="20"/>
                <w:color w:val="auto"/>
              </w:rPr>
            </w:pPr>
            <w:r>
              <w:rPr>
                <w:rFonts w:ascii="Arial" w:cs="Arial" w:eastAsia="Arial" w:hAnsi="Arial"/>
                <w:sz w:val="18"/>
                <w:szCs w:val="18"/>
                <w:color w:val="auto"/>
              </w:rPr>
              <w:t>Accrued subordinated management fee</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2"/>
          </w:tcPr>
          <w:p>
            <w:pPr>
              <w:jc w:val="right"/>
              <w:ind w:right="308"/>
              <w:spacing w:after="0"/>
              <w:rPr>
                <w:sz w:val="20"/>
                <w:szCs w:val="20"/>
                <w:color w:val="auto"/>
              </w:rPr>
            </w:pPr>
            <w:r>
              <w:rPr>
                <w:rFonts w:ascii="Arial" w:cs="Arial" w:eastAsia="Arial" w:hAnsi="Arial"/>
                <w:sz w:val="18"/>
                <w:szCs w:val="18"/>
                <w:color w:val="auto"/>
              </w:rPr>
              <w:t>85,128</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85,957</w:t>
            </w:r>
          </w:p>
        </w:tc>
        <w:tc>
          <w:tcPr>
            <w:tcW w:w="0" w:type="dxa"/>
            <w:vAlign w:val="bottom"/>
          </w:tcPr>
          <w:p>
            <w:pPr>
              <w:spacing w:after="0"/>
              <w:rPr>
                <w:sz w:val="1"/>
                <w:szCs w:val="1"/>
                <w:color w:val="auto"/>
              </w:rPr>
            </w:pPr>
          </w:p>
        </w:tc>
      </w:tr>
      <w:tr>
        <w:trPr>
          <w:trHeight w:val="216"/>
        </w:trPr>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Class A-1 Notes - SIC CLO 2013-1, Ltd.</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170,000,000</w:t>
            </w:r>
          </w:p>
        </w:tc>
        <w:tc>
          <w:tcPr>
            <w:tcW w:w="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1"/>
              </w:rPr>
              <w:t>170,000,000</w:t>
            </w:r>
          </w:p>
        </w:tc>
        <w:tc>
          <w:tcPr>
            <w:tcW w:w="0" w:type="dxa"/>
            <w:vAlign w:val="bottom"/>
          </w:tcPr>
          <w:p>
            <w:pPr>
              <w:spacing w:after="0"/>
              <w:rPr>
                <w:sz w:val="1"/>
                <w:szCs w:val="1"/>
                <w:color w:val="auto"/>
              </w:rPr>
            </w:pPr>
          </w:p>
        </w:tc>
      </w:tr>
      <w:tr>
        <w:trPr>
          <w:trHeight w:val="216"/>
        </w:trPr>
        <w:tc>
          <w:tcPr>
            <w:tcW w:w="8480" w:type="dxa"/>
            <w:vAlign w:val="bottom"/>
          </w:tcPr>
          <w:p>
            <w:pPr>
              <w:spacing w:after="0"/>
              <w:rPr>
                <w:sz w:val="20"/>
                <w:szCs w:val="20"/>
                <w:color w:val="auto"/>
              </w:rPr>
            </w:pPr>
            <w:r>
              <w:rPr>
                <w:rFonts w:ascii="Arial" w:cs="Arial" w:eastAsia="Arial" w:hAnsi="Arial"/>
                <w:sz w:val="18"/>
                <w:szCs w:val="18"/>
                <w:color w:val="auto"/>
              </w:rPr>
              <w:t>Discount on Class A-1 Notes - SIC CLO 2013-1, Ltd.</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2"/>
          </w:tcPr>
          <w:p>
            <w:pPr>
              <w:jc w:val="right"/>
              <w:ind w:right="248"/>
              <w:spacing w:after="0"/>
              <w:rPr>
                <w:sz w:val="20"/>
                <w:szCs w:val="20"/>
                <w:color w:val="auto"/>
              </w:rPr>
            </w:pPr>
            <w:r>
              <w:rPr>
                <w:rFonts w:ascii="Arial" w:cs="Arial" w:eastAsia="Arial" w:hAnsi="Arial"/>
                <w:sz w:val="18"/>
                <w:szCs w:val="18"/>
                <w:color w:val="auto"/>
              </w:rPr>
              <w:t>(1,363,153)</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(1,495,802)</w:t>
            </w:r>
          </w:p>
        </w:tc>
        <w:tc>
          <w:tcPr>
            <w:tcW w:w="0" w:type="dxa"/>
            <w:vAlign w:val="bottom"/>
          </w:tcPr>
          <w:p>
            <w:pPr>
              <w:spacing w:after="0"/>
              <w:rPr>
                <w:sz w:val="1"/>
                <w:szCs w:val="1"/>
                <w:color w:val="auto"/>
              </w:rPr>
            </w:pPr>
          </w:p>
        </w:tc>
      </w:tr>
      <w:tr>
        <w:trPr>
          <w:trHeight w:val="216"/>
        </w:trPr>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Class A-2 Notes - SIC CLO 2013-1, Ltd.</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08"/>
              <w:spacing w:after="0"/>
              <w:rPr>
                <w:sz w:val="20"/>
                <w:szCs w:val="20"/>
                <w:color w:val="auto"/>
              </w:rPr>
            </w:pPr>
            <w:r>
              <w:rPr>
                <w:rFonts w:ascii="Arial" w:cs="Arial" w:eastAsia="Arial" w:hAnsi="Arial"/>
                <w:sz w:val="18"/>
                <w:szCs w:val="18"/>
                <w:color w:val="auto"/>
              </w:rPr>
              <w:t>20,000,000</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20,000,000</w:t>
            </w:r>
          </w:p>
        </w:tc>
        <w:tc>
          <w:tcPr>
            <w:tcW w:w="0" w:type="dxa"/>
            <w:vAlign w:val="bottom"/>
          </w:tcPr>
          <w:p>
            <w:pPr>
              <w:spacing w:after="0"/>
              <w:rPr>
                <w:sz w:val="1"/>
                <w:szCs w:val="1"/>
                <w:color w:val="auto"/>
              </w:rPr>
            </w:pPr>
          </w:p>
        </w:tc>
      </w:tr>
      <w:tr>
        <w:trPr>
          <w:trHeight w:val="216"/>
        </w:trPr>
        <w:tc>
          <w:tcPr>
            <w:tcW w:w="8480" w:type="dxa"/>
            <w:vAlign w:val="bottom"/>
          </w:tcPr>
          <w:p>
            <w:pPr>
              <w:spacing w:after="0"/>
              <w:rPr>
                <w:sz w:val="20"/>
                <w:szCs w:val="20"/>
                <w:color w:val="auto"/>
              </w:rPr>
            </w:pPr>
            <w:r>
              <w:rPr>
                <w:rFonts w:ascii="Arial" w:cs="Arial" w:eastAsia="Arial" w:hAnsi="Arial"/>
                <w:sz w:val="18"/>
                <w:szCs w:val="18"/>
                <w:color w:val="auto"/>
              </w:rPr>
              <w:t>Discount on Class A-2 Notes - SIC CLO 2013-1, Ltd.</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2"/>
          </w:tcPr>
          <w:p>
            <w:pPr>
              <w:jc w:val="right"/>
              <w:ind w:right="248"/>
              <w:spacing w:after="0"/>
              <w:rPr>
                <w:sz w:val="20"/>
                <w:szCs w:val="20"/>
                <w:color w:val="auto"/>
              </w:rPr>
            </w:pPr>
            <w:r>
              <w:rPr>
                <w:rFonts w:ascii="Arial" w:cs="Arial" w:eastAsia="Arial" w:hAnsi="Arial"/>
                <w:sz w:val="18"/>
                <w:szCs w:val="18"/>
                <w:color w:val="auto"/>
              </w:rPr>
              <w:t>(141,300)</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(155,050)</w:t>
            </w:r>
          </w:p>
        </w:tc>
        <w:tc>
          <w:tcPr>
            <w:tcW w:w="0" w:type="dxa"/>
            <w:vAlign w:val="bottom"/>
          </w:tcPr>
          <w:p>
            <w:pPr>
              <w:spacing w:after="0"/>
              <w:rPr>
                <w:sz w:val="1"/>
                <w:szCs w:val="1"/>
                <w:color w:val="auto"/>
              </w:rPr>
            </w:pPr>
          </w:p>
        </w:tc>
      </w:tr>
      <w:tr>
        <w:trPr>
          <w:trHeight w:val="216"/>
        </w:trPr>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Class B Notes - SIC CLO 2013-1, Ltd.</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08"/>
              <w:spacing w:after="0"/>
              <w:rPr>
                <w:sz w:val="20"/>
                <w:szCs w:val="20"/>
                <w:color w:val="auto"/>
              </w:rPr>
            </w:pPr>
            <w:r>
              <w:rPr>
                <w:rFonts w:ascii="Arial" w:cs="Arial" w:eastAsia="Arial" w:hAnsi="Arial"/>
                <w:sz w:val="18"/>
                <w:szCs w:val="18"/>
                <w:color w:val="auto"/>
              </w:rPr>
              <w:t>44,800,000</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44,800,000</w:t>
            </w:r>
          </w:p>
        </w:tc>
        <w:tc>
          <w:tcPr>
            <w:tcW w:w="0" w:type="dxa"/>
            <w:vAlign w:val="bottom"/>
          </w:tcPr>
          <w:p>
            <w:pPr>
              <w:spacing w:after="0"/>
              <w:rPr>
                <w:sz w:val="1"/>
                <w:szCs w:val="1"/>
                <w:color w:val="auto"/>
              </w:rPr>
            </w:pPr>
          </w:p>
        </w:tc>
      </w:tr>
      <w:tr>
        <w:trPr>
          <w:trHeight w:val="216"/>
        </w:trPr>
        <w:tc>
          <w:tcPr>
            <w:tcW w:w="8480" w:type="dxa"/>
            <w:vAlign w:val="bottom"/>
          </w:tcPr>
          <w:p>
            <w:pPr>
              <w:spacing w:after="0"/>
              <w:rPr>
                <w:sz w:val="20"/>
                <w:szCs w:val="20"/>
                <w:color w:val="auto"/>
              </w:rPr>
            </w:pPr>
            <w:r>
              <w:rPr>
                <w:rFonts w:ascii="Arial" w:cs="Arial" w:eastAsia="Arial" w:hAnsi="Arial"/>
                <w:sz w:val="18"/>
                <w:szCs w:val="18"/>
                <w:color w:val="auto"/>
              </w:rPr>
              <w:t>Discount on Class B Notes - SIC CLO 2013-1, Ltd.</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2"/>
          </w:tcPr>
          <w:p>
            <w:pPr>
              <w:jc w:val="right"/>
              <w:ind w:right="248"/>
              <w:spacing w:after="0"/>
              <w:rPr>
                <w:sz w:val="20"/>
                <w:szCs w:val="20"/>
                <w:color w:val="auto"/>
              </w:rPr>
            </w:pPr>
            <w:r>
              <w:rPr>
                <w:rFonts w:ascii="Arial" w:cs="Arial" w:eastAsia="Arial" w:hAnsi="Arial"/>
                <w:sz w:val="18"/>
                <w:szCs w:val="18"/>
                <w:color w:val="auto"/>
              </w:rPr>
              <w:t>(917,885)</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(1,007,205)</w:t>
            </w:r>
          </w:p>
        </w:tc>
        <w:tc>
          <w:tcPr>
            <w:tcW w:w="0" w:type="dxa"/>
            <w:vAlign w:val="bottom"/>
          </w:tcPr>
          <w:p>
            <w:pPr>
              <w:spacing w:after="0"/>
              <w:rPr>
                <w:sz w:val="1"/>
                <w:szCs w:val="1"/>
                <w:color w:val="auto"/>
              </w:rPr>
            </w:pPr>
          </w:p>
        </w:tc>
      </w:tr>
      <w:tr>
        <w:trPr>
          <w:trHeight w:val="216"/>
        </w:trPr>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Class C Notes - SIC CLO 2013-1, Ltd.</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08"/>
              <w:spacing w:after="0"/>
              <w:rPr>
                <w:sz w:val="20"/>
                <w:szCs w:val="20"/>
                <w:color w:val="auto"/>
              </w:rPr>
            </w:pPr>
            <w:r>
              <w:rPr>
                <w:rFonts w:ascii="Arial" w:cs="Arial" w:eastAsia="Arial" w:hAnsi="Arial"/>
                <w:sz w:val="18"/>
                <w:szCs w:val="18"/>
                <w:color w:val="auto"/>
              </w:rPr>
              <w:t>16,000,000</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16,000,000</w:t>
            </w:r>
          </w:p>
        </w:tc>
        <w:tc>
          <w:tcPr>
            <w:tcW w:w="0" w:type="dxa"/>
            <w:vAlign w:val="bottom"/>
          </w:tcPr>
          <w:p>
            <w:pPr>
              <w:spacing w:after="0"/>
              <w:rPr>
                <w:sz w:val="1"/>
                <w:szCs w:val="1"/>
                <w:color w:val="auto"/>
              </w:rPr>
            </w:pPr>
          </w:p>
        </w:tc>
      </w:tr>
      <w:tr>
        <w:trPr>
          <w:trHeight w:val="216"/>
        </w:trPr>
        <w:tc>
          <w:tcPr>
            <w:tcW w:w="8480" w:type="dxa"/>
            <w:vAlign w:val="bottom"/>
          </w:tcPr>
          <w:p>
            <w:pPr>
              <w:spacing w:after="0"/>
              <w:rPr>
                <w:sz w:val="20"/>
                <w:szCs w:val="20"/>
                <w:color w:val="auto"/>
              </w:rPr>
            </w:pPr>
            <w:r>
              <w:rPr>
                <w:rFonts w:ascii="Arial" w:cs="Arial" w:eastAsia="Arial" w:hAnsi="Arial"/>
                <w:sz w:val="18"/>
                <w:szCs w:val="18"/>
                <w:color w:val="auto"/>
              </w:rPr>
              <w:t>Discount on Class C Notes - SIC CLO 2013-1, Ltd.</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2"/>
          </w:tcPr>
          <w:p>
            <w:pPr>
              <w:jc w:val="right"/>
              <w:ind w:right="248"/>
              <w:spacing w:after="0"/>
              <w:rPr>
                <w:sz w:val="20"/>
                <w:szCs w:val="20"/>
                <w:color w:val="auto"/>
              </w:rPr>
            </w:pPr>
            <w:r>
              <w:rPr>
                <w:rFonts w:ascii="Arial" w:cs="Arial" w:eastAsia="Arial" w:hAnsi="Arial"/>
                <w:sz w:val="18"/>
                <w:szCs w:val="18"/>
                <w:color w:val="auto"/>
              </w:rPr>
              <w:t>(571,480)</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(627,091)</w:t>
            </w:r>
          </w:p>
        </w:tc>
        <w:tc>
          <w:tcPr>
            <w:tcW w:w="0" w:type="dxa"/>
            <w:vAlign w:val="bottom"/>
          </w:tcPr>
          <w:p>
            <w:pPr>
              <w:spacing w:after="0"/>
              <w:rPr>
                <w:sz w:val="1"/>
                <w:szCs w:val="1"/>
                <w:color w:val="auto"/>
              </w:rPr>
            </w:pPr>
          </w:p>
        </w:tc>
      </w:tr>
      <w:tr>
        <w:trPr>
          <w:trHeight w:val="216"/>
        </w:trPr>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Class D Notes - SIC CLO 2013-1, Ltd.</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08"/>
              <w:spacing w:after="0"/>
              <w:rPr>
                <w:sz w:val="20"/>
                <w:szCs w:val="20"/>
                <w:color w:val="auto"/>
              </w:rPr>
            </w:pPr>
            <w:r>
              <w:rPr>
                <w:rFonts w:ascii="Arial" w:cs="Arial" w:eastAsia="Arial" w:hAnsi="Arial"/>
                <w:sz w:val="18"/>
                <w:szCs w:val="18"/>
                <w:color w:val="auto"/>
              </w:rPr>
              <w:t>14,000,000</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14,000,000</w:t>
            </w:r>
          </w:p>
        </w:tc>
        <w:tc>
          <w:tcPr>
            <w:tcW w:w="0" w:type="dxa"/>
            <w:vAlign w:val="bottom"/>
          </w:tcPr>
          <w:p>
            <w:pPr>
              <w:spacing w:after="0"/>
              <w:rPr>
                <w:sz w:val="1"/>
                <w:szCs w:val="1"/>
                <w:color w:val="auto"/>
              </w:rPr>
            </w:pPr>
          </w:p>
        </w:tc>
      </w:tr>
      <w:tr>
        <w:trPr>
          <w:trHeight w:val="216"/>
        </w:trPr>
        <w:tc>
          <w:tcPr>
            <w:tcW w:w="8480" w:type="dxa"/>
            <w:vAlign w:val="bottom"/>
          </w:tcPr>
          <w:p>
            <w:pPr>
              <w:spacing w:after="0"/>
              <w:rPr>
                <w:sz w:val="20"/>
                <w:szCs w:val="20"/>
                <w:color w:val="auto"/>
              </w:rPr>
            </w:pPr>
            <w:r>
              <w:rPr>
                <w:rFonts w:ascii="Arial" w:cs="Arial" w:eastAsia="Arial" w:hAnsi="Arial"/>
                <w:sz w:val="18"/>
                <w:szCs w:val="18"/>
                <w:color w:val="auto"/>
              </w:rPr>
              <w:t>Discount on Class D Notes - SIC CLO 2013-1, Ltd.</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2"/>
          </w:tcPr>
          <w:p>
            <w:pPr>
              <w:jc w:val="right"/>
              <w:ind w:right="248"/>
              <w:spacing w:after="0"/>
              <w:rPr>
                <w:sz w:val="20"/>
                <w:szCs w:val="20"/>
                <w:color w:val="auto"/>
              </w:rPr>
            </w:pPr>
            <w:r>
              <w:rPr>
                <w:rFonts w:ascii="Arial" w:cs="Arial" w:eastAsia="Arial" w:hAnsi="Arial"/>
                <w:sz w:val="18"/>
                <w:szCs w:val="18"/>
                <w:color w:val="auto"/>
              </w:rPr>
              <w:t>(741,825)</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(814,013)</w:t>
            </w:r>
          </w:p>
        </w:tc>
        <w:tc>
          <w:tcPr>
            <w:tcW w:w="0" w:type="dxa"/>
            <w:vAlign w:val="bottom"/>
          </w:tcPr>
          <w:p>
            <w:pPr>
              <w:spacing w:after="0"/>
              <w:rPr>
                <w:sz w:val="1"/>
                <w:szCs w:val="1"/>
                <w:color w:val="auto"/>
              </w:rPr>
            </w:pPr>
          </w:p>
        </w:tc>
      </w:tr>
      <w:tr>
        <w:trPr>
          <w:trHeight w:val="216"/>
        </w:trPr>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Class E Notes - SIC CLO 2013-1, Ltd.</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08"/>
              <w:spacing w:after="0"/>
              <w:rPr>
                <w:sz w:val="20"/>
                <w:szCs w:val="20"/>
                <w:color w:val="auto"/>
              </w:rPr>
            </w:pPr>
            <w:r>
              <w:rPr>
                <w:rFonts w:ascii="Arial" w:cs="Arial" w:eastAsia="Arial" w:hAnsi="Arial"/>
                <w:sz w:val="18"/>
                <w:szCs w:val="18"/>
                <w:color w:val="auto"/>
              </w:rPr>
              <w:t>13,100,000</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13,100,000</w:t>
            </w:r>
          </w:p>
        </w:tc>
        <w:tc>
          <w:tcPr>
            <w:tcW w:w="0" w:type="dxa"/>
            <w:vAlign w:val="bottom"/>
          </w:tcPr>
          <w:p>
            <w:pPr>
              <w:spacing w:after="0"/>
              <w:rPr>
                <w:sz w:val="1"/>
                <w:szCs w:val="1"/>
                <w:color w:val="auto"/>
              </w:rPr>
            </w:pPr>
          </w:p>
        </w:tc>
      </w:tr>
      <w:tr>
        <w:trPr>
          <w:trHeight w:val="216"/>
        </w:trPr>
        <w:tc>
          <w:tcPr>
            <w:tcW w:w="8480" w:type="dxa"/>
            <w:vAlign w:val="bottom"/>
          </w:tcPr>
          <w:p>
            <w:pPr>
              <w:spacing w:after="0"/>
              <w:rPr>
                <w:sz w:val="20"/>
                <w:szCs w:val="20"/>
                <w:color w:val="auto"/>
              </w:rPr>
            </w:pPr>
            <w:r>
              <w:rPr>
                <w:rFonts w:ascii="Arial" w:cs="Arial" w:eastAsia="Arial" w:hAnsi="Arial"/>
                <w:sz w:val="18"/>
                <w:szCs w:val="18"/>
                <w:color w:val="auto"/>
              </w:rPr>
              <w:t>Discount on Class E Notes - SIC CLO 2013-1, Ltd.</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2"/>
          </w:tcPr>
          <w:p>
            <w:pPr>
              <w:jc w:val="right"/>
              <w:ind w:right="248"/>
              <w:spacing w:after="0"/>
              <w:rPr>
                <w:sz w:val="20"/>
                <w:szCs w:val="20"/>
                <w:color w:val="auto"/>
              </w:rPr>
            </w:pPr>
            <w:r>
              <w:rPr>
                <w:rFonts w:ascii="Arial" w:cs="Arial" w:eastAsia="Arial" w:hAnsi="Arial"/>
                <w:sz w:val="18"/>
                <w:szCs w:val="18"/>
                <w:color w:val="auto"/>
              </w:rPr>
              <w:t>(1,398,556)</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(1,534,650)</w:t>
            </w:r>
          </w:p>
        </w:tc>
        <w:tc>
          <w:tcPr>
            <w:tcW w:w="0" w:type="dxa"/>
            <w:vAlign w:val="bottom"/>
          </w:tcPr>
          <w:p>
            <w:pPr>
              <w:spacing w:after="0"/>
              <w:rPr>
                <w:sz w:val="1"/>
                <w:szCs w:val="1"/>
                <w:color w:val="auto"/>
              </w:rPr>
            </w:pPr>
          </w:p>
        </w:tc>
      </w:tr>
      <w:tr>
        <w:trPr>
          <w:trHeight w:val="216"/>
        </w:trPr>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Class F Notes - SIC CLO 2013-1, Ltd.</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4,500,000</w:t>
            </w:r>
          </w:p>
        </w:tc>
        <w:tc>
          <w:tcPr>
            <w:tcW w:w="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4,500,000</w:t>
            </w:r>
          </w:p>
        </w:tc>
        <w:tc>
          <w:tcPr>
            <w:tcW w:w="0" w:type="dxa"/>
            <w:vAlign w:val="bottom"/>
          </w:tcPr>
          <w:p>
            <w:pPr>
              <w:spacing w:after="0"/>
              <w:rPr>
                <w:sz w:val="1"/>
                <w:szCs w:val="1"/>
                <w:color w:val="auto"/>
              </w:rPr>
            </w:pPr>
          </w:p>
        </w:tc>
      </w:tr>
      <w:tr>
        <w:trPr>
          <w:trHeight w:val="216"/>
        </w:trPr>
        <w:tc>
          <w:tcPr>
            <w:tcW w:w="8480" w:type="dxa"/>
            <w:vAlign w:val="bottom"/>
          </w:tcPr>
          <w:p>
            <w:pPr>
              <w:spacing w:after="0"/>
              <w:rPr>
                <w:sz w:val="20"/>
                <w:szCs w:val="20"/>
                <w:color w:val="auto"/>
              </w:rPr>
            </w:pPr>
            <w:r>
              <w:rPr>
                <w:rFonts w:ascii="Arial" w:cs="Arial" w:eastAsia="Arial" w:hAnsi="Arial"/>
                <w:sz w:val="18"/>
                <w:szCs w:val="18"/>
                <w:color w:val="auto"/>
              </w:rPr>
              <w:t>Discount on Class F Notes - SIC CLO 2013-1, Ltd.</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2"/>
          </w:tcPr>
          <w:p>
            <w:pPr>
              <w:jc w:val="right"/>
              <w:ind w:right="248"/>
              <w:spacing w:after="0"/>
              <w:rPr>
                <w:sz w:val="20"/>
                <w:szCs w:val="20"/>
                <w:color w:val="auto"/>
              </w:rPr>
            </w:pPr>
            <w:r>
              <w:rPr>
                <w:rFonts w:ascii="Arial" w:cs="Arial" w:eastAsia="Arial" w:hAnsi="Arial"/>
                <w:sz w:val="18"/>
                <w:szCs w:val="18"/>
                <w:color w:val="auto"/>
              </w:rPr>
              <w:t>(508,680)</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(558,180)</w:t>
            </w:r>
          </w:p>
        </w:tc>
        <w:tc>
          <w:tcPr>
            <w:tcW w:w="0" w:type="dxa"/>
            <w:vAlign w:val="bottom"/>
          </w:tcPr>
          <w:p>
            <w:pPr>
              <w:spacing w:after="0"/>
              <w:rPr>
                <w:sz w:val="1"/>
                <w:szCs w:val="1"/>
                <w:color w:val="auto"/>
              </w:rPr>
            </w:pPr>
          </w:p>
        </w:tc>
      </w:tr>
      <w:tr>
        <w:trPr>
          <w:trHeight w:val="216"/>
        </w:trPr>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Deferred debt financing costs, SIC CLO 2013-1, Ltd. Notes</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(1,772,813)</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(1,941,595)</w:t>
            </w:r>
          </w:p>
        </w:tc>
        <w:tc>
          <w:tcPr>
            <w:tcW w:w="0" w:type="dxa"/>
            <w:vAlign w:val="bottom"/>
          </w:tcPr>
          <w:p>
            <w:pPr>
              <w:spacing w:after="0"/>
              <w:rPr>
                <w:sz w:val="1"/>
                <w:szCs w:val="1"/>
                <w:color w:val="auto"/>
              </w:rPr>
            </w:pPr>
          </w:p>
        </w:tc>
      </w:tr>
      <w:tr>
        <w:trPr>
          <w:trHeight w:val="223"/>
        </w:trPr>
        <w:tc>
          <w:tcPr>
            <w:tcW w:w="8480" w:type="dxa"/>
            <w:vAlign w:val="bottom"/>
          </w:tcPr>
          <w:p>
            <w:pPr>
              <w:spacing w:after="0"/>
              <w:rPr>
                <w:sz w:val="20"/>
                <w:szCs w:val="20"/>
                <w:color w:val="auto"/>
              </w:rPr>
            </w:pPr>
            <w:r>
              <w:rPr>
                <w:rFonts w:ascii="Arial" w:cs="Arial" w:eastAsia="Arial" w:hAnsi="Arial"/>
                <w:sz w:val="18"/>
                <w:szCs w:val="18"/>
                <w:color w:val="auto"/>
              </w:rPr>
              <w:t>Subordinated Notes</w:t>
            </w:r>
          </w:p>
        </w:tc>
        <w:tc>
          <w:tcPr>
            <w:tcW w:w="1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30,000,000</w:t>
            </w:r>
          </w:p>
        </w:tc>
        <w:tc>
          <w:tcPr>
            <w:tcW w:w="3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30,000,000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liabilities</w:t>
            </w:r>
          </w:p>
        </w:tc>
        <w:tc>
          <w:tcPr>
            <w:tcW w:w="3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308"/>
              <w:spacing w:after="0"/>
              <w:rPr>
                <w:sz w:val="20"/>
                <w:szCs w:val="20"/>
                <w:color w:val="auto"/>
              </w:rPr>
            </w:pPr>
            <w:r>
              <w:rPr>
                <w:rFonts w:ascii="Arial" w:cs="Arial" w:eastAsia="Arial" w:hAnsi="Arial"/>
                <w:sz w:val="18"/>
                <w:szCs w:val="18"/>
                <w:color w:val="auto"/>
                <w:w w:val="95"/>
              </w:rPr>
              <w:t>311,181,069</w:t>
            </w:r>
          </w:p>
        </w:tc>
        <w:tc>
          <w:tcPr>
            <w:tcW w:w="1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1"/>
              </w:rPr>
              <w:t>310,284,545</w:t>
            </w:r>
          </w:p>
        </w:tc>
        <w:tc>
          <w:tcPr>
            <w:tcW w:w="0" w:type="dxa"/>
            <w:vAlign w:val="bottom"/>
          </w:tcPr>
          <w:p>
            <w:pPr>
              <w:spacing w:after="0"/>
              <w:rPr>
                <w:sz w:val="1"/>
                <w:szCs w:val="1"/>
                <w:color w:val="auto"/>
              </w:rPr>
            </w:pPr>
          </w:p>
        </w:tc>
      </w:tr>
      <w:tr>
        <w:trPr>
          <w:trHeight w:val="20"/>
        </w:trPr>
        <w:tc>
          <w:tcPr>
            <w:tcW w:w="8480" w:type="dxa"/>
            <w:vAlign w:val="bottom"/>
            <w:vMerge w:val="restart"/>
          </w:tcPr>
          <w:p>
            <w:pPr>
              <w:spacing w:after="0"/>
              <w:rPr>
                <w:sz w:val="20"/>
                <w:szCs w:val="20"/>
                <w:color w:val="auto"/>
              </w:rPr>
            </w:pPr>
            <w:r>
              <w:rPr>
                <w:rFonts w:ascii="Arial" w:cs="Arial" w:eastAsia="Arial" w:hAnsi="Arial"/>
                <w:sz w:val="18"/>
                <w:szCs w:val="18"/>
                <w:color w:val="auto"/>
              </w:rPr>
              <w:t>Commitments and contingencies</w:t>
            </w: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48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NET ASSETS</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80" w:type="dxa"/>
            <w:vAlign w:val="bottom"/>
          </w:tcPr>
          <w:p>
            <w:pPr>
              <w:spacing w:after="0"/>
              <w:rPr>
                <w:sz w:val="20"/>
                <w:szCs w:val="20"/>
                <w:color w:val="auto"/>
              </w:rPr>
            </w:pPr>
            <w:r>
              <w:rPr>
                <w:rFonts w:ascii="Arial" w:cs="Arial" w:eastAsia="Arial" w:hAnsi="Arial"/>
                <w:sz w:val="18"/>
                <w:szCs w:val="18"/>
                <w:color w:val="auto"/>
                <w:w w:val="92"/>
              </w:rPr>
              <w:t>Ordinary equity, par value $1.00, 250 ordinary shares authorized, 250 and 250 issued and outstanding, respectively</w:t>
            </w:r>
          </w:p>
        </w:tc>
        <w:tc>
          <w:tcPr>
            <w:tcW w:w="36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308"/>
              <w:spacing w:after="0"/>
              <w:rPr>
                <w:sz w:val="20"/>
                <w:szCs w:val="20"/>
                <w:color w:val="auto"/>
              </w:rPr>
            </w:pPr>
            <w:r>
              <w:rPr>
                <w:rFonts w:ascii="Arial" w:cs="Arial" w:eastAsia="Arial" w:hAnsi="Arial"/>
                <w:sz w:val="18"/>
                <w:szCs w:val="18"/>
                <w:color w:val="auto"/>
              </w:rPr>
              <w:t>250</w:t>
            </w:r>
          </w:p>
        </w:tc>
        <w:tc>
          <w:tcPr>
            <w:tcW w:w="18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16"/>
        </w:trPr>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Accumulated loss</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(5,803,411)</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(3,343,488)</w:t>
            </w:r>
          </w:p>
        </w:tc>
        <w:tc>
          <w:tcPr>
            <w:tcW w:w="0" w:type="dxa"/>
            <w:vAlign w:val="bottom"/>
          </w:tcPr>
          <w:p>
            <w:pPr>
              <w:spacing w:after="0"/>
              <w:rPr>
                <w:sz w:val="1"/>
                <w:szCs w:val="1"/>
                <w:color w:val="auto"/>
              </w:rPr>
            </w:pPr>
          </w:p>
        </w:tc>
      </w:tr>
      <w:tr>
        <w:trPr>
          <w:trHeight w:val="216"/>
        </w:trPr>
        <w:tc>
          <w:tcPr>
            <w:tcW w:w="8480" w:type="dxa"/>
            <w:vAlign w:val="bottom"/>
          </w:tcPr>
          <w:p>
            <w:pPr>
              <w:spacing w:after="0"/>
              <w:rPr>
                <w:sz w:val="20"/>
                <w:szCs w:val="20"/>
                <w:color w:val="auto"/>
              </w:rPr>
            </w:pPr>
            <w:r>
              <w:rPr>
                <w:rFonts w:ascii="Arial" w:cs="Arial" w:eastAsia="Arial" w:hAnsi="Arial"/>
                <w:sz w:val="18"/>
                <w:szCs w:val="18"/>
                <w:color w:val="auto"/>
              </w:rPr>
              <w:t>Net loss</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2"/>
          </w:tcPr>
          <w:p>
            <w:pPr>
              <w:jc w:val="right"/>
              <w:ind w:right="248"/>
              <w:spacing w:after="0"/>
              <w:rPr>
                <w:sz w:val="20"/>
                <w:szCs w:val="20"/>
                <w:color w:val="auto"/>
              </w:rPr>
            </w:pPr>
            <w:r>
              <w:rPr>
                <w:rFonts w:ascii="Arial" w:cs="Arial" w:eastAsia="Arial" w:hAnsi="Arial"/>
                <w:sz w:val="18"/>
                <w:szCs w:val="18"/>
                <w:color w:val="auto"/>
              </w:rPr>
              <w:t>(9,916,034)</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(2,459,918)</w:t>
            </w:r>
          </w:p>
        </w:tc>
        <w:tc>
          <w:tcPr>
            <w:tcW w:w="0" w:type="dxa"/>
            <w:vAlign w:val="bottom"/>
          </w:tcPr>
          <w:p>
            <w:pPr>
              <w:spacing w:after="0"/>
              <w:rPr>
                <w:sz w:val="1"/>
                <w:szCs w:val="1"/>
                <w:color w:val="auto"/>
              </w:rPr>
            </w:pPr>
          </w:p>
        </w:tc>
      </w:tr>
      <w:tr>
        <w:trPr>
          <w:trHeight w:val="27"/>
        </w:trPr>
        <w:tc>
          <w:tcPr>
            <w:tcW w:w="8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net assets</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w w:val="99"/>
              </w:rPr>
              <w:t>(15,719,195)</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(5,803,156)</w:t>
            </w:r>
          </w:p>
        </w:tc>
        <w:tc>
          <w:tcPr>
            <w:tcW w:w="0" w:type="dxa"/>
            <w:vAlign w:val="bottom"/>
          </w:tcPr>
          <w:p>
            <w:pPr>
              <w:spacing w:after="0"/>
              <w:rPr>
                <w:sz w:val="1"/>
                <w:szCs w:val="1"/>
                <w:color w:val="auto"/>
              </w:rPr>
            </w:pPr>
          </w:p>
        </w:tc>
      </w:tr>
      <w:tr>
        <w:trPr>
          <w:trHeight w:val="223"/>
        </w:trPr>
        <w:tc>
          <w:tcPr>
            <w:tcW w:w="8480" w:type="dxa"/>
            <w:vAlign w:val="bottom"/>
          </w:tcPr>
          <w:p>
            <w:pPr>
              <w:spacing w:after="0"/>
              <w:rPr>
                <w:sz w:val="20"/>
                <w:szCs w:val="20"/>
                <w:color w:val="auto"/>
              </w:rPr>
            </w:pPr>
            <w:r>
              <w:rPr>
                <w:rFonts w:ascii="Arial" w:cs="Arial" w:eastAsia="Arial" w:hAnsi="Arial"/>
                <w:sz w:val="18"/>
                <w:szCs w:val="18"/>
                <w:color w:val="auto"/>
              </w:rPr>
              <w:t>Total liabilities and net assets</w:t>
            </w:r>
          </w:p>
        </w:tc>
        <w:tc>
          <w:tcPr>
            <w:tcW w:w="18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295,461,874</w:t>
            </w:r>
          </w:p>
        </w:tc>
        <w:tc>
          <w:tcPr>
            <w:tcW w:w="3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304,481,389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480" w:type="dxa"/>
            <w:vAlign w:val="bottom"/>
            <w:vMerge w:val="restart"/>
          </w:tcPr>
          <w:p>
            <w:pPr>
              <w:ind w:left="5620"/>
              <w:spacing w:after="0"/>
              <w:rPr>
                <w:sz w:val="20"/>
                <w:szCs w:val="20"/>
                <w:color w:val="auto"/>
              </w:rPr>
            </w:pPr>
            <w:r>
              <w:rPr>
                <w:rFonts w:ascii="Arial" w:cs="Arial" w:eastAsia="Arial" w:hAnsi="Arial"/>
                <w:sz w:val="18"/>
                <w:szCs w:val="18"/>
                <w:color w:val="auto"/>
              </w:rPr>
              <w:t>23</w:t>
            </w: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848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Saratoga Investment Corp. CLO 2013-1, Ltd.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420" w:type="dxa"/>
            <w:vAlign w:val="bottom"/>
            <w:gridSpan w:val="4"/>
          </w:tcPr>
          <w:p>
            <w:pPr>
              <w:jc w:val="right"/>
              <w:ind w:right="440"/>
              <w:spacing w:after="0"/>
              <w:rPr>
                <w:sz w:val="20"/>
                <w:szCs w:val="20"/>
                <w:color w:val="auto"/>
              </w:rPr>
            </w:pPr>
            <w:r>
              <w:rPr>
                <w:rFonts w:ascii="Arial" w:cs="Arial" w:eastAsia="Arial" w:hAnsi="Arial"/>
                <w:sz w:val="14"/>
                <w:szCs w:val="14"/>
                <w:b w:val="1"/>
                <w:bCs w:val="1"/>
                <w:color w:val="auto"/>
              </w:rPr>
              <w:t>For the three months ended</w:t>
            </w:r>
          </w:p>
        </w:tc>
        <w:tc>
          <w:tcPr>
            <w:tcW w:w="80" w:type="dxa"/>
            <w:vAlign w:val="bottom"/>
          </w:tcPr>
          <w:p>
            <w:pPr>
              <w:spacing w:after="0"/>
              <w:rPr>
                <w:sz w:val="14"/>
                <w:szCs w:val="14"/>
                <w:color w:val="auto"/>
              </w:rPr>
            </w:pPr>
          </w:p>
        </w:tc>
        <w:tc>
          <w:tcPr>
            <w:tcW w:w="2220" w:type="dxa"/>
            <w:vAlign w:val="bottom"/>
            <w:gridSpan w:val="6"/>
          </w:tcPr>
          <w:p>
            <w:pPr>
              <w:jc w:val="right"/>
              <w:ind w:right="300"/>
              <w:spacing w:after="0"/>
              <w:rPr>
                <w:sz w:val="20"/>
                <w:szCs w:val="20"/>
                <w:color w:val="auto"/>
              </w:rPr>
            </w:pPr>
            <w:r>
              <w:rPr>
                <w:rFonts w:ascii="Arial" w:cs="Arial" w:eastAsia="Arial" w:hAnsi="Arial"/>
                <w:sz w:val="14"/>
                <w:szCs w:val="14"/>
                <w:b w:val="1"/>
                <w:bCs w:val="1"/>
                <w:color w:val="auto"/>
              </w:rPr>
              <w:t>For the nine months ended</w:t>
            </w:r>
          </w:p>
        </w:tc>
        <w:tc>
          <w:tcPr>
            <w:tcW w:w="0" w:type="dxa"/>
            <w:vAlign w:val="bottom"/>
          </w:tcPr>
          <w:p>
            <w:pPr>
              <w:spacing w:after="0"/>
              <w:rPr>
                <w:sz w:val="1"/>
                <w:szCs w:val="1"/>
                <w:color w:val="auto"/>
              </w:rPr>
            </w:pPr>
          </w:p>
        </w:tc>
      </w:tr>
      <w:tr>
        <w:trPr>
          <w:trHeight w:val="171"/>
        </w:trPr>
        <w:tc>
          <w:tcPr>
            <w:tcW w:w="55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420" w:type="dxa"/>
            <w:vAlign w:val="bottom"/>
            <w:gridSpan w:val="4"/>
          </w:tcPr>
          <w:p>
            <w:pPr>
              <w:jc w:val="right"/>
              <w:ind w:right="880"/>
              <w:spacing w:after="0"/>
              <w:rPr>
                <w:sz w:val="20"/>
                <w:szCs w:val="20"/>
                <w:color w:val="auto"/>
              </w:rPr>
            </w:pPr>
            <w:r>
              <w:rPr>
                <w:rFonts w:ascii="Arial" w:cs="Arial" w:eastAsia="Arial" w:hAnsi="Arial"/>
                <w:sz w:val="14"/>
                <w:szCs w:val="14"/>
                <w:b w:val="1"/>
                <w:bCs w:val="1"/>
                <w:color w:val="auto"/>
              </w:rPr>
              <w:t>November 30</w:t>
            </w:r>
          </w:p>
        </w:tc>
        <w:tc>
          <w:tcPr>
            <w:tcW w:w="80" w:type="dxa"/>
            <w:vAlign w:val="bottom"/>
          </w:tcPr>
          <w:p>
            <w:pPr>
              <w:spacing w:after="0"/>
              <w:rPr>
                <w:sz w:val="14"/>
                <w:szCs w:val="14"/>
                <w:color w:val="auto"/>
              </w:rPr>
            </w:pPr>
          </w:p>
        </w:tc>
        <w:tc>
          <w:tcPr>
            <w:tcW w:w="2220" w:type="dxa"/>
            <w:vAlign w:val="bottom"/>
            <w:gridSpan w:val="6"/>
          </w:tcPr>
          <w:p>
            <w:pPr>
              <w:jc w:val="right"/>
              <w:ind w:right="720"/>
              <w:spacing w:after="0"/>
              <w:rPr>
                <w:sz w:val="20"/>
                <w:szCs w:val="20"/>
                <w:color w:val="auto"/>
              </w:rPr>
            </w:pPr>
            <w:r>
              <w:rPr>
                <w:rFonts w:ascii="Arial" w:cs="Arial" w:eastAsia="Arial" w:hAnsi="Arial"/>
                <w:sz w:val="14"/>
                <w:szCs w:val="14"/>
                <w:b w:val="1"/>
                <w:bCs w:val="1"/>
                <w:color w:val="auto"/>
              </w:rPr>
              <w:t>November 30</w:t>
            </w:r>
          </w:p>
        </w:tc>
        <w:tc>
          <w:tcPr>
            <w:tcW w:w="0" w:type="dxa"/>
            <w:vAlign w:val="bottom"/>
          </w:tcPr>
          <w:p>
            <w:pPr>
              <w:spacing w:after="0"/>
              <w:rPr>
                <w:sz w:val="1"/>
                <w:szCs w:val="1"/>
                <w:color w:val="auto"/>
              </w:rPr>
            </w:pPr>
          </w:p>
        </w:tc>
      </w:tr>
      <w:tr>
        <w:trPr>
          <w:trHeight w:val="142"/>
        </w:trPr>
        <w:tc>
          <w:tcPr>
            <w:tcW w:w="5500" w:type="dxa"/>
            <w:vAlign w:val="bottom"/>
            <w:tcBorders>
              <w:bottom w:val="single" w:sz="8" w:color="CCEEFF"/>
            </w:tcBorders>
          </w:tcPr>
          <w:p>
            <w:pPr>
              <w:spacing w:after="0"/>
              <w:rPr>
                <w:sz w:val="12"/>
                <w:szCs w:val="12"/>
                <w:color w:val="auto"/>
              </w:rPr>
            </w:pPr>
          </w:p>
        </w:tc>
        <w:tc>
          <w:tcPr>
            <w:tcW w:w="1200" w:type="dxa"/>
            <w:vAlign w:val="bottom"/>
            <w:tcBorders>
              <w:bottom w:val="single" w:sz="8" w:color="CCEEFF"/>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216"/>
              <w:spacing w:after="0" w:line="142" w:lineRule="exact"/>
              <w:rPr>
                <w:sz w:val="20"/>
                <w:szCs w:val="20"/>
                <w:color w:val="auto"/>
              </w:rPr>
            </w:pPr>
            <w:r>
              <w:rPr>
                <w:rFonts w:ascii="Arial" w:cs="Arial" w:eastAsia="Arial" w:hAnsi="Arial"/>
                <w:sz w:val="14"/>
                <w:szCs w:val="14"/>
                <w:b w:val="1"/>
                <w:bCs w:val="1"/>
                <w:color w:val="auto"/>
              </w:rPr>
              <w:t>2015</w:t>
            </w:r>
          </w:p>
        </w:tc>
        <w:tc>
          <w:tcPr>
            <w:tcW w:w="320" w:type="dxa"/>
            <w:vAlign w:val="bottom"/>
            <w:tcBorders>
              <w:top w:val="single" w:sz="8" w:color="auto"/>
              <w:bottom w:val="single" w:sz="8" w:color="CCEEFF"/>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191"/>
              <w:spacing w:after="0" w:line="142" w:lineRule="exact"/>
              <w:rPr>
                <w:sz w:val="20"/>
                <w:szCs w:val="20"/>
                <w:color w:val="auto"/>
              </w:rPr>
            </w:pPr>
            <w:r>
              <w:rPr>
                <w:rFonts w:ascii="Arial" w:cs="Arial" w:eastAsia="Arial" w:hAnsi="Arial"/>
                <w:sz w:val="14"/>
                <w:szCs w:val="14"/>
                <w:b w:val="1"/>
                <w:bCs w:val="1"/>
                <w:color w:val="auto"/>
              </w:rPr>
              <w:t>2014</w:t>
            </w:r>
          </w:p>
        </w:tc>
        <w:tc>
          <w:tcPr>
            <w:tcW w:w="34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253"/>
              <w:spacing w:after="0" w:line="142" w:lineRule="exact"/>
              <w:rPr>
                <w:sz w:val="20"/>
                <w:szCs w:val="20"/>
                <w:color w:val="auto"/>
              </w:rPr>
            </w:pPr>
            <w:r>
              <w:rPr>
                <w:rFonts w:ascii="Arial" w:cs="Arial" w:eastAsia="Arial" w:hAnsi="Arial"/>
                <w:sz w:val="14"/>
                <w:szCs w:val="14"/>
                <w:b w:val="1"/>
                <w:bCs w:val="1"/>
                <w:color w:val="auto"/>
              </w:rPr>
              <w:t>2015</w:t>
            </w:r>
          </w:p>
        </w:tc>
        <w:tc>
          <w:tcPr>
            <w:tcW w:w="20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55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INVESTMENT INCOME</w:t>
            </w:r>
          </w:p>
        </w:tc>
        <w:tc>
          <w:tcPr>
            <w:tcW w:w="1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Interest from investments</w:t>
            </w:r>
          </w:p>
        </w:tc>
        <w:tc>
          <w:tcPr>
            <w:tcW w:w="2080" w:type="dxa"/>
            <w:vAlign w:val="bottom"/>
            <w:gridSpan w:val="2"/>
          </w:tcPr>
          <w:p>
            <w:pPr>
              <w:jc w:val="right"/>
              <w:spacing w:after="0"/>
              <w:rPr>
                <w:sz w:val="20"/>
                <w:szCs w:val="20"/>
                <w:color w:val="auto"/>
              </w:rPr>
            </w:pPr>
            <w:r>
              <w:rPr>
                <w:rFonts w:ascii="Arial" w:cs="Arial" w:eastAsia="Arial" w:hAnsi="Arial"/>
                <w:sz w:val="18"/>
                <w:szCs w:val="18"/>
                <w:color w:val="auto"/>
              </w:rPr>
              <w:t>$ 3,559,889</w:t>
            </w:r>
          </w:p>
        </w:tc>
        <w:tc>
          <w:tcPr>
            <w:tcW w:w="3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0"/>
              </w:rPr>
              <w:t>$ 3,353,937</w:t>
            </w:r>
          </w:p>
        </w:tc>
        <w:tc>
          <w:tcPr>
            <w:tcW w:w="34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w w:val="95"/>
              </w:rPr>
              <w:t>10,711,063</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9,834,775</w:t>
            </w: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Interest from cash and cash equivalents</w:t>
            </w:r>
          </w:p>
        </w:tc>
        <w:tc>
          <w:tcPr>
            <w:tcW w:w="24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158</w:t>
            </w: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344</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663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1,182</w:t>
            </w:r>
          </w:p>
        </w:tc>
        <w:tc>
          <w:tcPr>
            <w:tcW w:w="0" w:type="dxa"/>
            <w:vAlign w:val="bottom"/>
          </w:tcPr>
          <w:p>
            <w:pPr>
              <w:spacing w:after="0"/>
              <w:rPr>
                <w:sz w:val="1"/>
                <w:szCs w:val="1"/>
                <w:color w:val="auto"/>
              </w:rPr>
            </w:pP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Other income</w:t>
            </w:r>
          </w:p>
        </w:tc>
        <w:tc>
          <w:tcPr>
            <w:tcW w:w="120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14,064</w:t>
            </w: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55,362</w:t>
            </w:r>
          </w:p>
        </w:tc>
        <w:tc>
          <w:tcPr>
            <w:tcW w:w="8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248,057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196,292</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investment income</w:t>
            </w:r>
          </w:p>
        </w:tc>
        <w:tc>
          <w:tcPr>
            <w:tcW w:w="1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3,574,111</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3,409,643</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10,959,783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8"/>
              </w:rPr>
              <w:t>10,032,249</w:t>
            </w:r>
          </w:p>
        </w:tc>
        <w:tc>
          <w:tcPr>
            <w:tcW w:w="0" w:type="dxa"/>
            <w:vAlign w:val="bottom"/>
          </w:tcPr>
          <w:p>
            <w:pPr>
              <w:spacing w:after="0"/>
              <w:rPr>
                <w:sz w:val="1"/>
                <w:szCs w:val="1"/>
                <w:color w:val="auto"/>
              </w:rPr>
            </w:pPr>
          </w:p>
        </w:tc>
      </w:tr>
      <w:tr>
        <w:trPr>
          <w:trHeight w:val="223"/>
        </w:trPr>
        <w:tc>
          <w:tcPr>
            <w:tcW w:w="5500" w:type="dxa"/>
            <w:vAlign w:val="bottom"/>
          </w:tcPr>
          <w:p>
            <w:pPr>
              <w:spacing w:after="0"/>
              <w:rPr>
                <w:sz w:val="20"/>
                <w:szCs w:val="20"/>
                <w:color w:val="auto"/>
              </w:rPr>
            </w:pPr>
            <w:r>
              <w:rPr>
                <w:rFonts w:ascii="Arial" w:cs="Arial" w:eastAsia="Arial" w:hAnsi="Arial"/>
                <w:sz w:val="18"/>
                <w:szCs w:val="18"/>
                <w:color w:val="auto"/>
              </w:rPr>
              <w:t>EXPENSES</w:t>
            </w:r>
          </w:p>
        </w:tc>
        <w:tc>
          <w:tcPr>
            <w:tcW w:w="1200" w:type="dxa"/>
            <w:vAlign w:val="bottom"/>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2,912,974</w:t>
            </w: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2,831,770</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8,772,617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6,955,909</w:t>
            </w:r>
          </w:p>
        </w:tc>
        <w:tc>
          <w:tcPr>
            <w:tcW w:w="0" w:type="dxa"/>
            <w:vAlign w:val="bottom"/>
          </w:tcPr>
          <w:p>
            <w:pPr>
              <w:spacing w:after="0"/>
              <w:rPr>
                <w:sz w:val="1"/>
                <w:szCs w:val="1"/>
                <w:color w:val="auto"/>
              </w:rPr>
            </w:pP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Professional fees</w:t>
            </w:r>
          </w:p>
        </w:tc>
        <w:tc>
          <w:tcPr>
            <w:tcW w:w="2400" w:type="dxa"/>
            <w:vAlign w:val="bottom"/>
            <w:gridSpan w:val="3"/>
          </w:tcPr>
          <w:p>
            <w:pPr>
              <w:jc w:val="right"/>
              <w:ind w:right="240"/>
              <w:spacing w:after="0"/>
              <w:rPr>
                <w:sz w:val="20"/>
                <w:szCs w:val="20"/>
                <w:color w:val="auto"/>
              </w:rPr>
            </w:pPr>
            <w:r>
              <w:rPr>
                <w:rFonts w:ascii="Arial" w:cs="Arial" w:eastAsia="Arial" w:hAnsi="Arial"/>
                <w:sz w:val="18"/>
                <w:szCs w:val="18"/>
                <w:color w:val="auto"/>
              </w:rPr>
              <w:t>66,203</w:t>
            </w: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43,547</w:t>
            </w:r>
          </w:p>
        </w:tc>
        <w:tc>
          <w:tcPr>
            <w:tcW w:w="8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178,602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137,907</w:t>
            </w: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Miscellaneous fee expense</w:t>
            </w:r>
          </w:p>
        </w:tc>
        <w:tc>
          <w:tcPr>
            <w:tcW w:w="24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9,758</w:t>
            </w: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6,734</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20,446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33,130</w:t>
            </w:r>
          </w:p>
        </w:tc>
        <w:tc>
          <w:tcPr>
            <w:tcW w:w="0" w:type="dxa"/>
            <w:vAlign w:val="bottom"/>
          </w:tcPr>
          <w:p>
            <w:pPr>
              <w:spacing w:after="0"/>
              <w:rPr>
                <w:sz w:val="1"/>
                <w:szCs w:val="1"/>
                <w:color w:val="auto"/>
              </w:rPr>
            </w:pP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Base management fee</w:t>
            </w:r>
          </w:p>
        </w:tc>
        <w:tc>
          <w:tcPr>
            <w:tcW w:w="2400" w:type="dxa"/>
            <w:vAlign w:val="bottom"/>
            <w:gridSpan w:val="3"/>
          </w:tcPr>
          <w:p>
            <w:pPr>
              <w:jc w:val="right"/>
              <w:ind w:right="240"/>
              <w:spacing w:after="0"/>
              <w:rPr>
                <w:sz w:val="20"/>
                <w:szCs w:val="20"/>
                <w:color w:val="auto"/>
              </w:rPr>
            </w:pPr>
            <w:r>
              <w:rPr>
                <w:rFonts w:ascii="Arial" w:cs="Arial" w:eastAsia="Arial" w:hAnsi="Arial"/>
                <w:sz w:val="18"/>
                <w:szCs w:val="18"/>
                <w:color w:val="auto"/>
              </w:rPr>
              <w:t>184,694</w:t>
            </w: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191,505</w:t>
            </w:r>
          </w:p>
        </w:tc>
        <w:tc>
          <w:tcPr>
            <w:tcW w:w="8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560,643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575,252</w:t>
            </w: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Subordinated management fee</w:t>
            </w:r>
          </w:p>
        </w:tc>
        <w:tc>
          <w:tcPr>
            <w:tcW w:w="24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184,694</w:t>
            </w: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191,505</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560,643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575,252</w:t>
            </w:r>
          </w:p>
        </w:tc>
        <w:tc>
          <w:tcPr>
            <w:tcW w:w="0" w:type="dxa"/>
            <w:vAlign w:val="bottom"/>
          </w:tcPr>
          <w:p>
            <w:pPr>
              <w:spacing w:after="0"/>
              <w:rPr>
                <w:sz w:val="1"/>
                <w:szCs w:val="1"/>
                <w:color w:val="auto"/>
              </w:rPr>
            </w:pP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Trustee expenses</w:t>
            </w:r>
          </w:p>
        </w:tc>
        <w:tc>
          <w:tcPr>
            <w:tcW w:w="2400" w:type="dxa"/>
            <w:vAlign w:val="bottom"/>
            <w:gridSpan w:val="3"/>
          </w:tcPr>
          <w:p>
            <w:pPr>
              <w:jc w:val="right"/>
              <w:ind w:right="240"/>
              <w:spacing w:after="0"/>
              <w:rPr>
                <w:sz w:val="20"/>
                <w:szCs w:val="20"/>
                <w:color w:val="auto"/>
              </w:rPr>
            </w:pPr>
            <w:r>
              <w:rPr>
                <w:rFonts w:ascii="Arial" w:cs="Arial" w:eastAsia="Arial" w:hAnsi="Arial"/>
                <w:sz w:val="18"/>
                <w:szCs w:val="18"/>
                <w:color w:val="auto"/>
              </w:rPr>
              <w:t>26,528</w:t>
            </w: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36,314</w:t>
            </w:r>
          </w:p>
        </w:tc>
        <w:tc>
          <w:tcPr>
            <w:tcW w:w="8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94,549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90,242</w:t>
            </w: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Amortization expense</w:t>
            </w:r>
          </w:p>
        </w:tc>
        <w:tc>
          <w:tcPr>
            <w:tcW w:w="24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237,966</w:t>
            </w: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237,966</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717,892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717,892</w:t>
            </w:r>
          </w:p>
        </w:tc>
        <w:tc>
          <w:tcPr>
            <w:tcW w:w="0" w:type="dxa"/>
            <w:vAlign w:val="bottom"/>
          </w:tcPr>
          <w:p>
            <w:pPr>
              <w:spacing w:after="0"/>
              <w:rPr>
                <w:sz w:val="1"/>
                <w:szCs w:val="1"/>
                <w:color w:val="auto"/>
              </w:rPr>
            </w:pPr>
          </w:p>
        </w:tc>
      </w:tr>
      <w:tr>
        <w:trPr>
          <w:trHeight w:val="230"/>
        </w:trPr>
        <w:tc>
          <w:tcPr>
            <w:tcW w:w="5500" w:type="dxa"/>
            <w:vAlign w:val="bottom"/>
          </w:tcPr>
          <w:p>
            <w:pPr>
              <w:ind w:left="360"/>
              <w:spacing w:after="0"/>
              <w:rPr>
                <w:sz w:val="20"/>
                <w:szCs w:val="20"/>
                <w:color w:val="auto"/>
              </w:rPr>
            </w:pPr>
            <w:r>
              <w:rPr>
                <w:rFonts w:ascii="Arial" w:cs="Arial" w:eastAsia="Arial" w:hAnsi="Arial"/>
                <w:sz w:val="18"/>
                <w:szCs w:val="18"/>
                <w:color w:val="auto"/>
              </w:rPr>
              <w:t>Total expenses</w:t>
            </w:r>
          </w:p>
        </w:tc>
        <w:tc>
          <w:tcPr>
            <w:tcW w:w="1200" w:type="dxa"/>
            <w:vAlign w:val="bottom"/>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3,622,817</w:t>
            </w:r>
          </w:p>
        </w:tc>
        <w:tc>
          <w:tcPr>
            <w:tcW w:w="320" w:type="dxa"/>
            <w:vAlign w:val="bottom"/>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3,539,341</w:t>
            </w:r>
          </w:p>
        </w:tc>
        <w:tc>
          <w:tcPr>
            <w:tcW w:w="34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10,905,392</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9,085,584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INVESTMENT INCOME (LOSS)</w:t>
            </w:r>
          </w:p>
        </w:tc>
        <w:tc>
          <w:tcPr>
            <w:tcW w:w="24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(48,706)</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(129,698)</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54,391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946,665</w:t>
            </w:r>
          </w:p>
        </w:tc>
        <w:tc>
          <w:tcPr>
            <w:tcW w:w="0" w:type="dxa"/>
            <w:vAlign w:val="bottom"/>
          </w:tcPr>
          <w:p>
            <w:pPr>
              <w:spacing w:after="0"/>
              <w:rPr>
                <w:sz w:val="1"/>
                <w:szCs w:val="1"/>
                <w:color w:val="auto"/>
              </w:rPr>
            </w:pPr>
          </w:p>
        </w:tc>
      </w:tr>
      <w:tr>
        <w:trPr>
          <w:trHeight w:val="223"/>
        </w:trPr>
        <w:tc>
          <w:tcPr>
            <w:tcW w:w="5500" w:type="dxa"/>
            <w:vAlign w:val="bottom"/>
          </w:tcPr>
          <w:p>
            <w:pPr>
              <w:spacing w:after="0"/>
              <w:rPr>
                <w:sz w:val="20"/>
                <w:szCs w:val="20"/>
                <w:color w:val="auto"/>
              </w:rPr>
            </w:pPr>
            <w:r>
              <w:rPr>
                <w:rFonts w:ascii="Arial" w:cs="Arial" w:eastAsia="Arial" w:hAnsi="Arial"/>
                <w:sz w:val="18"/>
                <w:szCs w:val="18"/>
                <w:color w:val="auto"/>
              </w:rPr>
              <w:t>REALIZED AND UNREALIZED GAIN (LOSS) ON INVESTMENTS:</w:t>
            </w:r>
          </w:p>
        </w:tc>
        <w:tc>
          <w:tcPr>
            <w:tcW w:w="1200" w:type="dxa"/>
            <w:vAlign w:val="bottom"/>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Net realized gain on investments</w:t>
            </w:r>
          </w:p>
        </w:tc>
        <w:tc>
          <w:tcPr>
            <w:tcW w:w="24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217,472</w:t>
            </w: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104,158</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349,117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632,728</w:t>
            </w:r>
          </w:p>
        </w:tc>
        <w:tc>
          <w:tcPr>
            <w:tcW w:w="0" w:type="dxa"/>
            <w:vAlign w:val="bottom"/>
          </w:tcPr>
          <w:p>
            <w:pPr>
              <w:spacing w:after="0"/>
              <w:rPr>
                <w:sz w:val="1"/>
                <w:szCs w:val="1"/>
                <w:color w:val="auto"/>
              </w:rPr>
            </w:pP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Net unrealized depreciation on investments</w:t>
            </w:r>
          </w:p>
        </w:tc>
        <w:tc>
          <w:tcPr>
            <w:tcW w:w="120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w w:val="99"/>
              </w:rPr>
              <w:t>(6,609,496)</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(2,167,924)</w:t>
            </w:r>
          </w:p>
        </w:tc>
        <w:tc>
          <w:tcPr>
            <w:tcW w:w="8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w w:val="90"/>
              </w:rPr>
              <w:t>(10,319,542)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w w:val="93"/>
              </w:rPr>
              <w:t>(5,046,535)</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loss on investments</w:t>
            </w:r>
          </w:p>
        </w:tc>
        <w:tc>
          <w:tcPr>
            <w:tcW w:w="1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9"/>
              </w:rPr>
              <w:t>(6,392,024)</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(2,063,766)</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(9,970,425)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3"/>
              </w:rPr>
              <w:t>(4,413,807)</w:t>
            </w:r>
          </w:p>
        </w:tc>
        <w:tc>
          <w:tcPr>
            <w:tcW w:w="0" w:type="dxa"/>
            <w:vAlign w:val="bottom"/>
          </w:tcPr>
          <w:p>
            <w:pPr>
              <w:spacing w:after="0"/>
              <w:rPr>
                <w:sz w:val="1"/>
                <w:szCs w:val="1"/>
                <w:color w:val="auto"/>
              </w:rPr>
            </w:pPr>
          </w:p>
        </w:tc>
      </w:tr>
      <w:tr>
        <w:trPr>
          <w:trHeight w:val="223"/>
        </w:trPr>
        <w:tc>
          <w:tcPr>
            <w:tcW w:w="5500" w:type="dxa"/>
            <w:vAlign w:val="bottom"/>
          </w:tcPr>
          <w:p>
            <w:pPr>
              <w:spacing w:after="0"/>
              <w:rPr>
                <w:sz w:val="20"/>
                <w:szCs w:val="20"/>
                <w:color w:val="auto"/>
              </w:rPr>
            </w:pPr>
            <w:r>
              <w:rPr>
                <w:rFonts w:ascii="Arial" w:cs="Arial" w:eastAsia="Arial" w:hAnsi="Arial"/>
                <w:sz w:val="18"/>
                <w:szCs w:val="18"/>
                <w:color w:val="auto"/>
                <w:w w:val="96"/>
              </w:rPr>
              <w:t>NET DECREASE IN NET ASSETS RESULTING FROM OPERATIONS</w:t>
            </w:r>
          </w:p>
        </w:tc>
        <w:tc>
          <w:tcPr>
            <w:tcW w:w="120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(6,440,730</w:t>
            </w:r>
          </w:p>
        </w:tc>
        <w:tc>
          <w:tcPr>
            <w:tcW w:w="320" w:type="dxa"/>
            <w:vAlign w:val="bottom"/>
          </w:tcPr>
          <w:p>
            <w:pPr>
              <w:jc w:val="right"/>
              <w:ind w:right="180"/>
              <w:spacing w:after="0"/>
              <w:rPr>
                <w:sz w:val="20"/>
                <w:szCs w:val="20"/>
                <w:color w:val="auto"/>
              </w:rPr>
            </w:pPr>
            <w:r>
              <w:rPr>
                <w:rFonts w:ascii="Arial" w:cs="Arial" w:eastAsia="Arial" w:hAnsi="Arial"/>
                <w:sz w:val="16"/>
                <w:szCs w:val="16"/>
                <w:color w:val="auto"/>
                <w:w w:val="74"/>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(2,193,464</w:t>
            </w:r>
          </w:p>
        </w:tc>
        <w:tc>
          <w:tcPr>
            <w:tcW w:w="340" w:type="dxa"/>
            <w:vAlign w:val="bottom"/>
          </w:tcPr>
          <w:p>
            <w:pPr>
              <w:jc w:val="right"/>
              <w:ind w:right="200"/>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(9,916,034</w:t>
            </w:r>
          </w:p>
        </w:tc>
        <w:tc>
          <w:tcPr>
            <w:tcW w:w="200" w:type="dxa"/>
            <w:vAlign w:val="bottom"/>
          </w:tcPr>
          <w:p>
            <w:pPr>
              <w:jc w:val="right"/>
              <w:ind w:right="60"/>
              <w:spacing w:after="0"/>
              <w:rPr>
                <w:sz w:val="20"/>
                <w:szCs w:val="20"/>
                <w:color w:val="auto"/>
              </w:rPr>
            </w:pPr>
            <w:r>
              <w:rPr>
                <w:rFonts w:ascii="Arial" w:cs="Arial" w:eastAsia="Arial" w:hAnsi="Arial"/>
                <w:sz w:val="16"/>
                <w:szCs w:val="16"/>
                <w:color w:val="auto"/>
                <w:w w:val="74"/>
              </w:rPr>
              <w:t>)</w:t>
            </w: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(3,467,142</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1200" w:type="dxa"/>
            <w:vAlign w:val="bottom"/>
            <w:vMerge w:val="restart"/>
          </w:tcPr>
          <w:p>
            <w:pPr>
              <w:jc w:val="right"/>
              <w:ind w:right="810"/>
              <w:spacing w:after="0"/>
              <w:rPr>
                <w:sz w:val="20"/>
                <w:szCs w:val="20"/>
                <w:color w:val="auto"/>
              </w:rPr>
            </w:pPr>
            <w:r>
              <w:rPr>
                <w:rFonts w:ascii="Arial" w:cs="Arial" w:eastAsia="Arial" w:hAnsi="Arial"/>
                <w:sz w:val="18"/>
                <w:szCs w:val="18"/>
                <w:color w:val="auto"/>
              </w:rPr>
              <w:t>24</w:t>
            </w:r>
          </w:p>
        </w:tc>
        <w:tc>
          <w:tcPr>
            <w:tcW w:w="8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5500" w:type="dxa"/>
            <w:vAlign w:val="bottom"/>
          </w:tcPr>
          <w:p>
            <w:pPr>
              <w:spacing w:after="0"/>
              <w:rPr>
                <w:sz w:val="24"/>
                <w:szCs w:val="24"/>
                <w:color w:val="auto"/>
              </w:rPr>
            </w:pPr>
          </w:p>
        </w:tc>
        <w:tc>
          <w:tcPr>
            <w:tcW w:w="1200" w:type="dxa"/>
            <w:vAlign w:val="bottom"/>
            <w:vMerge w:val="continue"/>
          </w:tcPr>
          <w:p>
            <w:pPr>
              <w:spacing w:after="0"/>
              <w:rPr>
                <w:sz w:val="24"/>
                <w:szCs w:val="24"/>
                <w:color w:val="auto"/>
              </w:rPr>
            </w:pP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4" w:name="page25"/>
    <w:bookmarkEnd w:id="24"/>
    <w:p>
      <w:pPr>
        <w:spacing w:after="0" w:line="6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Saratoga Investment Corp. CLO 2013-1 Ltd.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of Investments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November 30, 2015</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Asset</w:t>
            </w:r>
          </w:p>
        </w:tc>
        <w:tc>
          <w:tcPr>
            <w:tcW w:w="7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8"/>
              </w:rPr>
              <w:t>Current</w:t>
            </w:r>
          </w:p>
        </w:tc>
        <w:tc>
          <w:tcPr>
            <w:tcW w:w="8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Maturity</w:t>
            </w:r>
          </w:p>
        </w:tc>
        <w:tc>
          <w:tcPr>
            <w:tcW w:w="800" w:type="dxa"/>
            <w:vAlign w:val="bottom"/>
            <w:gridSpan w:val="3"/>
          </w:tcPr>
          <w:p>
            <w:pPr>
              <w:spacing w:after="0"/>
              <w:rPr>
                <w:sz w:val="20"/>
                <w:szCs w:val="20"/>
                <w:color w:val="auto"/>
              </w:rPr>
            </w:pPr>
            <w:r>
              <w:rPr>
                <w:rFonts w:ascii="Arial" w:cs="Arial" w:eastAsia="Arial" w:hAnsi="Arial"/>
                <w:sz w:val="14"/>
                <w:szCs w:val="14"/>
                <w:b w:val="1"/>
                <w:bCs w:val="1"/>
                <w:color w:val="auto"/>
              </w:rPr>
              <w:t>Principal/</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780" w:type="dxa"/>
            <w:vAlign w:val="bottom"/>
            <w:vMerge w:val="restart"/>
          </w:tcPr>
          <w:p>
            <w:pPr>
              <w:spacing w:after="0"/>
              <w:rPr>
                <w:sz w:val="20"/>
                <w:szCs w:val="20"/>
                <w:color w:val="auto"/>
              </w:rPr>
            </w:pPr>
            <w:r>
              <w:rPr>
                <w:rFonts w:ascii="Arial" w:cs="Arial" w:eastAsia="Arial" w:hAnsi="Arial"/>
                <w:sz w:val="14"/>
                <w:szCs w:val="14"/>
                <w:b w:val="1"/>
                <w:bCs w:val="1"/>
                <w:color w:val="auto"/>
                <w:w w:val="91"/>
              </w:rPr>
              <w:t>Issuer Name</w:t>
            </w:r>
          </w:p>
        </w:tc>
        <w:tc>
          <w:tcPr>
            <w:tcW w:w="1420" w:type="dxa"/>
            <w:vAlign w:val="bottom"/>
            <w:vMerge w:val="restart"/>
          </w:tcPr>
          <w:p>
            <w:pPr>
              <w:spacing w:after="0"/>
              <w:rPr>
                <w:sz w:val="12"/>
                <w:szCs w:val="12"/>
                <w:color w:val="auto"/>
              </w:rPr>
            </w:pPr>
          </w:p>
        </w:tc>
        <w:tc>
          <w:tcPr>
            <w:tcW w:w="100" w:type="dxa"/>
            <w:vAlign w:val="bottom"/>
          </w:tcPr>
          <w:p>
            <w:pPr>
              <w:spacing w:after="0"/>
              <w:rPr>
                <w:sz w:val="12"/>
                <w:szCs w:val="12"/>
                <w:color w:val="auto"/>
              </w:rPr>
            </w:pPr>
          </w:p>
        </w:tc>
        <w:tc>
          <w:tcPr>
            <w:tcW w:w="2260" w:type="dxa"/>
            <w:vAlign w:val="bottom"/>
            <w:vMerge w:val="restart"/>
          </w:tcPr>
          <w:p>
            <w:pPr>
              <w:ind w:left="860"/>
              <w:spacing w:after="0"/>
              <w:rPr>
                <w:sz w:val="20"/>
                <w:szCs w:val="20"/>
                <w:color w:val="auto"/>
              </w:rPr>
            </w:pPr>
            <w:r>
              <w:rPr>
                <w:rFonts w:ascii="Arial" w:cs="Arial" w:eastAsia="Arial" w:hAnsi="Arial"/>
                <w:sz w:val="14"/>
                <w:szCs w:val="14"/>
                <w:b w:val="1"/>
                <w:bCs w:val="1"/>
                <w:color w:val="auto"/>
              </w:rPr>
              <w:t>Industry</w:t>
            </w:r>
          </w:p>
        </w:tc>
        <w:tc>
          <w:tcPr>
            <w:tcW w:w="100" w:type="dxa"/>
            <w:vAlign w:val="bottom"/>
            <w:vMerge w:val="restart"/>
          </w:tcPr>
          <w:p>
            <w:pPr>
              <w:spacing w:after="0"/>
              <w:rPr>
                <w:sz w:val="12"/>
                <w:szCs w:val="12"/>
                <w:color w:val="auto"/>
              </w:rPr>
            </w:pPr>
          </w:p>
        </w:tc>
        <w:tc>
          <w:tcPr>
            <w:tcW w:w="2060" w:type="dxa"/>
            <w:vAlign w:val="bottom"/>
            <w:vMerge w:val="restart"/>
          </w:tcPr>
          <w:p>
            <w:pPr>
              <w:ind w:left="680"/>
              <w:spacing w:after="0"/>
              <w:rPr>
                <w:sz w:val="20"/>
                <w:szCs w:val="20"/>
                <w:color w:val="auto"/>
              </w:rPr>
            </w:pPr>
            <w:r>
              <w:rPr>
                <w:rFonts w:ascii="Arial" w:cs="Arial" w:eastAsia="Arial" w:hAnsi="Arial"/>
                <w:sz w:val="14"/>
                <w:szCs w:val="14"/>
                <w:b w:val="1"/>
                <w:bCs w:val="1"/>
                <w:color w:val="auto"/>
              </w:rPr>
              <w:t>Asset Name</w:t>
            </w:r>
          </w:p>
        </w:tc>
        <w:tc>
          <w:tcPr>
            <w:tcW w:w="100" w:type="dxa"/>
            <w:vAlign w:val="bottom"/>
            <w:vMerge w:val="restart"/>
          </w:tcPr>
          <w:p>
            <w:pPr>
              <w:spacing w:after="0"/>
              <w:rPr>
                <w:sz w:val="12"/>
                <w:szCs w:val="12"/>
                <w:color w:val="auto"/>
              </w:rPr>
            </w:pPr>
          </w:p>
        </w:tc>
        <w:tc>
          <w:tcPr>
            <w:tcW w:w="480" w:type="dxa"/>
            <w:vAlign w:val="bottom"/>
            <w:gridSpan w:val="2"/>
            <w:vMerge w:val="continue"/>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80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Number</w:t>
            </w:r>
          </w:p>
        </w:tc>
        <w:tc>
          <w:tcPr>
            <w:tcW w:w="120" w:type="dxa"/>
            <w:vAlign w:val="bottom"/>
          </w:tcPr>
          <w:p>
            <w:pPr>
              <w:spacing w:after="0"/>
              <w:rPr>
                <w:sz w:val="12"/>
                <w:szCs w:val="12"/>
                <w:color w:val="auto"/>
              </w:rPr>
            </w:pPr>
          </w:p>
        </w:tc>
        <w:tc>
          <w:tcPr>
            <w:tcW w:w="620" w:type="dxa"/>
            <w:vAlign w:val="bottom"/>
            <w:vMerge w:val="restart"/>
          </w:tcPr>
          <w:p>
            <w:pPr>
              <w:jc w:val="right"/>
              <w:ind w:right="172"/>
              <w:spacing w:after="0"/>
              <w:rPr>
                <w:sz w:val="20"/>
                <w:szCs w:val="20"/>
                <w:color w:val="auto"/>
              </w:rPr>
            </w:pPr>
            <w:r>
              <w:rPr>
                <w:rFonts w:ascii="Arial" w:cs="Arial" w:eastAsia="Arial" w:hAnsi="Arial"/>
                <w:sz w:val="14"/>
                <w:szCs w:val="14"/>
                <w:b w:val="1"/>
                <w:bCs w:val="1"/>
                <w:color w:val="auto"/>
              </w:rPr>
              <w:t>Cost</w:t>
            </w:r>
          </w:p>
        </w:tc>
        <w:tc>
          <w:tcPr>
            <w:tcW w:w="160" w:type="dxa"/>
            <w:vAlign w:val="bottom"/>
          </w:tcPr>
          <w:p>
            <w:pPr>
              <w:spacing w:after="0"/>
              <w:rPr>
                <w:sz w:val="12"/>
                <w:szCs w:val="12"/>
                <w:color w:val="auto"/>
              </w:rPr>
            </w:pPr>
          </w:p>
        </w:tc>
        <w:tc>
          <w:tcPr>
            <w:tcW w:w="7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Fair Value</w:t>
            </w:r>
          </w:p>
        </w:tc>
        <w:tc>
          <w:tcPr>
            <w:tcW w:w="6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780" w:type="dxa"/>
            <w:vAlign w:val="bottom"/>
            <w:tcBorders>
              <w:bottom w:val="single" w:sz="8" w:color="auto"/>
            </w:tcBorders>
            <w:vMerge w:val="continue"/>
          </w:tcPr>
          <w:p>
            <w:pPr>
              <w:spacing w:after="0"/>
              <w:rPr>
                <w:sz w:val="14"/>
                <w:szCs w:val="14"/>
                <w:color w:val="auto"/>
              </w:rPr>
            </w:pPr>
          </w:p>
        </w:tc>
        <w:tc>
          <w:tcPr>
            <w:tcW w:w="1420" w:type="dxa"/>
            <w:vAlign w:val="bottom"/>
            <w:tcBorders>
              <w:bottom w:val="single" w:sz="8" w:color="CCEEFF"/>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26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vMerge w:val="continue"/>
          </w:tcPr>
          <w:p>
            <w:pPr>
              <w:spacing w:after="0"/>
              <w:rPr>
                <w:sz w:val="14"/>
                <w:szCs w:val="14"/>
                <w:color w:val="auto"/>
              </w:rPr>
            </w:pPr>
          </w:p>
        </w:tc>
        <w:tc>
          <w:tcPr>
            <w:tcW w:w="206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vMerge w:val="continue"/>
          </w:tcPr>
          <w:p>
            <w:pPr>
              <w:spacing w:after="0"/>
              <w:rPr>
                <w:sz w:val="14"/>
                <w:szCs w:val="14"/>
                <w:color w:val="auto"/>
              </w:rPr>
            </w:pPr>
          </w:p>
        </w:tc>
        <w:tc>
          <w:tcPr>
            <w:tcW w:w="3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w w:val="97"/>
              </w:rPr>
              <w:t>Type</w:t>
            </w:r>
          </w:p>
        </w:tc>
        <w:tc>
          <w:tcPr>
            <w:tcW w:w="100" w:type="dxa"/>
            <w:vAlign w:val="bottom"/>
            <w:tcBorders>
              <w:bottom w:val="single" w:sz="8" w:color="CCEEFF"/>
            </w:tcBorders>
          </w:tcPr>
          <w:p>
            <w:pPr>
              <w:spacing w:after="0"/>
              <w:rPr>
                <w:sz w:val="14"/>
                <w:szCs w:val="14"/>
                <w:color w:val="auto"/>
              </w:rPr>
            </w:pPr>
          </w:p>
        </w:tc>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Rate</w:t>
            </w:r>
          </w:p>
        </w:tc>
        <w:tc>
          <w:tcPr>
            <w:tcW w:w="26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Date</w:t>
            </w:r>
          </w:p>
        </w:tc>
        <w:tc>
          <w:tcPr>
            <w:tcW w:w="160" w:type="dxa"/>
            <w:vAlign w:val="bottom"/>
            <w:tcBorders>
              <w:bottom w:val="single" w:sz="8" w:color="CCEEFF"/>
            </w:tcBorders>
          </w:tcPr>
          <w:p>
            <w:pPr>
              <w:spacing w:after="0"/>
              <w:rPr>
                <w:sz w:val="14"/>
                <w:szCs w:val="14"/>
                <w:color w:val="auto"/>
              </w:rPr>
            </w:pPr>
          </w:p>
        </w:tc>
        <w:tc>
          <w:tcPr>
            <w:tcW w:w="6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0"/>
              </w:rPr>
              <w:t>of Shares</w:t>
            </w:r>
          </w:p>
        </w:tc>
        <w:tc>
          <w:tcPr>
            <w:tcW w:w="1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vMerge w:val="continue"/>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760" w:type="dxa"/>
            <w:vAlign w:val="bottom"/>
            <w:tcBorders>
              <w:bottom w:val="single" w:sz="8" w:color="auto"/>
            </w:tcBorders>
            <w:gridSpan w:val="2"/>
            <w:vMerge w:val="continue"/>
          </w:tcPr>
          <w:p>
            <w:pPr>
              <w:spacing w:after="0"/>
              <w:rPr>
                <w:sz w:val="14"/>
                <w:szCs w:val="14"/>
                <w:color w:val="auto"/>
              </w:rPr>
            </w:pPr>
          </w:p>
        </w:tc>
        <w:tc>
          <w:tcPr>
            <w:tcW w:w="60" w:type="dxa"/>
            <w:vAlign w:val="bottom"/>
            <w:tcBorders>
              <w:bottom w:val="single" w:sz="8" w:color="CCEEFF"/>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200" w:type="dxa"/>
            <w:vAlign w:val="bottom"/>
            <w:gridSpan w:val="2"/>
            <w:shd w:val="clear" w:color="auto" w:fill="CCEEFF"/>
          </w:tcPr>
          <w:p>
            <w:pPr>
              <w:spacing w:after="0" w:line="142" w:lineRule="exact"/>
              <w:rPr>
                <w:sz w:val="20"/>
                <w:szCs w:val="20"/>
                <w:color w:val="auto"/>
              </w:rPr>
            </w:pPr>
            <w:r>
              <w:rPr>
                <w:rFonts w:ascii="Arial" w:cs="Arial" w:eastAsia="Arial" w:hAnsi="Arial"/>
                <w:sz w:val="14"/>
                <w:szCs w:val="14"/>
                <w:color w:val="auto"/>
              </w:rPr>
              <w:t>Education Management II LLC</w:t>
            </w:r>
          </w:p>
        </w:tc>
        <w:tc>
          <w:tcPr>
            <w:tcW w:w="100" w:type="dxa"/>
            <w:vAlign w:val="bottom"/>
            <w:shd w:val="clear" w:color="auto" w:fill="CCEEFF"/>
          </w:tcPr>
          <w:p>
            <w:pPr>
              <w:spacing w:after="0"/>
              <w:rPr>
                <w:sz w:val="12"/>
                <w:szCs w:val="12"/>
                <w:color w:val="auto"/>
              </w:rPr>
            </w:pPr>
          </w:p>
        </w:tc>
        <w:tc>
          <w:tcPr>
            <w:tcW w:w="226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Leisure Goods/Activities/Movies</w:t>
            </w:r>
          </w:p>
        </w:tc>
        <w:tc>
          <w:tcPr>
            <w:tcW w:w="100" w:type="dxa"/>
            <w:vAlign w:val="bottom"/>
            <w:shd w:val="clear" w:color="auto" w:fill="CCEEFF"/>
          </w:tcPr>
          <w:p>
            <w:pPr>
              <w:spacing w:after="0"/>
              <w:rPr>
                <w:sz w:val="12"/>
                <w:szCs w:val="12"/>
                <w:color w:val="auto"/>
              </w:rPr>
            </w:pPr>
          </w:p>
        </w:tc>
        <w:tc>
          <w:tcPr>
            <w:tcW w:w="206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A-1 Preferred Shares</w:t>
            </w: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w w:val="92"/>
              </w:rPr>
              <w:t>Equity</w:t>
            </w: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60"/>
              <w:spacing w:after="0" w:line="142" w:lineRule="exact"/>
              <w:rPr>
                <w:sz w:val="20"/>
                <w:szCs w:val="20"/>
                <w:color w:val="auto"/>
              </w:rPr>
            </w:pPr>
            <w:r>
              <w:rPr>
                <w:rFonts w:ascii="Arial" w:cs="Arial" w:eastAsia="Arial" w:hAnsi="Arial"/>
                <w:sz w:val="14"/>
                <w:szCs w:val="14"/>
                <w:color w:val="auto"/>
              </w:rPr>
              <w:t>0.00%</w:t>
            </w: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4,938</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669,214</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6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25,095</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00" w:type="dxa"/>
            <w:vAlign w:val="bottom"/>
            <w:gridSpan w:val="2"/>
          </w:tcPr>
          <w:p>
            <w:pPr>
              <w:spacing w:after="0" w:line="149" w:lineRule="exact"/>
              <w:rPr>
                <w:sz w:val="20"/>
                <w:szCs w:val="20"/>
                <w:color w:val="auto"/>
              </w:rPr>
            </w:pPr>
            <w:r>
              <w:rPr>
                <w:rFonts w:ascii="Arial" w:cs="Arial" w:eastAsia="Arial" w:hAnsi="Arial"/>
                <w:sz w:val="14"/>
                <w:szCs w:val="14"/>
                <w:color w:val="auto"/>
              </w:rPr>
              <w:t>Education Management II LLC</w:t>
            </w:r>
          </w:p>
        </w:tc>
        <w:tc>
          <w:tcPr>
            <w:tcW w:w="246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Leisure Goods/Activities/Movies</w:t>
            </w:r>
          </w:p>
        </w:tc>
        <w:tc>
          <w:tcPr>
            <w:tcW w:w="2160" w:type="dxa"/>
            <w:vAlign w:val="bottom"/>
            <w:gridSpan w:val="2"/>
          </w:tcPr>
          <w:p>
            <w:pPr>
              <w:spacing w:after="0" w:line="149" w:lineRule="exact"/>
              <w:rPr>
                <w:sz w:val="20"/>
                <w:szCs w:val="20"/>
                <w:color w:val="auto"/>
              </w:rPr>
            </w:pPr>
            <w:r>
              <w:rPr>
                <w:rFonts w:ascii="Arial" w:cs="Arial" w:eastAsia="Arial" w:hAnsi="Arial"/>
                <w:sz w:val="14"/>
                <w:szCs w:val="14"/>
                <w:color w:val="auto"/>
              </w:rPr>
              <w:t>A-2 Preferred Shares</w:t>
            </w:r>
          </w:p>
        </w:tc>
        <w:tc>
          <w:tcPr>
            <w:tcW w:w="480" w:type="dxa"/>
            <w:vAlign w:val="bottom"/>
            <w:gridSpan w:val="2"/>
          </w:tcPr>
          <w:p>
            <w:pPr>
              <w:spacing w:after="0" w:line="149" w:lineRule="exact"/>
              <w:rPr>
                <w:sz w:val="20"/>
                <w:szCs w:val="20"/>
                <w:color w:val="auto"/>
              </w:rPr>
            </w:pPr>
            <w:r>
              <w:rPr>
                <w:rFonts w:ascii="Arial" w:cs="Arial" w:eastAsia="Arial" w:hAnsi="Arial"/>
                <w:sz w:val="14"/>
                <w:szCs w:val="14"/>
                <w:color w:val="auto"/>
              </w:rPr>
              <w:t>Equity</w:t>
            </w:r>
          </w:p>
        </w:tc>
        <w:tc>
          <w:tcPr>
            <w:tcW w:w="7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0.00%</w:t>
            </w: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19,801</w:t>
            </w:r>
          </w:p>
        </w:tc>
        <w:tc>
          <w:tcPr>
            <w:tcW w:w="1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w w:val="96"/>
              </w:rPr>
              <w:t>1,897,538</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1,708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24 Hour Holdings III LLC</w:t>
            </w:r>
          </w:p>
        </w:tc>
        <w:tc>
          <w:tcPr>
            <w:tcW w:w="246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Leisure Goods/Activities/Movies</w:t>
            </w:r>
          </w:p>
        </w:tc>
        <w:tc>
          <w:tcPr>
            <w:tcW w:w="21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Term Loan</w:t>
            </w:r>
          </w:p>
        </w:tc>
        <w:tc>
          <w:tcPr>
            <w:tcW w:w="4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Loan</w:t>
            </w:r>
          </w:p>
        </w:tc>
        <w:tc>
          <w:tcPr>
            <w:tcW w:w="7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4.75%</w:t>
            </w: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5/28/2021</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493,750</w:t>
            </w: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489,681</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456,309</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00" w:type="dxa"/>
            <w:vAlign w:val="bottom"/>
            <w:gridSpan w:val="2"/>
          </w:tcPr>
          <w:p>
            <w:pPr>
              <w:spacing w:after="0" w:line="149" w:lineRule="exact"/>
              <w:rPr>
                <w:sz w:val="20"/>
                <w:szCs w:val="20"/>
                <w:color w:val="auto"/>
              </w:rPr>
            </w:pPr>
            <w:r>
              <w:rPr>
                <w:rFonts w:ascii="Arial" w:cs="Arial" w:eastAsia="Arial" w:hAnsi="Arial"/>
                <w:sz w:val="14"/>
                <w:szCs w:val="14"/>
                <w:color w:val="auto"/>
              </w:rPr>
              <w:t>Acosta Holdco Inc.</w:t>
            </w:r>
          </w:p>
        </w:tc>
        <w:tc>
          <w:tcPr>
            <w:tcW w:w="246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Media</w:t>
            </w:r>
          </w:p>
        </w:tc>
        <w:tc>
          <w:tcPr>
            <w:tcW w:w="2160" w:type="dxa"/>
            <w:vAlign w:val="bottom"/>
            <w:gridSpan w:val="2"/>
          </w:tcPr>
          <w:p>
            <w:pPr>
              <w:spacing w:after="0" w:line="149" w:lineRule="exact"/>
              <w:rPr>
                <w:sz w:val="20"/>
                <w:szCs w:val="20"/>
                <w:color w:val="auto"/>
              </w:rPr>
            </w:pPr>
            <w:r>
              <w:rPr>
                <w:rFonts w:ascii="Arial" w:cs="Arial" w:eastAsia="Arial" w:hAnsi="Arial"/>
                <w:sz w:val="14"/>
                <w:szCs w:val="14"/>
                <w:color w:val="auto"/>
              </w:rPr>
              <w:t>Term Loan B1</w:t>
            </w:r>
          </w:p>
        </w:tc>
        <w:tc>
          <w:tcPr>
            <w:tcW w:w="480" w:type="dxa"/>
            <w:vAlign w:val="bottom"/>
            <w:gridSpan w:val="2"/>
          </w:tcPr>
          <w:p>
            <w:pPr>
              <w:spacing w:after="0" w:line="149" w:lineRule="exact"/>
              <w:rPr>
                <w:sz w:val="20"/>
                <w:szCs w:val="20"/>
                <w:color w:val="auto"/>
              </w:rPr>
            </w:pPr>
            <w:r>
              <w:rPr>
                <w:rFonts w:ascii="Arial" w:cs="Arial" w:eastAsia="Arial" w:hAnsi="Arial"/>
                <w:sz w:val="14"/>
                <w:szCs w:val="14"/>
                <w:color w:val="auto"/>
              </w:rPr>
              <w:t>Loan</w:t>
            </w:r>
          </w:p>
        </w:tc>
        <w:tc>
          <w:tcPr>
            <w:tcW w:w="7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4.25%</w:t>
            </w: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9/27/2021</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83"/>
              </w:rPr>
              <w:t>1,980,050</w:t>
            </w:r>
          </w:p>
        </w:tc>
        <w:tc>
          <w:tcPr>
            <w:tcW w:w="1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w w:val="96"/>
              </w:rPr>
              <w:t>1,966,424</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w w:val="96"/>
              </w:rPr>
              <w:t>1,898,017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Aspen Dental Management, Inc.</w:t>
            </w:r>
          </w:p>
        </w:tc>
        <w:tc>
          <w:tcPr>
            <w:tcW w:w="246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Healthcare &amp; Pharmaceuticals</w:t>
            </w:r>
          </w:p>
        </w:tc>
        <w:tc>
          <w:tcPr>
            <w:tcW w:w="21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Term Loan Initial</w:t>
            </w:r>
          </w:p>
        </w:tc>
        <w:tc>
          <w:tcPr>
            <w:tcW w:w="4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Loan</w:t>
            </w:r>
          </w:p>
        </w:tc>
        <w:tc>
          <w:tcPr>
            <w:tcW w:w="7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5.50%</w:t>
            </w: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4/27/2022</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498,750</w:t>
            </w: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496,410</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499,373</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00" w:type="dxa"/>
            <w:vAlign w:val="bottom"/>
            <w:gridSpan w:val="2"/>
          </w:tcPr>
          <w:p>
            <w:pPr>
              <w:spacing w:after="0" w:line="149" w:lineRule="exact"/>
              <w:rPr>
                <w:sz w:val="20"/>
                <w:szCs w:val="20"/>
                <w:color w:val="auto"/>
              </w:rPr>
            </w:pPr>
            <w:r>
              <w:rPr>
                <w:rFonts w:ascii="Arial" w:cs="Arial" w:eastAsia="Arial" w:hAnsi="Arial"/>
                <w:sz w:val="14"/>
                <w:szCs w:val="14"/>
                <w:color w:val="auto"/>
              </w:rPr>
              <w:t>Advantage Sales &amp; Marketing Inc.</w:t>
            </w:r>
          </w:p>
        </w:tc>
        <w:tc>
          <w:tcPr>
            <w:tcW w:w="246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Services: Business</w:t>
            </w:r>
          </w:p>
        </w:tc>
        <w:tc>
          <w:tcPr>
            <w:tcW w:w="2160" w:type="dxa"/>
            <w:vAlign w:val="bottom"/>
            <w:gridSpan w:val="2"/>
          </w:tcPr>
          <w:p>
            <w:pPr>
              <w:spacing w:after="0" w:line="149" w:lineRule="exact"/>
              <w:rPr>
                <w:sz w:val="20"/>
                <w:szCs w:val="20"/>
                <w:color w:val="auto"/>
              </w:rPr>
            </w:pPr>
            <w:r>
              <w:rPr>
                <w:rFonts w:ascii="Arial" w:cs="Arial" w:eastAsia="Arial" w:hAnsi="Arial"/>
                <w:sz w:val="14"/>
                <w:szCs w:val="14"/>
                <w:color w:val="auto"/>
              </w:rPr>
              <w:t>Delayed Draw Term Loan</w:t>
            </w:r>
          </w:p>
        </w:tc>
        <w:tc>
          <w:tcPr>
            <w:tcW w:w="480" w:type="dxa"/>
            <w:vAlign w:val="bottom"/>
            <w:gridSpan w:val="2"/>
          </w:tcPr>
          <w:p>
            <w:pPr>
              <w:spacing w:after="0" w:line="149" w:lineRule="exact"/>
              <w:rPr>
                <w:sz w:val="20"/>
                <w:szCs w:val="20"/>
                <w:color w:val="auto"/>
              </w:rPr>
            </w:pPr>
            <w:r>
              <w:rPr>
                <w:rFonts w:ascii="Arial" w:cs="Arial" w:eastAsia="Arial" w:hAnsi="Arial"/>
                <w:sz w:val="14"/>
                <w:szCs w:val="14"/>
                <w:color w:val="auto"/>
              </w:rPr>
              <w:t>Loan</w:t>
            </w:r>
          </w:p>
        </w:tc>
        <w:tc>
          <w:tcPr>
            <w:tcW w:w="7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4.25%</w:t>
            </w: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7/25/2021</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83"/>
              </w:rPr>
              <w:t>2,477,487</w:t>
            </w:r>
          </w:p>
        </w:tc>
        <w:tc>
          <w:tcPr>
            <w:tcW w:w="1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w w:val="96"/>
              </w:rPr>
              <w:t>2,474,204</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w w:val="96"/>
              </w:rPr>
              <w:t>2,399,372</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AECOM Technology Corporation</w:t>
            </w:r>
          </w:p>
        </w:tc>
        <w:tc>
          <w:tcPr>
            <w:tcW w:w="246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Services: Business</w:t>
            </w:r>
          </w:p>
        </w:tc>
        <w:tc>
          <w:tcPr>
            <w:tcW w:w="21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Term Loan B</w:t>
            </w:r>
          </w:p>
        </w:tc>
        <w:tc>
          <w:tcPr>
            <w:tcW w:w="4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Loan</w:t>
            </w:r>
          </w:p>
        </w:tc>
        <w:tc>
          <w:tcPr>
            <w:tcW w:w="7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3.75%</w:t>
            </w: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91"/>
              </w:rPr>
              <w:t>10/15/2021</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233,293</w:t>
            </w: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232,291</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233,149</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00" w:type="dxa"/>
            <w:vAlign w:val="bottom"/>
            <w:gridSpan w:val="2"/>
          </w:tcPr>
          <w:p>
            <w:pPr>
              <w:spacing w:after="0" w:line="149" w:lineRule="exact"/>
              <w:rPr>
                <w:sz w:val="20"/>
                <w:szCs w:val="20"/>
                <w:color w:val="auto"/>
              </w:rPr>
            </w:pPr>
            <w:r>
              <w:rPr>
                <w:rFonts w:ascii="Arial" w:cs="Arial" w:eastAsia="Arial" w:hAnsi="Arial"/>
                <w:sz w:val="14"/>
                <w:szCs w:val="14"/>
                <w:color w:val="auto"/>
              </w:rPr>
              <w:t>ArgoFresh</w:t>
            </w:r>
          </w:p>
        </w:tc>
        <w:tc>
          <w:tcPr>
            <w:tcW w:w="246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Food Services</w:t>
            </w:r>
          </w:p>
        </w:tc>
        <w:tc>
          <w:tcPr>
            <w:tcW w:w="2160" w:type="dxa"/>
            <w:vAlign w:val="bottom"/>
            <w:gridSpan w:val="2"/>
          </w:tcPr>
          <w:p>
            <w:pPr>
              <w:spacing w:after="0" w:line="149" w:lineRule="exact"/>
              <w:rPr>
                <w:sz w:val="20"/>
                <w:szCs w:val="20"/>
                <w:color w:val="auto"/>
              </w:rPr>
            </w:pPr>
            <w:r>
              <w:rPr>
                <w:rFonts w:ascii="Arial" w:cs="Arial" w:eastAsia="Arial" w:hAnsi="Arial"/>
                <w:sz w:val="14"/>
                <w:szCs w:val="14"/>
                <w:color w:val="auto"/>
              </w:rPr>
              <w:t>Term Loan</w:t>
            </w:r>
          </w:p>
        </w:tc>
        <w:tc>
          <w:tcPr>
            <w:tcW w:w="480" w:type="dxa"/>
            <w:vAlign w:val="bottom"/>
            <w:gridSpan w:val="2"/>
          </w:tcPr>
          <w:p>
            <w:pPr>
              <w:spacing w:after="0" w:line="149" w:lineRule="exact"/>
              <w:rPr>
                <w:sz w:val="20"/>
                <w:szCs w:val="20"/>
                <w:color w:val="auto"/>
              </w:rPr>
            </w:pPr>
            <w:r>
              <w:rPr>
                <w:rFonts w:ascii="Arial" w:cs="Arial" w:eastAsia="Arial" w:hAnsi="Arial"/>
                <w:sz w:val="14"/>
                <w:szCs w:val="14"/>
                <w:color w:val="auto"/>
              </w:rPr>
              <w:t>Loan</w:t>
            </w:r>
          </w:p>
        </w:tc>
        <w:tc>
          <w:tcPr>
            <w:tcW w:w="7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5.75%</w:t>
            </w: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7/30/2021</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83"/>
              </w:rPr>
              <w:t>1,995,000</w:t>
            </w:r>
          </w:p>
        </w:tc>
        <w:tc>
          <w:tcPr>
            <w:tcW w:w="1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w w:val="96"/>
              </w:rPr>
              <w:t>1,985,302</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w w:val="96"/>
              </w:rPr>
              <w:t>1,962,581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w w:val="92"/>
              </w:rPr>
              <w:t>Aegis Toxicology Science Corporation</w:t>
            </w:r>
          </w:p>
        </w:tc>
        <w:tc>
          <w:tcPr>
            <w:tcW w:w="246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Healthcare &amp; Pharmaceuticals</w:t>
            </w:r>
          </w:p>
        </w:tc>
        <w:tc>
          <w:tcPr>
            <w:tcW w:w="21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Term B Loan</w:t>
            </w:r>
          </w:p>
        </w:tc>
        <w:tc>
          <w:tcPr>
            <w:tcW w:w="4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Loan</w:t>
            </w:r>
          </w:p>
        </w:tc>
        <w:tc>
          <w:tcPr>
            <w:tcW w:w="7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5.50%</w:t>
            </w: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2/24/2021</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987,500</w:t>
            </w: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987,500</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809,750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00" w:type="dxa"/>
            <w:vAlign w:val="bottom"/>
            <w:gridSpan w:val="2"/>
          </w:tcPr>
          <w:p>
            <w:pPr>
              <w:spacing w:after="0" w:line="149" w:lineRule="exact"/>
              <w:rPr>
                <w:sz w:val="20"/>
                <w:szCs w:val="20"/>
                <w:color w:val="auto"/>
              </w:rPr>
            </w:pPr>
            <w:r>
              <w:rPr>
                <w:rFonts w:ascii="Arial" w:cs="Arial" w:eastAsia="Arial" w:hAnsi="Arial"/>
                <w:sz w:val="14"/>
                <w:szCs w:val="14"/>
                <w:color w:val="auto"/>
              </w:rPr>
              <w:t>Akorn, Inc.</w:t>
            </w:r>
          </w:p>
        </w:tc>
        <w:tc>
          <w:tcPr>
            <w:tcW w:w="246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Healthcare &amp; Pharmaceuticals</w:t>
            </w:r>
          </w:p>
        </w:tc>
        <w:tc>
          <w:tcPr>
            <w:tcW w:w="2160" w:type="dxa"/>
            <w:vAlign w:val="bottom"/>
            <w:gridSpan w:val="2"/>
          </w:tcPr>
          <w:p>
            <w:pPr>
              <w:spacing w:after="0" w:line="149" w:lineRule="exact"/>
              <w:rPr>
                <w:sz w:val="20"/>
                <w:szCs w:val="20"/>
                <w:color w:val="auto"/>
              </w:rPr>
            </w:pPr>
            <w:r>
              <w:rPr>
                <w:rFonts w:ascii="Arial" w:cs="Arial" w:eastAsia="Arial" w:hAnsi="Arial"/>
                <w:sz w:val="14"/>
                <w:szCs w:val="14"/>
                <w:color w:val="auto"/>
              </w:rPr>
              <w:t>Term Loan B</w:t>
            </w:r>
          </w:p>
        </w:tc>
        <w:tc>
          <w:tcPr>
            <w:tcW w:w="480" w:type="dxa"/>
            <w:vAlign w:val="bottom"/>
            <w:gridSpan w:val="2"/>
          </w:tcPr>
          <w:p>
            <w:pPr>
              <w:spacing w:after="0" w:line="149" w:lineRule="exact"/>
              <w:rPr>
                <w:sz w:val="20"/>
                <w:szCs w:val="20"/>
                <w:color w:val="auto"/>
              </w:rPr>
            </w:pPr>
            <w:r>
              <w:rPr>
                <w:rFonts w:ascii="Arial" w:cs="Arial" w:eastAsia="Arial" w:hAnsi="Arial"/>
                <w:sz w:val="14"/>
                <w:szCs w:val="14"/>
                <w:color w:val="auto"/>
              </w:rPr>
              <w:t>Loan</w:t>
            </w:r>
          </w:p>
        </w:tc>
        <w:tc>
          <w:tcPr>
            <w:tcW w:w="7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6.00%</w:t>
            </w: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4/16/2021</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495,000</w:t>
            </w:r>
          </w:p>
        </w:tc>
        <w:tc>
          <w:tcPr>
            <w:tcW w:w="1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493,207</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472,725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Albertson’s LLC</w:t>
            </w:r>
          </w:p>
        </w:tc>
        <w:tc>
          <w:tcPr>
            <w:tcW w:w="246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Retailers (Except Food and Drugs)</w:t>
            </w:r>
          </w:p>
        </w:tc>
        <w:tc>
          <w:tcPr>
            <w:tcW w:w="21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Term Loan B-4</w:t>
            </w:r>
          </w:p>
        </w:tc>
        <w:tc>
          <w:tcPr>
            <w:tcW w:w="4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Loan</w:t>
            </w:r>
          </w:p>
        </w:tc>
        <w:tc>
          <w:tcPr>
            <w:tcW w:w="7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5.50%</w:t>
            </w: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8/25/2021</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83"/>
              </w:rPr>
              <w:t>3,385,028</w:t>
            </w: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3,367,440</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3,376,160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00" w:type="dxa"/>
            <w:vAlign w:val="bottom"/>
            <w:gridSpan w:val="2"/>
          </w:tcPr>
          <w:p>
            <w:pPr>
              <w:spacing w:after="0" w:line="149" w:lineRule="exact"/>
              <w:rPr>
                <w:sz w:val="20"/>
                <w:szCs w:val="20"/>
                <w:color w:val="auto"/>
              </w:rPr>
            </w:pPr>
            <w:r>
              <w:rPr>
                <w:rFonts w:ascii="Arial" w:cs="Arial" w:eastAsia="Arial" w:hAnsi="Arial"/>
                <w:sz w:val="14"/>
                <w:szCs w:val="14"/>
                <w:color w:val="auto"/>
                <w:w w:val="96"/>
              </w:rPr>
              <w:t>Alere Inc. (fka IM US Holdings, LLC)</w:t>
            </w:r>
          </w:p>
        </w:tc>
        <w:tc>
          <w:tcPr>
            <w:tcW w:w="246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Healthcare &amp; Pharmaceuticals</w:t>
            </w:r>
          </w:p>
        </w:tc>
        <w:tc>
          <w:tcPr>
            <w:tcW w:w="2160" w:type="dxa"/>
            <w:vAlign w:val="bottom"/>
            <w:gridSpan w:val="2"/>
          </w:tcPr>
          <w:p>
            <w:pPr>
              <w:spacing w:after="0" w:line="149" w:lineRule="exact"/>
              <w:rPr>
                <w:sz w:val="20"/>
                <w:szCs w:val="20"/>
                <w:color w:val="auto"/>
              </w:rPr>
            </w:pPr>
            <w:r>
              <w:rPr>
                <w:rFonts w:ascii="Arial" w:cs="Arial" w:eastAsia="Arial" w:hAnsi="Arial"/>
                <w:sz w:val="14"/>
                <w:szCs w:val="14"/>
                <w:color w:val="auto"/>
              </w:rPr>
              <w:t>Term Loan B</w:t>
            </w:r>
          </w:p>
        </w:tc>
        <w:tc>
          <w:tcPr>
            <w:tcW w:w="480" w:type="dxa"/>
            <w:vAlign w:val="bottom"/>
            <w:gridSpan w:val="2"/>
          </w:tcPr>
          <w:p>
            <w:pPr>
              <w:spacing w:after="0" w:line="149" w:lineRule="exact"/>
              <w:rPr>
                <w:sz w:val="20"/>
                <w:szCs w:val="20"/>
                <w:color w:val="auto"/>
              </w:rPr>
            </w:pPr>
            <w:r>
              <w:rPr>
                <w:rFonts w:ascii="Arial" w:cs="Arial" w:eastAsia="Arial" w:hAnsi="Arial"/>
                <w:sz w:val="14"/>
                <w:szCs w:val="14"/>
                <w:color w:val="auto"/>
              </w:rPr>
              <w:t>Loan</w:t>
            </w:r>
          </w:p>
        </w:tc>
        <w:tc>
          <w:tcPr>
            <w:tcW w:w="7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4.25%</w:t>
            </w: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6/8/2022</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929,595</w:t>
            </w:r>
          </w:p>
        </w:tc>
        <w:tc>
          <w:tcPr>
            <w:tcW w:w="1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927,359</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917,445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Alion Science T/L B (1st Lien)</w:t>
            </w:r>
          </w:p>
        </w:tc>
        <w:tc>
          <w:tcPr>
            <w:tcW w:w="246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High Tech Industries</w:t>
            </w:r>
          </w:p>
        </w:tc>
        <w:tc>
          <w:tcPr>
            <w:tcW w:w="21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Term Loan B (First Lien)</w:t>
            </w:r>
          </w:p>
        </w:tc>
        <w:tc>
          <w:tcPr>
            <w:tcW w:w="4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Loan</w:t>
            </w:r>
          </w:p>
        </w:tc>
        <w:tc>
          <w:tcPr>
            <w:tcW w:w="7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5.50%</w:t>
            </w: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8/13/2021</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83"/>
              </w:rPr>
              <w:t>2,992,500</w:t>
            </w: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2,977,915</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2,958,834</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00" w:type="dxa"/>
            <w:vAlign w:val="bottom"/>
            <w:gridSpan w:val="2"/>
          </w:tcPr>
          <w:p>
            <w:pPr>
              <w:spacing w:after="0" w:line="149" w:lineRule="exact"/>
              <w:rPr>
                <w:sz w:val="20"/>
                <w:szCs w:val="20"/>
                <w:color w:val="auto"/>
              </w:rPr>
            </w:pPr>
            <w:r>
              <w:rPr>
                <w:rFonts w:ascii="Arial" w:cs="Arial" w:eastAsia="Arial" w:hAnsi="Arial"/>
                <w:sz w:val="14"/>
                <w:szCs w:val="14"/>
                <w:color w:val="auto"/>
              </w:rPr>
              <w:t>Alliance HealthCare T/L B</w:t>
            </w:r>
          </w:p>
        </w:tc>
        <w:tc>
          <w:tcPr>
            <w:tcW w:w="246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Healthcare &amp; Pharmaceuticals</w:t>
            </w:r>
          </w:p>
        </w:tc>
        <w:tc>
          <w:tcPr>
            <w:tcW w:w="2160" w:type="dxa"/>
            <w:vAlign w:val="bottom"/>
            <w:gridSpan w:val="2"/>
          </w:tcPr>
          <w:p>
            <w:pPr>
              <w:spacing w:after="0" w:line="149" w:lineRule="exact"/>
              <w:rPr>
                <w:sz w:val="20"/>
                <w:szCs w:val="20"/>
                <w:color w:val="auto"/>
              </w:rPr>
            </w:pPr>
            <w:r>
              <w:rPr>
                <w:rFonts w:ascii="Arial" w:cs="Arial" w:eastAsia="Arial" w:hAnsi="Arial"/>
                <w:sz w:val="14"/>
                <w:szCs w:val="14"/>
                <w:color w:val="auto"/>
              </w:rPr>
              <w:t>Term Loan B</w:t>
            </w:r>
          </w:p>
        </w:tc>
        <w:tc>
          <w:tcPr>
            <w:tcW w:w="480" w:type="dxa"/>
            <w:vAlign w:val="bottom"/>
            <w:gridSpan w:val="2"/>
          </w:tcPr>
          <w:p>
            <w:pPr>
              <w:spacing w:after="0" w:line="149" w:lineRule="exact"/>
              <w:rPr>
                <w:sz w:val="20"/>
                <w:szCs w:val="20"/>
                <w:color w:val="auto"/>
              </w:rPr>
            </w:pPr>
            <w:r>
              <w:rPr>
                <w:rFonts w:ascii="Arial" w:cs="Arial" w:eastAsia="Arial" w:hAnsi="Arial"/>
                <w:sz w:val="14"/>
                <w:szCs w:val="14"/>
                <w:color w:val="auto"/>
              </w:rPr>
              <w:t>Loan</w:t>
            </w:r>
          </w:p>
        </w:tc>
        <w:tc>
          <w:tcPr>
            <w:tcW w:w="7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4.25%</w:t>
            </w: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6/3/2019</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997,428</w:t>
            </w:r>
          </w:p>
        </w:tc>
        <w:tc>
          <w:tcPr>
            <w:tcW w:w="1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992,619</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986,207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20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Alliant Holdings T/L B (1st Lien)</w:t>
            </w:r>
          </w:p>
        </w:tc>
        <w:tc>
          <w:tcPr>
            <w:tcW w:w="2460" w:type="dxa"/>
            <w:vAlign w:val="bottom"/>
            <w:gridSpan w:val="3"/>
            <w:shd w:val="clear" w:color="auto" w:fill="CCEEFF"/>
          </w:tcPr>
          <w:p>
            <w:pPr>
              <w:ind w:left="100"/>
              <w:spacing w:after="0" w:line="138" w:lineRule="exact"/>
              <w:rPr>
                <w:sz w:val="20"/>
                <w:szCs w:val="20"/>
                <w:color w:val="auto"/>
              </w:rPr>
            </w:pPr>
            <w:r>
              <w:rPr>
                <w:rFonts w:ascii="Arial" w:cs="Arial" w:eastAsia="Arial" w:hAnsi="Arial"/>
                <w:sz w:val="14"/>
                <w:szCs w:val="14"/>
                <w:color w:val="auto"/>
              </w:rPr>
              <w:t>Banking, Finance, Insurance &amp; Real</w:t>
            </w:r>
          </w:p>
        </w:tc>
        <w:tc>
          <w:tcPr>
            <w:tcW w:w="216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Term Loan B (First Lien)</w:t>
            </w:r>
          </w:p>
        </w:tc>
        <w:tc>
          <w:tcPr>
            <w:tcW w:w="48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Loan</w:t>
            </w:r>
          </w:p>
        </w:tc>
        <w:tc>
          <w:tcPr>
            <w:tcW w:w="5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78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c>
          <w:tcPr>
            <w:tcW w:w="2460" w:type="dxa"/>
            <w:vAlign w:val="bottom"/>
            <w:gridSpan w:val="3"/>
            <w:shd w:val="clear" w:color="auto" w:fill="CCEEFF"/>
          </w:tcPr>
          <w:p>
            <w:pPr>
              <w:ind w:left="100"/>
              <w:spacing w:after="0" w:line="159" w:lineRule="exact"/>
              <w:rPr>
                <w:sz w:val="20"/>
                <w:szCs w:val="20"/>
                <w:color w:val="auto"/>
              </w:rPr>
            </w:pPr>
            <w:r>
              <w:rPr>
                <w:rFonts w:ascii="Arial" w:cs="Arial" w:eastAsia="Arial" w:hAnsi="Arial"/>
                <w:sz w:val="14"/>
                <w:szCs w:val="14"/>
                <w:color w:val="auto"/>
              </w:rPr>
              <w:t>Estate</w:t>
            </w:r>
          </w:p>
        </w:tc>
        <w:tc>
          <w:tcPr>
            <w:tcW w:w="20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4.50%</w:t>
            </w:r>
          </w:p>
        </w:tc>
        <w:tc>
          <w:tcPr>
            <w:tcW w:w="82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8/12/2022</w:t>
            </w:r>
          </w:p>
        </w:tc>
        <w:tc>
          <w:tcPr>
            <w:tcW w:w="8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w w:val="76"/>
              </w:rPr>
              <w:t>$</w:t>
            </w:r>
          </w:p>
        </w:tc>
        <w:tc>
          <w:tcPr>
            <w:tcW w:w="720" w:type="dxa"/>
            <w:vAlign w:val="bottom"/>
            <w:gridSpan w:val="2"/>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997,500</w:t>
            </w: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995,120</w:t>
            </w: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975,365</w:t>
            </w: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200" w:type="dxa"/>
            <w:vAlign w:val="bottom"/>
            <w:gridSpan w:val="2"/>
          </w:tcPr>
          <w:p>
            <w:pPr>
              <w:spacing w:after="0" w:line="149" w:lineRule="exact"/>
              <w:rPr>
                <w:sz w:val="20"/>
                <w:szCs w:val="20"/>
                <w:color w:val="auto"/>
              </w:rPr>
            </w:pPr>
            <w:r>
              <w:rPr>
                <w:rFonts w:ascii="Arial" w:cs="Arial" w:eastAsia="Arial" w:hAnsi="Arial"/>
                <w:sz w:val="14"/>
                <w:szCs w:val="14"/>
                <w:color w:val="auto"/>
              </w:rPr>
              <w:t>Alvogen Pharma US, Inc</w:t>
            </w:r>
          </w:p>
        </w:tc>
        <w:tc>
          <w:tcPr>
            <w:tcW w:w="246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Healthcare &amp; Pharmaceuticals</w:t>
            </w:r>
          </w:p>
        </w:tc>
        <w:tc>
          <w:tcPr>
            <w:tcW w:w="2160" w:type="dxa"/>
            <w:vAlign w:val="bottom"/>
            <w:gridSpan w:val="2"/>
          </w:tcPr>
          <w:p>
            <w:pPr>
              <w:spacing w:after="0" w:line="149" w:lineRule="exact"/>
              <w:rPr>
                <w:sz w:val="20"/>
                <w:szCs w:val="20"/>
                <w:color w:val="auto"/>
              </w:rPr>
            </w:pPr>
            <w:r>
              <w:rPr>
                <w:rFonts w:ascii="Arial" w:cs="Arial" w:eastAsia="Arial" w:hAnsi="Arial"/>
                <w:sz w:val="14"/>
                <w:szCs w:val="14"/>
                <w:color w:val="auto"/>
              </w:rPr>
              <w:t>Term Loan</w:t>
            </w:r>
          </w:p>
        </w:tc>
        <w:tc>
          <w:tcPr>
            <w:tcW w:w="480" w:type="dxa"/>
            <w:vAlign w:val="bottom"/>
            <w:gridSpan w:val="2"/>
          </w:tcPr>
          <w:p>
            <w:pPr>
              <w:spacing w:after="0" w:line="149" w:lineRule="exact"/>
              <w:rPr>
                <w:sz w:val="20"/>
                <w:szCs w:val="20"/>
                <w:color w:val="auto"/>
              </w:rPr>
            </w:pPr>
            <w:r>
              <w:rPr>
                <w:rFonts w:ascii="Arial" w:cs="Arial" w:eastAsia="Arial" w:hAnsi="Arial"/>
                <w:sz w:val="14"/>
                <w:szCs w:val="14"/>
                <w:color w:val="auto"/>
              </w:rPr>
              <w:t>Loan</w:t>
            </w:r>
          </w:p>
        </w:tc>
        <w:tc>
          <w:tcPr>
            <w:tcW w:w="7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6.00%</w:t>
            </w: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4/2/2022</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486,692</w:t>
            </w:r>
          </w:p>
        </w:tc>
        <w:tc>
          <w:tcPr>
            <w:tcW w:w="1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484,403</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474,525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American Beacon Advisors, Inc.</w:t>
            </w:r>
          </w:p>
        </w:tc>
        <w:tc>
          <w:tcPr>
            <w:tcW w:w="246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Financial Intermediaries</w:t>
            </w:r>
          </w:p>
        </w:tc>
        <w:tc>
          <w:tcPr>
            <w:tcW w:w="21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Term Loan (First Lien)</w:t>
            </w:r>
          </w:p>
        </w:tc>
        <w:tc>
          <w:tcPr>
            <w:tcW w:w="4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Loan</w:t>
            </w:r>
          </w:p>
        </w:tc>
        <w:tc>
          <w:tcPr>
            <w:tcW w:w="7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5.50%</w:t>
            </w: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4/30/2022</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249,375</w:t>
            </w: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248,204</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248,335</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00" w:type="dxa"/>
            <w:vAlign w:val="bottom"/>
            <w:gridSpan w:val="2"/>
          </w:tcPr>
          <w:p>
            <w:pPr>
              <w:spacing w:after="0" w:line="149" w:lineRule="exact"/>
              <w:rPr>
                <w:sz w:val="20"/>
                <w:szCs w:val="20"/>
                <w:color w:val="auto"/>
              </w:rPr>
            </w:pPr>
            <w:r>
              <w:rPr>
                <w:rFonts w:ascii="Arial" w:cs="Arial" w:eastAsia="Arial" w:hAnsi="Arial"/>
                <w:sz w:val="14"/>
                <w:szCs w:val="14"/>
                <w:color w:val="auto"/>
              </w:rPr>
              <w:t>American Tire Distributors Inc</w:t>
            </w:r>
          </w:p>
        </w:tc>
        <w:tc>
          <w:tcPr>
            <w:tcW w:w="246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Automotive</w:t>
            </w:r>
          </w:p>
        </w:tc>
        <w:tc>
          <w:tcPr>
            <w:tcW w:w="2160" w:type="dxa"/>
            <w:vAlign w:val="bottom"/>
            <w:gridSpan w:val="2"/>
          </w:tcPr>
          <w:p>
            <w:pPr>
              <w:spacing w:after="0" w:line="149" w:lineRule="exact"/>
              <w:rPr>
                <w:sz w:val="20"/>
                <w:szCs w:val="20"/>
                <w:color w:val="auto"/>
              </w:rPr>
            </w:pPr>
            <w:r>
              <w:rPr>
                <w:rFonts w:ascii="Arial" w:cs="Arial" w:eastAsia="Arial" w:hAnsi="Arial"/>
                <w:sz w:val="14"/>
                <w:szCs w:val="14"/>
                <w:color w:val="auto"/>
              </w:rPr>
              <w:t>Term Loan B</w:t>
            </w:r>
          </w:p>
        </w:tc>
        <w:tc>
          <w:tcPr>
            <w:tcW w:w="480" w:type="dxa"/>
            <w:vAlign w:val="bottom"/>
            <w:gridSpan w:val="2"/>
          </w:tcPr>
          <w:p>
            <w:pPr>
              <w:spacing w:after="0" w:line="149" w:lineRule="exact"/>
              <w:rPr>
                <w:sz w:val="20"/>
                <w:szCs w:val="20"/>
                <w:color w:val="auto"/>
              </w:rPr>
            </w:pPr>
            <w:r>
              <w:rPr>
                <w:rFonts w:ascii="Arial" w:cs="Arial" w:eastAsia="Arial" w:hAnsi="Arial"/>
                <w:sz w:val="14"/>
                <w:szCs w:val="14"/>
                <w:color w:val="auto"/>
              </w:rPr>
              <w:t>Loan</w:t>
            </w:r>
          </w:p>
        </w:tc>
        <w:tc>
          <w:tcPr>
            <w:tcW w:w="7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5.25%</w:t>
            </w: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9/1/2021</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494,004</w:t>
            </w:r>
          </w:p>
        </w:tc>
        <w:tc>
          <w:tcPr>
            <w:tcW w:w="1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491,534</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494,212</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Aramark Corporation</w:t>
            </w:r>
          </w:p>
        </w:tc>
        <w:tc>
          <w:tcPr>
            <w:tcW w:w="246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Food Products</w:t>
            </w:r>
          </w:p>
        </w:tc>
        <w:tc>
          <w:tcPr>
            <w:tcW w:w="21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LC-2 Facility</w:t>
            </w:r>
          </w:p>
        </w:tc>
        <w:tc>
          <w:tcPr>
            <w:tcW w:w="4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Loan</w:t>
            </w:r>
          </w:p>
        </w:tc>
        <w:tc>
          <w:tcPr>
            <w:tcW w:w="7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3.29%</w:t>
            </w: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7/26/2016</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34,803</w:t>
            </w: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34,797</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34,455</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00" w:type="dxa"/>
            <w:vAlign w:val="bottom"/>
            <w:gridSpan w:val="2"/>
          </w:tcPr>
          <w:p>
            <w:pPr>
              <w:spacing w:after="0" w:line="149" w:lineRule="exact"/>
              <w:rPr>
                <w:sz w:val="20"/>
                <w:szCs w:val="20"/>
                <w:color w:val="auto"/>
              </w:rPr>
            </w:pPr>
            <w:r>
              <w:rPr>
                <w:rFonts w:ascii="Arial" w:cs="Arial" w:eastAsia="Arial" w:hAnsi="Arial"/>
                <w:sz w:val="14"/>
                <w:szCs w:val="14"/>
                <w:color w:val="auto"/>
              </w:rPr>
              <w:t>Aramark Corporation</w:t>
            </w:r>
          </w:p>
        </w:tc>
        <w:tc>
          <w:tcPr>
            <w:tcW w:w="246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Food Products</w:t>
            </w:r>
          </w:p>
        </w:tc>
        <w:tc>
          <w:tcPr>
            <w:tcW w:w="2160" w:type="dxa"/>
            <w:vAlign w:val="bottom"/>
            <w:gridSpan w:val="2"/>
          </w:tcPr>
          <w:p>
            <w:pPr>
              <w:spacing w:after="0" w:line="149" w:lineRule="exact"/>
              <w:rPr>
                <w:sz w:val="20"/>
                <w:szCs w:val="20"/>
                <w:color w:val="auto"/>
              </w:rPr>
            </w:pPr>
            <w:r>
              <w:rPr>
                <w:rFonts w:ascii="Arial" w:cs="Arial" w:eastAsia="Arial" w:hAnsi="Arial"/>
                <w:sz w:val="14"/>
                <w:szCs w:val="14"/>
                <w:color w:val="auto"/>
              </w:rPr>
              <w:t>LC-3 Facility</w:t>
            </w:r>
          </w:p>
        </w:tc>
        <w:tc>
          <w:tcPr>
            <w:tcW w:w="480" w:type="dxa"/>
            <w:vAlign w:val="bottom"/>
            <w:gridSpan w:val="2"/>
          </w:tcPr>
          <w:p>
            <w:pPr>
              <w:spacing w:after="0" w:line="149" w:lineRule="exact"/>
              <w:rPr>
                <w:sz w:val="20"/>
                <w:szCs w:val="20"/>
                <w:color w:val="auto"/>
              </w:rPr>
            </w:pPr>
            <w:r>
              <w:rPr>
                <w:rFonts w:ascii="Arial" w:cs="Arial" w:eastAsia="Arial" w:hAnsi="Arial"/>
                <w:sz w:val="14"/>
                <w:szCs w:val="14"/>
                <w:color w:val="auto"/>
              </w:rPr>
              <w:t>Loan</w:t>
            </w:r>
          </w:p>
        </w:tc>
        <w:tc>
          <w:tcPr>
            <w:tcW w:w="7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3.29%</w:t>
            </w: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7/26/2016</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19,321</w:t>
            </w:r>
          </w:p>
        </w:tc>
        <w:tc>
          <w:tcPr>
            <w:tcW w:w="1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19,321</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19,128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Aramark Corporation</w:t>
            </w:r>
          </w:p>
        </w:tc>
        <w:tc>
          <w:tcPr>
            <w:tcW w:w="246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Food Products</w:t>
            </w:r>
          </w:p>
        </w:tc>
        <w:tc>
          <w:tcPr>
            <w:tcW w:w="21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U.S. Term F Loan</w:t>
            </w:r>
          </w:p>
        </w:tc>
        <w:tc>
          <w:tcPr>
            <w:tcW w:w="4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Loan</w:t>
            </w:r>
          </w:p>
        </w:tc>
        <w:tc>
          <w:tcPr>
            <w:tcW w:w="7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3.25%</w:t>
            </w: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2/24/2021</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83"/>
              </w:rPr>
              <w:t>3,158,439</w:t>
            </w: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3,158,439</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3,124,897</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200" w:type="dxa"/>
            <w:vAlign w:val="bottom"/>
            <w:gridSpan w:val="2"/>
          </w:tcPr>
          <w:p>
            <w:pPr>
              <w:spacing w:after="0" w:line="138" w:lineRule="exact"/>
              <w:rPr>
                <w:sz w:val="20"/>
                <w:szCs w:val="20"/>
                <w:color w:val="auto"/>
              </w:rPr>
            </w:pPr>
            <w:r>
              <w:rPr>
                <w:rFonts w:ascii="Arial" w:cs="Arial" w:eastAsia="Arial" w:hAnsi="Arial"/>
                <w:sz w:val="14"/>
                <w:szCs w:val="14"/>
                <w:color w:val="auto"/>
              </w:rPr>
              <w:t>Asurion, LLC (fka Asurion</w:t>
            </w:r>
          </w:p>
        </w:tc>
        <w:tc>
          <w:tcPr>
            <w:tcW w:w="2460" w:type="dxa"/>
            <w:vAlign w:val="bottom"/>
            <w:gridSpan w:val="3"/>
          </w:tcPr>
          <w:p>
            <w:pPr>
              <w:ind w:left="100"/>
              <w:spacing w:after="0" w:line="138" w:lineRule="exact"/>
              <w:rPr>
                <w:sz w:val="20"/>
                <w:szCs w:val="20"/>
                <w:color w:val="auto"/>
              </w:rPr>
            </w:pPr>
            <w:r>
              <w:rPr>
                <w:rFonts w:ascii="Arial" w:cs="Arial" w:eastAsia="Arial" w:hAnsi="Arial"/>
                <w:sz w:val="14"/>
                <w:szCs w:val="14"/>
                <w:color w:val="auto"/>
              </w:rPr>
              <w:t>Insurance</w:t>
            </w:r>
          </w:p>
        </w:tc>
        <w:tc>
          <w:tcPr>
            <w:tcW w:w="2160" w:type="dxa"/>
            <w:vAlign w:val="bottom"/>
            <w:gridSpan w:val="2"/>
          </w:tcPr>
          <w:p>
            <w:pPr>
              <w:spacing w:after="0" w:line="138" w:lineRule="exact"/>
              <w:rPr>
                <w:sz w:val="20"/>
                <w:szCs w:val="20"/>
                <w:color w:val="auto"/>
              </w:rPr>
            </w:pPr>
            <w:r>
              <w:rPr>
                <w:rFonts w:ascii="Arial" w:cs="Arial" w:eastAsia="Arial" w:hAnsi="Arial"/>
                <w:sz w:val="14"/>
                <w:szCs w:val="14"/>
                <w:color w:val="auto"/>
                <w:w w:val="94"/>
              </w:rPr>
              <w:t>Incremental Tranche B-1 Term Loan</w:t>
            </w:r>
          </w:p>
        </w:tc>
        <w:tc>
          <w:tcPr>
            <w:tcW w:w="480" w:type="dxa"/>
            <w:vAlign w:val="bottom"/>
            <w:gridSpan w:val="2"/>
          </w:tcPr>
          <w:p>
            <w:pPr>
              <w:spacing w:after="0" w:line="138" w:lineRule="exact"/>
              <w:rPr>
                <w:sz w:val="20"/>
                <w:szCs w:val="20"/>
                <w:color w:val="auto"/>
              </w:rPr>
            </w:pPr>
            <w:r>
              <w:rPr>
                <w:rFonts w:ascii="Arial" w:cs="Arial" w:eastAsia="Arial" w:hAnsi="Arial"/>
                <w:sz w:val="14"/>
                <w:szCs w:val="14"/>
                <w:color w:val="auto"/>
              </w:rPr>
              <w:t>Loan</w:t>
            </w: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200" w:type="dxa"/>
            <w:vAlign w:val="bottom"/>
            <w:gridSpan w:val="2"/>
          </w:tcPr>
          <w:p>
            <w:pPr>
              <w:ind w:left="140"/>
              <w:spacing w:after="0" w:line="159" w:lineRule="exact"/>
              <w:rPr>
                <w:sz w:val="20"/>
                <w:szCs w:val="20"/>
                <w:color w:val="auto"/>
              </w:rPr>
            </w:pPr>
            <w:r>
              <w:rPr>
                <w:rFonts w:ascii="Arial" w:cs="Arial" w:eastAsia="Arial" w:hAnsi="Arial"/>
                <w:sz w:val="14"/>
                <w:szCs w:val="14"/>
                <w:color w:val="auto"/>
              </w:rPr>
              <w:t>Corporation)</w:t>
            </w:r>
          </w:p>
        </w:tc>
        <w:tc>
          <w:tcPr>
            <w:tcW w:w="10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5.00%</w:t>
            </w:r>
          </w:p>
        </w:tc>
        <w:tc>
          <w:tcPr>
            <w:tcW w:w="82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5/24/2019</w:t>
            </w:r>
          </w:p>
        </w:tc>
        <w:tc>
          <w:tcPr>
            <w:tcW w:w="80" w:type="dxa"/>
            <w:vAlign w:val="bottom"/>
          </w:tcPr>
          <w:p>
            <w:pPr>
              <w:spacing w:after="0" w:line="159" w:lineRule="exact"/>
              <w:rPr>
                <w:sz w:val="20"/>
                <w:szCs w:val="20"/>
                <w:color w:val="auto"/>
              </w:rPr>
            </w:pPr>
            <w:r>
              <w:rPr>
                <w:rFonts w:ascii="Arial" w:cs="Arial" w:eastAsia="Arial" w:hAnsi="Arial"/>
                <w:sz w:val="14"/>
                <w:szCs w:val="14"/>
                <w:color w:val="auto"/>
                <w:w w:val="76"/>
              </w:rPr>
              <w:t>$</w:t>
            </w:r>
          </w:p>
        </w:tc>
        <w:tc>
          <w:tcPr>
            <w:tcW w:w="720" w:type="dxa"/>
            <w:vAlign w:val="bottom"/>
            <w:gridSpan w:val="2"/>
          </w:tcPr>
          <w:p>
            <w:pPr>
              <w:jc w:val="right"/>
              <w:ind w:right="180"/>
              <w:spacing w:after="0" w:line="159" w:lineRule="exact"/>
              <w:rPr>
                <w:sz w:val="20"/>
                <w:szCs w:val="20"/>
                <w:color w:val="auto"/>
              </w:rPr>
            </w:pPr>
            <w:r>
              <w:rPr>
                <w:rFonts w:ascii="Arial" w:cs="Arial" w:eastAsia="Arial" w:hAnsi="Arial"/>
                <w:sz w:val="14"/>
                <w:szCs w:val="14"/>
                <w:color w:val="auto"/>
                <w:w w:val="83"/>
              </w:rPr>
              <w:t>2,596,480</w:t>
            </w:r>
          </w:p>
        </w:tc>
        <w:tc>
          <w:tcPr>
            <w:tcW w:w="120" w:type="dxa"/>
            <w:vAlign w:val="bottom"/>
          </w:tcPr>
          <w:p>
            <w:pPr>
              <w:spacing w:after="0"/>
              <w:rPr>
                <w:sz w:val="13"/>
                <w:szCs w:val="13"/>
                <w:color w:val="auto"/>
              </w:rPr>
            </w:pPr>
          </w:p>
        </w:tc>
        <w:tc>
          <w:tcPr>
            <w:tcW w:w="620" w:type="dxa"/>
            <w:vAlign w:val="bottom"/>
          </w:tcPr>
          <w:p>
            <w:pPr>
              <w:jc w:val="right"/>
              <w:spacing w:after="0" w:line="159" w:lineRule="exact"/>
              <w:rPr>
                <w:sz w:val="20"/>
                <w:szCs w:val="20"/>
                <w:color w:val="auto"/>
              </w:rPr>
            </w:pPr>
            <w:r>
              <w:rPr>
                <w:rFonts w:ascii="Arial" w:cs="Arial" w:eastAsia="Arial" w:hAnsi="Arial"/>
                <w:sz w:val="14"/>
                <w:szCs w:val="14"/>
                <w:color w:val="auto"/>
                <w:w w:val="96"/>
              </w:rPr>
              <w:t>2,571,667</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jc w:val="right"/>
              <w:spacing w:after="0" w:line="159" w:lineRule="exact"/>
              <w:rPr>
                <w:sz w:val="20"/>
                <w:szCs w:val="20"/>
                <w:color w:val="auto"/>
              </w:rPr>
            </w:pPr>
            <w:r>
              <w:rPr>
                <w:rFonts w:ascii="Arial" w:cs="Arial" w:eastAsia="Arial" w:hAnsi="Arial"/>
                <w:sz w:val="14"/>
                <w:szCs w:val="14"/>
                <w:color w:val="auto"/>
                <w:w w:val="96"/>
              </w:rPr>
              <w:t>2,445,235</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20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Asurion, LLC (fka Asurion</w:t>
            </w:r>
          </w:p>
        </w:tc>
        <w:tc>
          <w:tcPr>
            <w:tcW w:w="2460" w:type="dxa"/>
            <w:vAlign w:val="bottom"/>
            <w:gridSpan w:val="3"/>
            <w:shd w:val="clear" w:color="auto" w:fill="CCEEFF"/>
          </w:tcPr>
          <w:p>
            <w:pPr>
              <w:ind w:left="100"/>
              <w:spacing w:after="0" w:line="138" w:lineRule="exact"/>
              <w:rPr>
                <w:sz w:val="20"/>
                <w:szCs w:val="20"/>
                <w:color w:val="auto"/>
              </w:rPr>
            </w:pPr>
            <w:r>
              <w:rPr>
                <w:rFonts w:ascii="Arial" w:cs="Arial" w:eastAsia="Arial" w:hAnsi="Arial"/>
                <w:sz w:val="14"/>
                <w:szCs w:val="14"/>
                <w:color w:val="auto"/>
              </w:rPr>
              <w:t>Insurance</w:t>
            </w:r>
          </w:p>
        </w:tc>
        <w:tc>
          <w:tcPr>
            <w:tcW w:w="216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Term Loan B4 (First Lein)</w:t>
            </w:r>
          </w:p>
        </w:tc>
        <w:tc>
          <w:tcPr>
            <w:tcW w:w="48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Loan</w:t>
            </w:r>
          </w:p>
        </w:tc>
        <w:tc>
          <w:tcPr>
            <w:tcW w:w="5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200" w:type="dxa"/>
            <w:vAlign w:val="bottom"/>
            <w:gridSpan w:val="2"/>
            <w:shd w:val="clear" w:color="auto" w:fill="CCEEFF"/>
          </w:tcPr>
          <w:p>
            <w:pPr>
              <w:ind w:left="140"/>
              <w:spacing w:after="0" w:line="159" w:lineRule="exact"/>
              <w:rPr>
                <w:sz w:val="20"/>
                <w:szCs w:val="20"/>
                <w:color w:val="auto"/>
              </w:rPr>
            </w:pPr>
            <w:r>
              <w:rPr>
                <w:rFonts w:ascii="Arial" w:cs="Arial" w:eastAsia="Arial" w:hAnsi="Arial"/>
                <w:sz w:val="14"/>
                <w:szCs w:val="14"/>
                <w:color w:val="auto"/>
              </w:rPr>
              <w:t>Corporation)</w:t>
            </w:r>
          </w:p>
        </w:tc>
        <w:tc>
          <w:tcPr>
            <w:tcW w:w="100" w:type="dxa"/>
            <w:vAlign w:val="bottom"/>
            <w:shd w:val="clear" w:color="auto" w:fill="CCEEFF"/>
          </w:tcPr>
          <w:p>
            <w:pPr>
              <w:spacing w:after="0"/>
              <w:rPr>
                <w:sz w:val="13"/>
                <w:szCs w:val="13"/>
                <w:color w:val="auto"/>
              </w:rPr>
            </w:pPr>
          </w:p>
        </w:tc>
        <w:tc>
          <w:tcPr>
            <w:tcW w:w="2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5.00%</w:t>
            </w:r>
          </w:p>
        </w:tc>
        <w:tc>
          <w:tcPr>
            <w:tcW w:w="82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7/29/2022</w:t>
            </w:r>
          </w:p>
        </w:tc>
        <w:tc>
          <w:tcPr>
            <w:tcW w:w="8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w w:val="76"/>
              </w:rPr>
              <w:t>$</w:t>
            </w:r>
          </w:p>
        </w:tc>
        <w:tc>
          <w:tcPr>
            <w:tcW w:w="720" w:type="dxa"/>
            <w:vAlign w:val="bottom"/>
            <w:gridSpan w:val="2"/>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w w:val="83"/>
              </w:rPr>
              <w:t>2,493,750</w:t>
            </w: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96"/>
              </w:rPr>
              <w:t>2,481,719</w:t>
            </w: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96"/>
              </w:rPr>
              <w:t>2,299,861</w:t>
            </w: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200" w:type="dxa"/>
            <w:vAlign w:val="bottom"/>
            <w:gridSpan w:val="2"/>
          </w:tcPr>
          <w:p>
            <w:pPr>
              <w:spacing w:after="0" w:line="138" w:lineRule="exact"/>
              <w:rPr>
                <w:sz w:val="20"/>
                <w:szCs w:val="20"/>
                <w:color w:val="auto"/>
              </w:rPr>
            </w:pPr>
            <w:r>
              <w:rPr>
                <w:rFonts w:ascii="Arial" w:cs="Arial" w:eastAsia="Arial" w:hAnsi="Arial"/>
                <w:sz w:val="14"/>
                <w:szCs w:val="14"/>
                <w:color w:val="auto"/>
              </w:rPr>
              <w:t>Auction.com</w:t>
            </w:r>
          </w:p>
        </w:tc>
        <w:tc>
          <w:tcPr>
            <w:tcW w:w="2460" w:type="dxa"/>
            <w:vAlign w:val="bottom"/>
            <w:gridSpan w:val="3"/>
          </w:tcPr>
          <w:p>
            <w:pPr>
              <w:ind w:left="100"/>
              <w:spacing w:after="0" w:line="138" w:lineRule="exact"/>
              <w:rPr>
                <w:sz w:val="20"/>
                <w:szCs w:val="20"/>
                <w:color w:val="auto"/>
              </w:rPr>
            </w:pPr>
            <w:r>
              <w:rPr>
                <w:rFonts w:ascii="Arial" w:cs="Arial" w:eastAsia="Arial" w:hAnsi="Arial"/>
                <w:sz w:val="14"/>
                <w:szCs w:val="14"/>
                <w:color w:val="auto"/>
              </w:rPr>
              <w:t>Banking, Finance, Insurance &amp; Real</w:t>
            </w:r>
          </w:p>
        </w:tc>
        <w:tc>
          <w:tcPr>
            <w:tcW w:w="2160" w:type="dxa"/>
            <w:vAlign w:val="bottom"/>
            <w:gridSpan w:val="2"/>
          </w:tcPr>
          <w:p>
            <w:pPr>
              <w:spacing w:after="0" w:line="138" w:lineRule="exact"/>
              <w:rPr>
                <w:sz w:val="20"/>
                <w:szCs w:val="20"/>
                <w:color w:val="auto"/>
              </w:rPr>
            </w:pPr>
            <w:r>
              <w:rPr>
                <w:rFonts w:ascii="Arial" w:cs="Arial" w:eastAsia="Arial" w:hAnsi="Arial"/>
                <w:sz w:val="14"/>
                <w:szCs w:val="14"/>
                <w:color w:val="auto"/>
              </w:rPr>
              <w:t>Term Loan</w:t>
            </w:r>
          </w:p>
        </w:tc>
        <w:tc>
          <w:tcPr>
            <w:tcW w:w="480" w:type="dxa"/>
            <w:vAlign w:val="bottom"/>
            <w:gridSpan w:val="2"/>
          </w:tcPr>
          <w:p>
            <w:pPr>
              <w:spacing w:after="0" w:line="138" w:lineRule="exact"/>
              <w:rPr>
                <w:sz w:val="20"/>
                <w:szCs w:val="20"/>
                <w:color w:val="auto"/>
              </w:rPr>
            </w:pPr>
            <w:r>
              <w:rPr>
                <w:rFonts w:ascii="Arial" w:cs="Arial" w:eastAsia="Arial" w:hAnsi="Arial"/>
                <w:sz w:val="14"/>
                <w:szCs w:val="14"/>
                <w:color w:val="auto"/>
              </w:rPr>
              <w:t>Loan</w:t>
            </w: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78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2460" w:type="dxa"/>
            <w:vAlign w:val="bottom"/>
            <w:gridSpan w:val="3"/>
          </w:tcPr>
          <w:p>
            <w:pPr>
              <w:ind w:left="100"/>
              <w:spacing w:after="0" w:line="159" w:lineRule="exact"/>
              <w:rPr>
                <w:sz w:val="20"/>
                <w:szCs w:val="20"/>
                <w:color w:val="auto"/>
              </w:rPr>
            </w:pPr>
            <w:r>
              <w:rPr>
                <w:rFonts w:ascii="Arial" w:cs="Arial" w:eastAsia="Arial" w:hAnsi="Arial"/>
                <w:sz w:val="14"/>
                <w:szCs w:val="14"/>
                <w:color w:val="auto"/>
              </w:rPr>
              <w:t>Estate</w:t>
            </w:r>
          </w:p>
        </w:tc>
        <w:tc>
          <w:tcPr>
            <w:tcW w:w="2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6.00%</w:t>
            </w:r>
          </w:p>
        </w:tc>
        <w:tc>
          <w:tcPr>
            <w:tcW w:w="82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5/13/2019</w:t>
            </w:r>
          </w:p>
        </w:tc>
        <w:tc>
          <w:tcPr>
            <w:tcW w:w="80" w:type="dxa"/>
            <w:vAlign w:val="bottom"/>
          </w:tcPr>
          <w:p>
            <w:pPr>
              <w:spacing w:after="0" w:line="159" w:lineRule="exact"/>
              <w:rPr>
                <w:sz w:val="20"/>
                <w:szCs w:val="20"/>
                <w:color w:val="auto"/>
              </w:rPr>
            </w:pPr>
            <w:r>
              <w:rPr>
                <w:rFonts w:ascii="Arial" w:cs="Arial" w:eastAsia="Arial" w:hAnsi="Arial"/>
                <w:sz w:val="14"/>
                <w:szCs w:val="14"/>
                <w:color w:val="auto"/>
                <w:w w:val="76"/>
              </w:rPr>
              <w:t>$</w:t>
            </w:r>
          </w:p>
        </w:tc>
        <w:tc>
          <w:tcPr>
            <w:tcW w:w="720" w:type="dxa"/>
            <w:vAlign w:val="bottom"/>
            <w:gridSpan w:val="2"/>
          </w:tcPr>
          <w:p>
            <w:pPr>
              <w:jc w:val="right"/>
              <w:ind w:right="180"/>
              <w:spacing w:after="0" w:line="159" w:lineRule="exact"/>
              <w:rPr>
                <w:sz w:val="20"/>
                <w:szCs w:val="20"/>
                <w:color w:val="auto"/>
              </w:rPr>
            </w:pPr>
            <w:r>
              <w:rPr>
                <w:rFonts w:ascii="Arial" w:cs="Arial" w:eastAsia="Arial" w:hAnsi="Arial"/>
                <w:sz w:val="14"/>
                <w:szCs w:val="14"/>
                <w:color w:val="auto"/>
                <w:w w:val="83"/>
              </w:rPr>
              <w:t>1,994,987</w:t>
            </w:r>
          </w:p>
        </w:tc>
        <w:tc>
          <w:tcPr>
            <w:tcW w:w="120" w:type="dxa"/>
            <w:vAlign w:val="bottom"/>
          </w:tcPr>
          <w:p>
            <w:pPr>
              <w:spacing w:after="0"/>
              <w:rPr>
                <w:sz w:val="13"/>
                <w:szCs w:val="13"/>
                <w:color w:val="auto"/>
              </w:rPr>
            </w:pPr>
          </w:p>
        </w:tc>
        <w:tc>
          <w:tcPr>
            <w:tcW w:w="620" w:type="dxa"/>
            <w:vAlign w:val="bottom"/>
          </w:tcPr>
          <w:p>
            <w:pPr>
              <w:jc w:val="right"/>
              <w:spacing w:after="0" w:line="159" w:lineRule="exact"/>
              <w:rPr>
                <w:sz w:val="20"/>
                <w:szCs w:val="20"/>
                <w:color w:val="auto"/>
              </w:rPr>
            </w:pPr>
            <w:r>
              <w:rPr>
                <w:rFonts w:ascii="Arial" w:cs="Arial" w:eastAsia="Arial" w:hAnsi="Arial"/>
                <w:sz w:val="14"/>
                <w:szCs w:val="14"/>
                <w:color w:val="auto"/>
                <w:w w:val="96"/>
              </w:rPr>
              <w:t>2,001,912</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jc w:val="right"/>
              <w:spacing w:after="0" w:line="159" w:lineRule="exact"/>
              <w:rPr>
                <w:sz w:val="20"/>
                <w:szCs w:val="20"/>
                <w:color w:val="auto"/>
              </w:rPr>
            </w:pPr>
            <w:r>
              <w:rPr>
                <w:rFonts w:ascii="Arial" w:cs="Arial" w:eastAsia="Arial" w:hAnsi="Arial"/>
                <w:sz w:val="14"/>
                <w:szCs w:val="14"/>
                <w:color w:val="auto"/>
                <w:w w:val="96"/>
              </w:rPr>
              <w:t>1,975,038</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20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Avantor Performance Materials</w:t>
            </w:r>
          </w:p>
        </w:tc>
        <w:tc>
          <w:tcPr>
            <w:tcW w:w="2460" w:type="dxa"/>
            <w:vAlign w:val="bottom"/>
            <w:gridSpan w:val="3"/>
            <w:shd w:val="clear" w:color="auto" w:fill="CCEEFF"/>
          </w:tcPr>
          <w:p>
            <w:pPr>
              <w:ind w:left="100"/>
              <w:spacing w:after="0" w:line="138" w:lineRule="exact"/>
              <w:rPr>
                <w:sz w:val="20"/>
                <w:szCs w:val="20"/>
                <w:color w:val="auto"/>
              </w:rPr>
            </w:pPr>
            <w:r>
              <w:rPr>
                <w:rFonts w:ascii="Arial" w:cs="Arial" w:eastAsia="Arial" w:hAnsi="Arial"/>
                <w:sz w:val="14"/>
                <w:szCs w:val="14"/>
                <w:color w:val="auto"/>
              </w:rPr>
              <w:t>Chemicals/Plastics</w:t>
            </w:r>
          </w:p>
        </w:tc>
        <w:tc>
          <w:tcPr>
            <w:tcW w:w="216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Term Loan</w:t>
            </w:r>
          </w:p>
        </w:tc>
        <w:tc>
          <w:tcPr>
            <w:tcW w:w="48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Loan</w:t>
            </w:r>
          </w:p>
        </w:tc>
        <w:tc>
          <w:tcPr>
            <w:tcW w:w="5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200" w:type="dxa"/>
            <w:vAlign w:val="bottom"/>
            <w:gridSpan w:val="2"/>
            <w:shd w:val="clear" w:color="auto" w:fill="CCEEFF"/>
          </w:tcPr>
          <w:p>
            <w:pPr>
              <w:ind w:left="140"/>
              <w:spacing w:after="0" w:line="159" w:lineRule="exact"/>
              <w:rPr>
                <w:sz w:val="20"/>
                <w:szCs w:val="20"/>
                <w:color w:val="auto"/>
              </w:rPr>
            </w:pPr>
            <w:r>
              <w:rPr>
                <w:rFonts w:ascii="Arial" w:cs="Arial" w:eastAsia="Arial" w:hAnsi="Arial"/>
                <w:sz w:val="14"/>
                <w:szCs w:val="14"/>
                <w:color w:val="auto"/>
              </w:rPr>
              <w:t>Holdings, Inc.</w:t>
            </w:r>
          </w:p>
        </w:tc>
        <w:tc>
          <w:tcPr>
            <w:tcW w:w="100" w:type="dxa"/>
            <w:vAlign w:val="bottom"/>
            <w:shd w:val="clear" w:color="auto" w:fill="CCEEFF"/>
          </w:tcPr>
          <w:p>
            <w:pPr>
              <w:spacing w:after="0"/>
              <w:rPr>
                <w:sz w:val="13"/>
                <w:szCs w:val="13"/>
                <w:color w:val="auto"/>
              </w:rPr>
            </w:pPr>
          </w:p>
        </w:tc>
        <w:tc>
          <w:tcPr>
            <w:tcW w:w="2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5.25%</w:t>
            </w:r>
          </w:p>
        </w:tc>
        <w:tc>
          <w:tcPr>
            <w:tcW w:w="82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6/24/2017</w:t>
            </w:r>
          </w:p>
        </w:tc>
        <w:tc>
          <w:tcPr>
            <w:tcW w:w="8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w w:val="76"/>
              </w:rPr>
              <w:t>$</w:t>
            </w:r>
          </w:p>
        </w:tc>
        <w:tc>
          <w:tcPr>
            <w:tcW w:w="720" w:type="dxa"/>
            <w:vAlign w:val="bottom"/>
            <w:gridSpan w:val="2"/>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w w:val="83"/>
              </w:rPr>
              <w:t>2,832,629</w:t>
            </w: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96"/>
              </w:rPr>
              <w:t>2,827,999</w:t>
            </w: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96"/>
              </w:rPr>
              <w:t>2,804,303</w:t>
            </w: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200" w:type="dxa"/>
            <w:vAlign w:val="bottom"/>
            <w:gridSpan w:val="2"/>
          </w:tcPr>
          <w:p>
            <w:pPr>
              <w:spacing w:after="0" w:line="149" w:lineRule="exact"/>
              <w:rPr>
                <w:sz w:val="20"/>
                <w:szCs w:val="20"/>
                <w:color w:val="auto"/>
              </w:rPr>
            </w:pPr>
            <w:r>
              <w:rPr>
                <w:rFonts w:ascii="Arial" w:cs="Arial" w:eastAsia="Arial" w:hAnsi="Arial"/>
                <w:sz w:val="14"/>
                <w:szCs w:val="14"/>
                <w:color w:val="auto"/>
              </w:rPr>
              <w:t>AZ Chem US Inc.</w:t>
            </w:r>
          </w:p>
        </w:tc>
        <w:tc>
          <w:tcPr>
            <w:tcW w:w="246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Chemicals/Plastics</w:t>
            </w:r>
          </w:p>
        </w:tc>
        <w:tc>
          <w:tcPr>
            <w:tcW w:w="2160" w:type="dxa"/>
            <w:vAlign w:val="bottom"/>
            <w:gridSpan w:val="2"/>
          </w:tcPr>
          <w:p>
            <w:pPr>
              <w:spacing w:after="0" w:line="149" w:lineRule="exact"/>
              <w:rPr>
                <w:sz w:val="20"/>
                <w:szCs w:val="20"/>
                <w:color w:val="auto"/>
              </w:rPr>
            </w:pPr>
            <w:r>
              <w:rPr>
                <w:rFonts w:ascii="Arial" w:cs="Arial" w:eastAsia="Arial" w:hAnsi="Arial"/>
                <w:sz w:val="14"/>
                <w:szCs w:val="14"/>
                <w:color w:val="auto"/>
              </w:rPr>
              <w:t>Term Loan</w:t>
            </w:r>
          </w:p>
        </w:tc>
        <w:tc>
          <w:tcPr>
            <w:tcW w:w="480" w:type="dxa"/>
            <w:vAlign w:val="bottom"/>
            <w:gridSpan w:val="2"/>
          </w:tcPr>
          <w:p>
            <w:pPr>
              <w:spacing w:after="0" w:line="149" w:lineRule="exact"/>
              <w:rPr>
                <w:sz w:val="20"/>
                <w:szCs w:val="20"/>
                <w:color w:val="auto"/>
              </w:rPr>
            </w:pPr>
            <w:r>
              <w:rPr>
                <w:rFonts w:ascii="Arial" w:cs="Arial" w:eastAsia="Arial" w:hAnsi="Arial"/>
                <w:sz w:val="14"/>
                <w:szCs w:val="14"/>
                <w:color w:val="auto"/>
              </w:rPr>
              <w:t>Loan</w:t>
            </w:r>
          </w:p>
        </w:tc>
        <w:tc>
          <w:tcPr>
            <w:tcW w:w="7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4.50%</w:t>
            </w: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6/12/2021</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436,301</w:t>
            </w:r>
          </w:p>
        </w:tc>
        <w:tc>
          <w:tcPr>
            <w:tcW w:w="1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434,420</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434,910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Bass Pro Group, LLC</w:t>
            </w:r>
          </w:p>
        </w:tc>
        <w:tc>
          <w:tcPr>
            <w:tcW w:w="246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Retailers (Except Food and Drugs)</w:t>
            </w:r>
          </w:p>
        </w:tc>
        <w:tc>
          <w:tcPr>
            <w:tcW w:w="21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Term Loan</w:t>
            </w:r>
          </w:p>
        </w:tc>
        <w:tc>
          <w:tcPr>
            <w:tcW w:w="4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Loan</w:t>
            </w:r>
          </w:p>
        </w:tc>
        <w:tc>
          <w:tcPr>
            <w:tcW w:w="7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4.00%</w:t>
            </w: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91"/>
              </w:rPr>
              <w:t>11/20/2019</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83"/>
              </w:rPr>
              <w:t>1,492,500</w:t>
            </w: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1,489,570</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1,394,562</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00" w:type="dxa"/>
            <w:vAlign w:val="bottom"/>
            <w:gridSpan w:val="2"/>
          </w:tcPr>
          <w:p>
            <w:pPr>
              <w:spacing w:after="0" w:line="149" w:lineRule="exact"/>
              <w:rPr>
                <w:sz w:val="20"/>
                <w:szCs w:val="20"/>
                <w:color w:val="auto"/>
              </w:rPr>
            </w:pPr>
            <w:r>
              <w:rPr>
                <w:rFonts w:ascii="Arial" w:cs="Arial" w:eastAsia="Arial" w:hAnsi="Arial"/>
                <w:sz w:val="14"/>
                <w:szCs w:val="14"/>
                <w:color w:val="auto"/>
              </w:rPr>
              <w:t>Belmond Interfin Ltd.</w:t>
            </w:r>
          </w:p>
        </w:tc>
        <w:tc>
          <w:tcPr>
            <w:tcW w:w="246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Lodging &amp; Casinos</w:t>
            </w:r>
          </w:p>
        </w:tc>
        <w:tc>
          <w:tcPr>
            <w:tcW w:w="2160" w:type="dxa"/>
            <w:vAlign w:val="bottom"/>
            <w:gridSpan w:val="2"/>
          </w:tcPr>
          <w:p>
            <w:pPr>
              <w:spacing w:after="0" w:line="149" w:lineRule="exact"/>
              <w:rPr>
                <w:sz w:val="20"/>
                <w:szCs w:val="20"/>
                <w:color w:val="auto"/>
              </w:rPr>
            </w:pPr>
            <w:r>
              <w:rPr>
                <w:rFonts w:ascii="Arial" w:cs="Arial" w:eastAsia="Arial" w:hAnsi="Arial"/>
                <w:sz w:val="14"/>
                <w:szCs w:val="14"/>
                <w:color w:val="auto"/>
              </w:rPr>
              <w:t>Term Loan</w:t>
            </w:r>
          </w:p>
        </w:tc>
        <w:tc>
          <w:tcPr>
            <w:tcW w:w="480" w:type="dxa"/>
            <w:vAlign w:val="bottom"/>
            <w:gridSpan w:val="2"/>
          </w:tcPr>
          <w:p>
            <w:pPr>
              <w:spacing w:after="0" w:line="149" w:lineRule="exact"/>
              <w:rPr>
                <w:sz w:val="20"/>
                <w:szCs w:val="20"/>
                <w:color w:val="auto"/>
              </w:rPr>
            </w:pPr>
            <w:r>
              <w:rPr>
                <w:rFonts w:ascii="Arial" w:cs="Arial" w:eastAsia="Arial" w:hAnsi="Arial"/>
                <w:sz w:val="14"/>
                <w:szCs w:val="14"/>
                <w:color w:val="auto"/>
              </w:rPr>
              <w:t>Loan</w:t>
            </w:r>
          </w:p>
        </w:tc>
        <w:tc>
          <w:tcPr>
            <w:tcW w:w="7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4.00%</w:t>
            </w: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3/19/2021</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492,500</w:t>
            </w:r>
          </w:p>
        </w:tc>
        <w:tc>
          <w:tcPr>
            <w:tcW w:w="1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490,518</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485,935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Berry Plastics Corporation</w:t>
            </w:r>
          </w:p>
        </w:tc>
        <w:tc>
          <w:tcPr>
            <w:tcW w:w="246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Chemicals/Plastics</w:t>
            </w:r>
          </w:p>
        </w:tc>
        <w:tc>
          <w:tcPr>
            <w:tcW w:w="21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Term E Loan</w:t>
            </w:r>
          </w:p>
        </w:tc>
        <w:tc>
          <w:tcPr>
            <w:tcW w:w="4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Loan</w:t>
            </w:r>
          </w:p>
        </w:tc>
        <w:tc>
          <w:tcPr>
            <w:tcW w:w="7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3.75%</w:t>
            </w: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1/6/2021</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83"/>
              </w:rPr>
              <w:t>1,314,499</w:t>
            </w: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1,304,646</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1,298,370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200" w:type="dxa"/>
            <w:vAlign w:val="bottom"/>
            <w:gridSpan w:val="2"/>
          </w:tcPr>
          <w:p>
            <w:pPr>
              <w:spacing w:after="0" w:line="138" w:lineRule="exact"/>
              <w:rPr>
                <w:sz w:val="20"/>
                <w:szCs w:val="20"/>
                <w:color w:val="auto"/>
              </w:rPr>
            </w:pPr>
            <w:r>
              <w:rPr>
                <w:rFonts w:ascii="Arial" w:cs="Arial" w:eastAsia="Arial" w:hAnsi="Arial"/>
                <w:sz w:val="14"/>
                <w:szCs w:val="14"/>
                <w:color w:val="auto"/>
              </w:rPr>
              <w:t>BJ’s Wholesale Club, Inc.</w:t>
            </w:r>
          </w:p>
        </w:tc>
        <w:tc>
          <w:tcPr>
            <w:tcW w:w="2460" w:type="dxa"/>
            <w:vAlign w:val="bottom"/>
            <w:gridSpan w:val="3"/>
          </w:tcPr>
          <w:p>
            <w:pPr>
              <w:ind w:left="100"/>
              <w:spacing w:after="0" w:line="138" w:lineRule="exact"/>
              <w:rPr>
                <w:sz w:val="20"/>
                <w:szCs w:val="20"/>
                <w:color w:val="auto"/>
              </w:rPr>
            </w:pPr>
            <w:r>
              <w:rPr>
                <w:rFonts w:ascii="Arial" w:cs="Arial" w:eastAsia="Arial" w:hAnsi="Arial"/>
                <w:sz w:val="14"/>
                <w:szCs w:val="14"/>
                <w:color w:val="auto"/>
              </w:rPr>
              <w:t>Food/Drug Retailers</w:t>
            </w:r>
          </w:p>
        </w:tc>
        <w:tc>
          <w:tcPr>
            <w:tcW w:w="2160" w:type="dxa"/>
            <w:vAlign w:val="bottom"/>
            <w:gridSpan w:val="2"/>
          </w:tcPr>
          <w:p>
            <w:pPr>
              <w:spacing w:after="0" w:line="138" w:lineRule="exact"/>
              <w:rPr>
                <w:sz w:val="20"/>
                <w:szCs w:val="20"/>
                <w:color w:val="auto"/>
              </w:rPr>
            </w:pPr>
            <w:r>
              <w:rPr>
                <w:rFonts w:ascii="Arial" w:cs="Arial" w:eastAsia="Arial" w:hAnsi="Arial"/>
                <w:sz w:val="14"/>
                <w:szCs w:val="14"/>
                <w:color w:val="auto"/>
                <w:w w:val="94"/>
              </w:rPr>
              <w:t>New 2013 (November) Replacement</w:t>
            </w:r>
          </w:p>
        </w:tc>
        <w:tc>
          <w:tcPr>
            <w:tcW w:w="480" w:type="dxa"/>
            <w:vAlign w:val="bottom"/>
            <w:gridSpan w:val="2"/>
          </w:tcPr>
          <w:p>
            <w:pPr>
              <w:spacing w:after="0" w:line="138" w:lineRule="exact"/>
              <w:rPr>
                <w:sz w:val="20"/>
                <w:szCs w:val="20"/>
                <w:color w:val="auto"/>
              </w:rPr>
            </w:pPr>
            <w:r>
              <w:rPr>
                <w:rFonts w:ascii="Arial" w:cs="Arial" w:eastAsia="Arial" w:hAnsi="Arial"/>
                <w:sz w:val="14"/>
                <w:szCs w:val="14"/>
                <w:color w:val="auto"/>
              </w:rPr>
              <w:t>Loan</w:t>
            </w: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78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160" w:type="dxa"/>
            <w:vAlign w:val="bottom"/>
            <w:gridSpan w:val="2"/>
          </w:tcPr>
          <w:p>
            <w:pPr>
              <w:spacing w:after="0" w:line="159" w:lineRule="exact"/>
              <w:rPr>
                <w:sz w:val="20"/>
                <w:szCs w:val="20"/>
                <w:color w:val="auto"/>
              </w:rPr>
            </w:pPr>
            <w:r>
              <w:rPr>
                <w:rFonts w:ascii="Arial" w:cs="Arial" w:eastAsia="Arial" w:hAnsi="Arial"/>
                <w:sz w:val="14"/>
                <w:szCs w:val="14"/>
                <w:color w:val="auto"/>
              </w:rPr>
              <w:t>Loan (First Lien)</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4.50%</w:t>
            </w:r>
          </w:p>
        </w:tc>
        <w:tc>
          <w:tcPr>
            <w:tcW w:w="82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9/26/2019</w:t>
            </w:r>
          </w:p>
        </w:tc>
        <w:tc>
          <w:tcPr>
            <w:tcW w:w="80" w:type="dxa"/>
            <w:vAlign w:val="bottom"/>
          </w:tcPr>
          <w:p>
            <w:pPr>
              <w:spacing w:after="0" w:line="159" w:lineRule="exact"/>
              <w:rPr>
                <w:sz w:val="20"/>
                <w:szCs w:val="20"/>
                <w:color w:val="auto"/>
              </w:rPr>
            </w:pPr>
            <w:r>
              <w:rPr>
                <w:rFonts w:ascii="Arial" w:cs="Arial" w:eastAsia="Arial" w:hAnsi="Arial"/>
                <w:sz w:val="14"/>
                <w:szCs w:val="14"/>
                <w:color w:val="auto"/>
                <w:w w:val="76"/>
              </w:rPr>
              <w:t>$</w:t>
            </w:r>
          </w:p>
        </w:tc>
        <w:tc>
          <w:tcPr>
            <w:tcW w:w="720" w:type="dxa"/>
            <w:vAlign w:val="bottom"/>
            <w:gridSpan w:val="2"/>
          </w:tcPr>
          <w:p>
            <w:pPr>
              <w:jc w:val="right"/>
              <w:ind w:right="180"/>
              <w:spacing w:after="0" w:line="159" w:lineRule="exact"/>
              <w:rPr>
                <w:sz w:val="20"/>
                <w:szCs w:val="20"/>
                <w:color w:val="auto"/>
              </w:rPr>
            </w:pPr>
            <w:r>
              <w:rPr>
                <w:rFonts w:ascii="Arial" w:cs="Arial" w:eastAsia="Arial" w:hAnsi="Arial"/>
                <w:sz w:val="14"/>
                <w:szCs w:val="14"/>
                <w:color w:val="auto"/>
                <w:w w:val="83"/>
              </w:rPr>
              <w:t>1,479,961</w:t>
            </w:r>
          </w:p>
        </w:tc>
        <w:tc>
          <w:tcPr>
            <w:tcW w:w="120" w:type="dxa"/>
            <w:vAlign w:val="bottom"/>
          </w:tcPr>
          <w:p>
            <w:pPr>
              <w:spacing w:after="0"/>
              <w:rPr>
                <w:sz w:val="13"/>
                <w:szCs w:val="13"/>
                <w:color w:val="auto"/>
              </w:rPr>
            </w:pPr>
          </w:p>
        </w:tc>
        <w:tc>
          <w:tcPr>
            <w:tcW w:w="620" w:type="dxa"/>
            <w:vAlign w:val="bottom"/>
          </w:tcPr>
          <w:p>
            <w:pPr>
              <w:jc w:val="right"/>
              <w:spacing w:after="0" w:line="159" w:lineRule="exact"/>
              <w:rPr>
                <w:sz w:val="20"/>
                <w:szCs w:val="20"/>
                <w:color w:val="auto"/>
              </w:rPr>
            </w:pPr>
            <w:r>
              <w:rPr>
                <w:rFonts w:ascii="Arial" w:cs="Arial" w:eastAsia="Arial" w:hAnsi="Arial"/>
                <w:sz w:val="14"/>
                <w:szCs w:val="14"/>
                <w:color w:val="auto"/>
                <w:w w:val="96"/>
              </w:rPr>
              <w:t>1,479,073</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jc w:val="right"/>
              <w:spacing w:after="0" w:line="159" w:lineRule="exact"/>
              <w:rPr>
                <w:sz w:val="20"/>
                <w:szCs w:val="20"/>
                <w:color w:val="auto"/>
              </w:rPr>
            </w:pPr>
            <w:r>
              <w:rPr>
                <w:rFonts w:ascii="Arial" w:cs="Arial" w:eastAsia="Arial" w:hAnsi="Arial"/>
                <w:sz w:val="14"/>
                <w:szCs w:val="14"/>
                <w:color w:val="auto"/>
                <w:w w:val="96"/>
              </w:rPr>
              <w:t>1,445,552</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2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Blue Coat Systems</w:t>
            </w:r>
          </w:p>
        </w:tc>
        <w:tc>
          <w:tcPr>
            <w:tcW w:w="246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Technology</w:t>
            </w:r>
          </w:p>
        </w:tc>
        <w:tc>
          <w:tcPr>
            <w:tcW w:w="21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Term Loan B</w:t>
            </w:r>
          </w:p>
        </w:tc>
        <w:tc>
          <w:tcPr>
            <w:tcW w:w="4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Loan</w:t>
            </w:r>
          </w:p>
        </w:tc>
        <w:tc>
          <w:tcPr>
            <w:tcW w:w="7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4.50%</w:t>
            </w: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5/19/2022</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83"/>
              </w:rPr>
              <w:t>1,000,000</w:t>
            </w: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997,615</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971,880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00" w:type="dxa"/>
            <w:vAlign w:val="bottom"/>
            <w:gridSpan w:val="2"/>
          </w:tcPr>
          <w:p>
            <w:pPr>
              <w:spacing w:after="0" w:line="149" w:lineRule="exact"/>
              <w:rPr>
                <w:sz w:val="20"/>
                <w:szCs w:val="20"/>
                <w:color w:val="auto"/>
              </w:rPr>
            </w:pPr>
            <w:r>
              <w:rPr>
                <w:rFonts w:ascii="Arial" w:cs="Arial" w:eastAsia="Arial" w:hAnsi="Arial"/>
                <w:sz w:val="14"/>
                <w:szCs w:val="14"/>
                <w:color w:val="auto"/>
              </w:rPr>
              <w:t>BMC Software</w:t>
            </w:r>
          </w:p>
        </w:tc>
        <w:tc>
          <w:tcPr>
            <w:tcW w:w="246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Technology</w:t>
            </w:r>
          </w:p>
        </w:tc>
        <w:tc>
          <w:tcPr>
            <w:tcW w:w="2160" w:type="dxa"/>
            <w:vAlign w:val="bottom"/>
            <w:gridSpan w:val="2"/>
          </w:tcPr>
          <w:p>
            <w:pPr>
              <w:spacing w:after="0" w:line="149" w:lineRule="exact"/>
              <w:rPr>
                <w:sz w:val="20"/>
                <w:szCs w:val="20"/>
                <w:color w:val="auto"/>
              </w:rPr>
            </w:pPr>
            <w:r>
              <w:rPr>
                <w:rFonts w:ascii="Arial" w:cs="Arial" w:eastAsia="Arial" w:hAnsi="Arial"/>
                <w:sz w:val="14"/>
                <w:szCs w:val="14"/>
                <w:color w:val="auto"/>
              </w:rPr>
              <w:t>Term Loan</w:t>
            </w:r>
          </w:p>
        </w:tc>
        <w:tc>
          <w:tcPr>
            <w:tcW w:w="480" w:type="dxa"/>
            <w:vAlign w:val="bottom"/>
            <w:gridSpan w:val="2"/>
          </w:tcPr>
          <w:p>
            <w:pPr>
              <w:spacing w:after="0" w:line="149" w:lineRule="exact"/>
              <w:rPr>
                <w:sz w:val="20"/>
                <w:szCs w:val="20"/>
                <w:color w:val="auto"/>
              </w:rPr>
            </w:pPr>
            <w:r>
              <w:rPr>
                <w:rFonts w:ascii="Arial" w:cs="Arial" w:eastAsia="Arial" w:hAnsi="Arial"/>
                <w:sz w:val="14"/>
                <w:szCs w:val="14"/>
                <w:color w:val="auto"/>
              </w:rPr>
              <w:t>Loan</w:t>
            </w:r>
          </w:p>
        </w:tc>
        <w:tc>
          <w:tcPr>
            <w:tcW w:w="7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5.00%</w:t>
            </w: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9/10/2020</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83"/>
              </w:rPr>
              <w:t>1,984,848</w:t>
            </w:r>
          </w:p>
        </w:tc>
        <w:tc>
          <w:tcPr>
            <w:tcW w:w="1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w w:val="96"/>
              </w:rPr>
              <w:t>1,928,369</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w w:val="96"/>
              </w:rPr>
              <w:t>1,726,818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Brickman Group Holdings, Inc.</w:t>
            </w:r>
          </w:p>
        </w:tc>
        <w:tc>
          <w:tcPr>
            <w:tcW w:w="246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Brokers/Dealers/Investment Houses</w:t>
            </w:r>
          </w:p>
        </w:tc>
        <w:tc>
          <w:tcPr>
            <w:tcW w:w="21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Initial Term Loan (First Lien)</w:t>
            </w:r>
          </w:p>
        </w:tc>
        <w:tc>
          <w:tcPr>
            <w:tcW w:w="4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Loan</w:t>
            </w:r>
          </w:p>
        </w:tc>
        <w:tc>
          <w:tcPr>
            <w:tcW w:w="7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4.00%</w:t>
            </w: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91"/>
              </w:rPr>
              <w:t>12/18/2020</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83"/>
              </w:rPr>
              <w:t>1,479,968</w:t>
            </w: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1,469,034</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1,438,352</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00" w:type="dxa"/>
            <w:vAlign w:val="bottom"/>
            <w:gridSpan w:val="2"/>
          </w:tcPr>
          <w:p>
            <w:pPr>
              <w:spacing w:after="0" w:line="149" w:lineRule="exact"/>
              <w:rPr>
                <w:sz w:val="20"/>
                <w:szCs w:val="20"/>
                <w:color w:val="auto"/>
              </w:rPr>
            </w:pPr>
            <w:r>
              <w:rPr>
                <w:rFonts w:ascii="Arial" w:cs="Arial" w:eastAsia="Arial" w:hAnsi="Arial"/>
                <w:sz w:val="14"/>
                <w:szCs w:val="14"/>
                <w:color w:val="auto"/>
              </w:rPr>
              <w:t>Brock Holdings III, Inc.</w:t>
            </w:r>
          </w:p>
        </w:tc>
        <w:tc>
          <w:tcPr>
            <w:tcW w:w="246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Industrial Equipment</w:t>
            </w:r>
          </w:p>
        </w:tc>
        <w:tc>
          <w:tcPr>
            <w:tcW w:w="2160" w:type="dxa"/>
            <w:vAlign w:val="bottom"/>
            <w:gridSpan w:val="2"/>
          </w:tcPr>
          <w:p>
            <w:pPr>
              <w:spacing w:after="0" w:line="149" w:lineRule="exact"/>
              <w:rPr>
                <w:sz w:val="20"/>
                <w:szCs w:val="20"/>
                <w:color w:val="auto"/>
              </w:rPr>
            </w:pPr>
            <w:r>
              <w:rPr>
                <w:rFonts w:ascii="Arial" w:cs="Arial" w:eastAsia="Arial" w:hAnsi="Arial"/>
                <w:sz w:val="14"/>
                <w:szCs w:val="14"/>
                <w:color w:val="auto"/>
              </w:rPr>
              <w:t>Term Loan (First Lien)</w:t>
            </w:r>
          </w:p>
        </w:tc>
        <w:tc>
          <w:tcPr>
            <w:tcW w:w="480" w:type="dxa"/>
            <w:vAlign w:val="bottom"/>
            <w:gridSpan w:val="2"/>
          </w:tcPr>
          <w:p>
            <w:pPr>
              <w:spacing w:after="0" w:line="149" w:lineRule="exact"/>
              <w:rPr>
                <w:sz w:val="20"/>
                <w:szCs w:val="20"/>
                <w:color w:val="auto"/>
              </w:rPr>
            </w:pPr>
            <w:r>
              <w:rPr>
                <w:rFonts w:ascii="Arial" w:cs="Arial" w:eastAsia="Arial" w:hAnsi="Arial"/>
                <w:sz w:val="14"/>
                <w:szCs w:val="14"/>
                <w:color w:val="auto"/>
              </w:rPr>
              <w:t>Loan</w:t>
            </w:r>
          </w:p>
        </w:tc>
        <w:tc>
          <w:tcPr>
            <w:tcW w:w="7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6.00%</w:t>
            </w: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3/16/2017</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83"/>
              </w:rPr>
              <w:t>1,922,502</w:t>
            </w:r>
          </w:p>
        </w:tc>
        <w:tc>
          <w:tcPr>
            <w:tcW w:w="1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w w:val="96"/>
              </w:rPr>
              <w:t>1,931,098</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w w:val="96"/>
              </w:rPr>
              <w:t>1,754,283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20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w w:val="97"/>
              </w:rPr>
              <w:t>Burlington Coat Factory Warehouse</w:t>
            </w:r>
          </w:p>
        </w:tc>
        <w:tc>
          <w:tcPr>
            <w:tcW w:w="2460" w:type="dxa"/>
            <w:vAlign w:val="bottom"/>
            <w:gridSpan w:val="3"/>
            <w:shd w:val="clear" w:color="auto" w:fill="CCEEFF"/>
          </w:tcPr>
          <w:p>
            <w:pPr>
              <w:ind w:left="100"/>
              <w:spacing w:after="0" w:line="138" w:lineRule="exact"/>
              <w:rPr>
                <w:sz w:val="20"/>
                <w:szCs w:val="20"/>
                <w:color w:val="auto"/>
              </w:rPr>
            </w:pPr>
            <w:r>
              <w:rPr>
                <w:rFonts w:ascii="Arial" w:cs="Arial" w:eastAsia="Arial" w:hAnsi="Arial"/>
                <w:sz w:val="14"/>
                <w:szCs w:val="14"/>
                <w:color w:val="auto"/>
              </w:rPr>
              <w:t>Retailers (Except Food and Drugs)</w:t>
            </w:r>
          </w:p>
        </w:tc>
        <w:tc>
          <w:tcPr>
            <w:tcW w:w="216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Term B-2 Loan</w:t>
            </w:r>
          </w:p>
        </w:tc>
        <w:tc>
          <w:tcPr>
            <w:tcW w:w="48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Loan</w:t>
            </w:r>
          </w:p>
        </w:tc>
        <w:tc>
          <w:tcPr>
            <w:tcW w:w="5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200" w:type="dxa"/>
            <w:vAlign w:val="bottom"/>
            <w:gridSpan w:val="2"/>
            <w:shd w:val="clear" w:color="auto" w:fill="CCEEFF"/>
          </w:tcPr>
          <w:p>
            <w:pPr>
              <w:ind w:left="140"/>
              <w:spacing w:after="0" w:line="159" w:lineRule="exact"/>
              <w:rPr>
                <w:sz w:val="20"/>
                <w:szCs w:val="20"/>
                <w:color w:val="auto"/>
              </w:rPr>
            </w:pPr>
            <w:r>
              <w:rPr>
                <w:rFonts w:ascii="Arial" w:cs="Arial" w:eastAsia="Arial" w:hAnsi="Arial"/>
                <w:sz w:val="14"/>
                <w:szCs w:val="14"/>
                <w:color w:val="auto"/>
              </w:rPr>
              <w:t>Corporation</w:t>
            </w:r>
          </w:p>
        </w:tc>
        <w:tc>
          <w:tcPr>
            <w:tcW w:w="100" w:type="dxa"/>
            <w:vAlign w:val="bottom"/>
            <w:shd w:val="clear" w:color="auto" w:fill="CCEEFF"/>
          </w:tcPr>
          <w:p>
            <w:pPr>
              <w:spacing w:after="0"/>
              <w:rPr>
                <w:sz w:val="13"/>
                <w:szCs w:val="13"/>
                <w:color w:val="auto"/>
              </w:rPr>
            </w:pPr>
          </w:p>
        </w:tc>
        <w:tc>
          <w:tcPr>
            <w:tcW w:w="2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4.25%</w:t>
            </w:r>
          </w:p>
        </w:tc>
        <w:tc>
          <w:tcPr>
            <w:tcW w:w="82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8/13/2021</w:t>
            </w:r>
          </w:p>
        </w:tc>
        <w:tc>
          <w:tcPr>
            <w:tcW w:w="8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w w:val="76"/>
              </w:rPr>
              <w:t>$</w:t>
            </w:r>
          </w:p>
        </w:tc>
        <w:tc>
          <w:tcPr>
            <w:tcW w:w="720" w:type="dxa"/>
            <w:vAlign w:val="bottom"/>
            <w:gridSpan w:val="2"/>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w w:val="83"/>
              </w:rPr>
              <w:t>1,861,667</w:t>
            </w: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96"/>
              </w:rPr>
              <w:t>1,853,135</w:t>
            </w: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96"/>
              </w:rPr>
              <w:t>1,823,856</w:t>
            </w: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200" w:type="dxa"/>
            <w:vAlign w:val="bottom"/>
            <w:gridSpan w:val="2"/>
          </w:tcPr>
          <w:p>
            <w:pPr>
              <w:spacing w:after="0" w:line="149" w:lineRule="exact"/>
              <w:rPr>
                <w:sz w:val="20"/>
                <w:szCs w:val="20"/>
                <w:color w:val="auto"/>
              </w:rPr>
            </w:pPr>
            <w:r>
              <w:rPr>
                <w:rFonts w:ascii="Arial" w:cs="Arial" w:eastAsia="Arial" w:hAnsi="Arial"/>
                <w:sz w:val="14"/>
                <w:szCs w:val="14"/>
                <w:color w:val="auto"/>
              </w:rPr>
              <w:t>BWAY Holding Company</w:t>
            </w:r>
          </w:p>
        </w:tc>
        <w:tc>
          <w:tcPr>
            <w:tcW w:w="246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Leisure Goods/Activities/Movies</w:t>
            </w:r>
          </w:p>
        </w:tc>
        <w:tc>
          <w:tcPr>
            <w:tcW w:w="2160" w:type="dxa"/>
            <w:vAlign w:val="bottom"/>
            <w:gridSpan w:val="2"/>
          </w:tcPr>
          <w:p>
            <w:pPr>
              <w:spacing w:after="0" w:line="149" w:lineRule="exact"/>
              <w:rPr>
                <w:sz w:val="20"/>
                <w:szCs w:val="20"/>
                <w:color w:val="auto"/>
              </w:rPr>
            </w:pPr>
            <w:r>
              <w:rPr>
                <w:rFonts w:ascii="Arial" w:cs="Arial" w:eastAsia="Arial" w:hAnsi="Arial"/>
                <w:sz w:val="14"/>
                <w:szCs w:val="14"/>
                <w:color w:val="auto"/>
              </w:rPr>
              <w:t>Term Loan B</w:t>
            </w:r>
          </w:p>
        </w:tc>
        <w:tc>
          <w:tcPr>
            <w:tcW w:w="480" w:type="dxa"/>
            <w:vAlign w:val="bottom"/>
            <w:gridSpan w:val="2"/>
          </w:tcPr>
          <w:p>
            <w:pPr>
              <w:spacing w:after="0" w:line="149" w:lineRule="exact"/>
              <w:rPr>
                <w:sz w:val="20"/>
                <w:szCs w:val="20"/>
                <w:color w:val="auto"/>
              </w:rPr>
            </w:pPr>
            <w:r>
              <w:rPr>
                <w:rFonts w:ascii="Arial" w:cs="Arial" w:eastAsia="Arial" w:hAnsi="Arial"/>
                <w:sz w:val="14"/>
                <w:szCs w:val="14"/>
                <w:color w:val="auto"/>
              </w:rPr>
              <w:t>Loan</w:t>
            </w:r>
          </w:p>
        </w:tc>
        <w:tc>
          <w:tcPr>
            <w:tcW w:w="7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5.50%</w:t>
            </w: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8/14/2020</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987,500</w:t>
            </w:r>
          </w:p>
        </w:tc>
        <w:tc>
          <w:tcPr>
            <w:tcW w:w="1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978,428</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958,497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Caesars Entertainment Corp.</w:t>
            </w:r>
          </w:p>
        </w:tc>
        <w:tc>
          <w:tcPr>
            <w:tcW w:w="246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Lodging &amp; Casinos</w:t>
            </w:r>
          </w:p>
        </w:tc>
        <w:tc>
          <w:tcPr>
            <w:tcW w:w="21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Term B-7 Loan</w:t>
            </w:r>
          </w:p>
        </w:tc>
        <w:tc>
          <w:tcPr>
            <w:tcW w:w="4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Loan</w:t>
            </w:r>
          </w:p>
        </w:tc>
        <w:tc>
          <w:tcPr>
            <w:tcW w:w="7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9.75%</w:t>
            </w: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1/28/2018</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995,000</w:t>
            </w: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990,604</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845,750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200" w:type="dxa"/>
            <w:vAlign w:val="bottom"/>
            <w:gridSpan w:val="2"/>
          </w:tcPr>
          <w:p>
            <w:pPr>
              <w:spacing w:after="0" w:line="138" w:lineRule="exact"/>
              <w:rPr>
                <w:sz w:val="20"/>
                <w:szCs w:val="20"/>
                <w:color w:val="auto"/>
              </w:rPr>
            </w:pPr>
            <w:r>
              <w:rPr>
                <w:rFonts w:ascii="Arial" w:cs="Arial" w:eastAsia="Arial" w:hAnsi="Arial"/>
                <w:sz w:val="14"/>
                <w:szCs w:val="14"/>
                <w:color w:val="auto"/>
                <w:w w:val="93"/>
              </w:rPr>
              <w:t>Camp International Holding Company</w:t>
            </w:r>
          </w:p>
        </w:tc>
        <w:tc>
          <w:tcPr>
            <w:tcW w:w="2460" w:type="dxa"/>
            <w:vAlign w:val="bottom"/>
            <w:gridSpan w:val="3"/>
          </w:tcPr>
          <w:p>
            <w:pPr>
              <w:ind w:left="100"/>
              <w:spacing w:after="0" w:line="138" w:lineRule="exact"/>
              <w:rPr>
                <w:sz w:val="20"/>
                <w:szCs w:val="20"/>
                <w:color w:val="auto"/>
              </w:rPr>
            </w:pPr>
            <w:r>
              <w:rPr>
                <w:rFonts w:ascii="Arial" w:cs="Arial" w:eastAsia="Arial" w:hAnsi="Arial"/>
                <w:sz w:val="14"/>
                <w:szCs w:val="14"/>
                <w:color w:val="auto"/>
              </w:rPr>
              <w:t>Aerospace and Defense</w:t>
            </w:r>
          </w:p>
        </w:tc>
        <w:tc>
          <w:tcPr>
            <w:tcW w:w="2160" w:type="dxa"/>
            <w:vAlign w:val="bottom"/>
            <w:gridSpan w:val="2"/>
          </w:tcPr>
          <w:p>
            <w:pPr>
              <w:spacing w:after="0" w:line="138" w:lineRule="exact"/>
              <w:rPr>
                <w:sz w:val="20"/>
                <w:szCs w:val="20"/>
                <w:color w:val="auto"/>
              </w:rPr>
            </w:pPr>
            <w:r>
              <w:rPr>
                <w:rFonts w:ascii="Arial" w:cs="Arial" w:eastAsia="Arial" w:hAnsi="Arial"/>
                <w:sz w:val="14"/>
                <w:szCs w:val="14"/>
                <w:color w:val="auto"/>
                <w:w w:val="95"/>
              </w:rPr>
              <w:t>2013 Replacement Term Loan (First</w:t>
            </w:r>
          </w:p>
        </w:tc>
        <w:tc>
          <w:tcPr>
            <w:tcW w:w="480" w:type="dxa"/>
            <w:vAlign w:val="bottom"/>
            <w:gridSpan w:val="2"/>
          </w:tcPr>
          <w:p>
            <w:pPr>
              <w:spacing w:after="0" w:line="138" w:lineRule="exact"/>
              <w:rPr>
                <w:sz w:val="20"/>
                <w:szCs w:val="20"/>
                <w:color w:val="auto"/>
              </w:rPr>
            </w:pPr>
            <w:r>
              <w:rPr>
                <w:rFonts w:ascii="Arial" w:cs="Arial" w:eastAsia="Arial" w:hAnsi="Arial"/>
                <w:sz w:val="14"/>
                <w:szCs w:val="14"/>
                <w:color w:val="auto"/>
              </w:rPr>
              <w:t>Loan</w:t>
            </w: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78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160" w:type="dxa"/>
            <w:vAlign w:val="bottom"/>
            <w:gridSpan w:val="2"/>
          </w:tcPr>
          <w:p>
            <w:pPr>
              <w:spacing w:after="0" w:line="159" w:lineRule="exact"/>
              <w:rPr>
                <w:sz w:val="20"/>
                <w:szCs w:val="20"/>
                <w:color w:val="auto"/>
              </w:rPr>
            </w:pPr>
            <w:r>
              <w:rPr>
                <w:rFonts w:ascii="Arial" w:cs="Arial" w:eastAsia="Arial" w:hAnsi="Arial"/>
                <w:sz w:val="14"/>
                <w:szCs w:val="14"/>
                <w:color w:val="auto"/>
              </w:rPr>
              <w:t>Lien)</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4.75%</w:t>
            </w:r>
          </w:p>
        </w:tc>
        <w:tc>
          <w:tcPr>
            <w:tcW w:w="82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5/31/2019</w:t>
            </w:r>
          </w:p>
        </w:tc>
        <w:tc>
          <w:tcPr>
            <w:tcW w:w="80" w:type="dxa"/>
            <w:vAlign w:val="bottom"/>
          </w:tcPr>
          <w:p>
            <w:pPr>
              <w:spacing w:after="0" w:line="159" w:lineRule="exact"/>
              <w:rPr>
                <w:sz w:val="20"/>
                <w:szCs w:val="20"/>
                <w:color w:val="auto"/>
              </w:rPr>
            </w:pPr>
            <w:r>
              <w:rPr>
                <w:rFonts w:ascii="Arial" w:cs="Arial" w:eastAsia="Arial" w:hAnsi="Arial"/>
                <w:sz w:val="14"/>
                <w:szCs w:val="14"/>
                <w:color w:val="auto"/>
                <w:w w:val="76"/>
              </w:rPr>
              <w:t>$</w:t>
            </w:r>
          </w:p>
        </w:tc>
        <w:tc>
          <w:tcPr>
            <w:tcW w:w="720" w:type="dxa"/>
            <w:vAlign w:val="bottom"/>
            <w:gridSpan w:val="2"/>
          </w:tcPr>
          <w:p>
            <w:pPr>
              <w:jc w:val="right"/>
              <w:ind w:right="180"/>
              <w:spacing w:after="0" w:line="159" w:lineRule="exact"/>
              <w:rPr>
                <w:sz w:val="20"/>
                <w:szCs w:val="20"/>
                <w:color w:val="auto"/>
              </w:rPr>
            </w:pPr>
            <w:r>
              <w:rPr>
                <w:rFonts w:ascii="Arial" w:cs="Arial" w:eastAsia="Arial" w:hAnsi="Arial"/>
                <w:sz w:val="14"/>
                <w:szCs w:val="14"/>
                <w:color w:val="auto"/>
                <w:w w:val="83"/>
              </w:rPr>
              <w:t>1,945,095</w:t>
            </w:r>
          </w:p>
        </w:tc>
        <w:tc>
          <w:tcPr>
            <w:tcW w:w="120" w:type="dxa"/>
            <w:vAlign w:val="bottom"/>
          </w:tcPr>
          <w:p>
            <w:pPr>
              <w:spacing w:after="0"/>
              <w:rPr>
                <w:sz w:val="13"/>
                <w:szCs w:val="13"/>
                <w:color w:val="auto"/>
              </w:rPr>
            </w:pPr>
          </w:p>
        </w:tc>
        <w:tc>
          <w:tcPr>
            <w:tcW w:w="620" w:type="dxa"/>
            <w:vAlign w:val="bottom"/>
          </w:tcPr>
          <w:p>
            <w:pPr>
              <w:jc w:val="right"/>
              <w:spacing w:after="0" w:line="159" w:lineRule="exact"/>
              <w:rPr>
                <w:sz w:val="20"/>
                <w:szCs w:val="20"/>
                <w:color w:val="auto"/>
              </w:rPr>
            </w:pPr>
            <w:r>
              <w:rPr>
                <w:rFonts w:ascii="Arial" w:cs="Arial" w:eastAsia="Arial" w:hAnsi="Arial"/>
                <w:sz w:val="14"/>
                <w:szCs w:val="14"/>
                <w:color w:val="auto"/>
                <w:w w:val="96"/>
              </w:rPr>
              <w:t>1,946,507</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jc w:val="right"/>
              <w:spacing w:after="0" w:line="159" w:lineRule="exact"/>
              <w:rPr>
                <w:sz w:val="20"/>
                <w:szCs w:val="20"/>
                <w:color w:val="auto"/>
              </w:rPr>
            </w:pPr>
            <w:r>
              <w:rPr>
                <w:rFonts w:ascii="Arial" w:cs="Arial" w:eastAsia="Arial" w:hAnsi="Arial"/>
                <w:sz w:val="14"/>
                <w:szCs w:val="14"/>
                <w:color w:val="auto"/>
                <w:w w:val="96"/>
              </w:rPr>
              <w:t>1,905,589</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2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Capital Automotive L.P.</w:t>
            </w:r>
          </w:p>
        </w:tc>
        <w:tc>
          <w:tcPr>
            <w:tcW w:w="246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Conglomerate</w:t>
            </w:r>
          </w:p>
        </w:tc>
        <w:tc>
          <w:tcPr>
            <w:tcW w:w="21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Tranche B-1 Term Loan Facility</w:t>
            </w:r>
          </w:p>
        </w:tc>
        <w:tc>
          <w:tcPr>
            <w:tcW w:w="4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Loan</w:t>
            </w:r>
          </w:p>
        </w:tc>
        <w:tc>
          <w:tcPr>
            <w:tcW w:w="7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4.00%</w:t>
            </w: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4/10/2019</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83"/>
              </w:rPr>
              <w:t>2,062,615</w:t>
            </w: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2,066,156</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2,059,170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00" w:type="dxa"/>
            <w:vAlign w:val="bottom"/>
            <w:gridSpan w:val="2"/>
          </w:tcPr>
          <w:p>
            <w:pPr>
              <w:spacing w:after="0" w:line="149" w:lineRule="exact"/>
              <w:rPr>
                <w:sz w:val="20"/>
                <w:szCs w:val="20"/>
                <w:color w:val="auto"/>
              </w:rPr>
            </w:pPr>
            <w:r>
              <w:rPr>
                <w:rFonts w:ascii="Arial" w:cs="Arial" w:eastAsia="Arial" w:hAnsi="Arial"/>
                <w:sz w:val="14"/>
                <w:szCs w:val="14"/>
                <w:color w:val="auto"/>
              </w:rPr>
              <w:t>Catalent Pharma Solutions, Inc</w:t>
            </w:r>
          </w:p>
        </w:tc>
        <w:tc>
          <w:tcPr>
            <w:tcW w:w="246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Drugs</w:t>
            </w:r>
          </w:p>
        </w:tc>
        <w:tc>
          <w:tcPr>
            <w:tcW w:w="2160" w:type="dxa"/>
            <w:vAlign w:val="bottom"/>
            <w:gridSpan w:val="2"/>
          </w:tcPr>
          <w:p>
            <w:pPr>
              <w:spacing w:after="0" w:line="149" w:lineRule="exact"/>
              <w:rPr>
                <w:sz w:val="20"/>
                <w:szCs w:val="20"/>
                <w:color w:val="auto"/>
              </w:rPr>
            </w:pPr>
            <w:r>
              <w:rPr>
                <w:rFonts w:ascii="Arial" w:cs="Arial" w:eastAsia="Arial" w:hAnsi="Arial"/>
                <w:sz w:val="14"/>
                <w:szCs w:val="14"/>
                <w:color w:val="auto"/>
              </w:rPr>
              <w:t>Initial Term B Loan</w:t>
            </w:r>
          </w:p>
        </w:tc>
        <w:tc>
          <w:tcPr>
            <w:tcW w:w="480" w:type="dxa"/>
            <w:vAlign w:val="bottom"/>
            <w:gridSpan w:val="2"/>
          </w:tcPr>
          <w:p>
            <w:pPr>
              <w:spacing w:after="0" w:line="149" w:lineRule="exact"/>
              <w:rPr>
                <w:sz w:val="20"/>
                <w:szCs w:val="20"/>
                <w:color w:val="auto"/>
              </w:rPr>
            </w:pPr>
            <w:r>
              <w:rPr>
                <w:rFonts w:ascii="Arial" w:cs="Arial" w:eastAsia="Arial" w:hAnsi="Arial"/>
                <w:sz w:val="14"/>
                <w:szCs w:val="14"/>
                <w:color w:val="auto"/>
              </w:rPr>
              <w:t>Loan</w:t>
            </w:r>
          </w:p>
        </w:tc>
        <w:tc>
          <w:tcPr>
            <w:tcW w:w="7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4.25%</w:t>
            </w: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5/20/2021</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493,751</w:t>
            </w:r>
          </w:p>
        </w:tc>
        <w:tc>
          <w:tcPr>
            <w:tcW w:w="1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491,723</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488,196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w w:val="97"/>
              </w:rPr>
              <w:t>Cengage Learning Acquisitions, Inc.</w:t>
            </w:r>
          </w:p>
        </w:tc>
        <w:tc>
          <w:tcPr>
            <w:tcW w:w="246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Publishing</w:t>
            </w:r>
          </w:p>
        </w:tc>
        <w:tc>
          <w:tcPr>
            <w:tcW w:w="21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Term Loan</w:t>
            </w:r>
          </w:p>
        </w:tc>
        <w:tc>
          <w:tcPr>
            <w:tcW w:w="4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Loan</w:t>
            </w:r>
          </w:p>
        </w:tc>
        <w:tc>
          <w:tcPr>
            <w:tcW w:w="7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7.00%</w:t>
            </w: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3/31/2020</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83"/>
              </w:rPr>
              <w:t>2,647,871</w:t>
            </w: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2,672,176</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2,604,022</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200" w:type="dxa"/>
            <w:vAlign w:val="bottom"/>
            <w:gridSpan w:val="2"/>
          </w:tcPr>
          <w:p>
            <w:pPr>
              <w:spacing w:after="0" w:line="138" w:lineRule="exact"/>
              <w:rPr>
                <w:sz w:val="20"/>
                <w:szCs w:val="20"/>
                <w:color w:val="auto"/>
              </w:rPr>
            </w:pPr>
            <w:r>
              <w:rPr>
                <w:rFonts w:ascii="Arial" w:cs="Arial" w:eastAsia="Arial" w:hAnsi="Arial"/>
                <w:sz w:val="14"/>
                <w:szCs w:val="14"/>
                <w:color w:val="auto"/>
                <w:w w:val="97"/>
              </w:rPr>
              <w:t>Charter Communications Operating,</w:t>
            </w:r>
          </w:p>
        </w:tc>
        <w:tc>
          <w:tcPr>
            <w:tcW w:w="2460" w:type="dxa"/>
            <w:vAlign w:val="bottom"/>
            <w:gridSpan w:val="3"/>
          </w:tcPr>
          <w:p>
            <w:pPr>
              <w:ind w:left="100"/>
              <w:spacing w:after="0" w:line="138" w:lineRule="exact"/>
              <w:rPr>
                <w:sz w:val="20"/>
                <w:szCs w:val="20"/>
                <w:color w:val="auto"/>
              </w:rPr>
            </w:pPr>
            <w:r>
              <w:rPr>
                <w:rFonts w:ascii="Arial" w:cs="Arial" w:eastAsia="Arial" w:hAnsi="Arial"/>
                <w:sz w:val="14"/>
                <w:szCs w:val="14"/>
                <w:color w:val="auto"/>
              </w:rPr>
              <w:t>Cable and Satellite Television</w:t>
            </w:r>
          </w:p>
        </w:tc>
        <w:tc>
          <w:tcPr>
            <w:tcW w:w="2160" w:type="dxa"/>
            <w:vAlign w:val="bottom"/>
            <w:gridSpan w:val="2"/>
          </w:tcPr>
          <w:p>
            <w:pPr>
              <w:spacing w:after="0" w:line="138" w:lineRule="exact"/>
              <w:rPr>
                <w:sz w:val="20"/>
                <w:szCs w:val="20"/>
                <w:color w:val="auto"/>
              </w:rPr>
            </w:pPr>
            <w:r>
              <w:rPr>
                <w:rFonts w:ascii="Arial" w:cs="Arial" w:eastAsia="Arial" w:hAnsi="Arial"/>
                <w:sz w:val="14"/>
                <w:szCs w:val="14"/>
                <w:color w:val="auto"/>
              </w:rPr>
              <w:t>Term F Loan</w:t>
            </w:r>
          </w:p>
        </w:tc>
        <w:tc>
          <w:tcPr>
            <w:tcW w:w="480" w:type="dxa"/>
            <w:vAlign w:val="bottom"/>
            <w:gridSpan w:val="2"/>
          </w:tcPr>
          <w:p>
            <w:pPr>
              <w:spacing w:after="0" w:line="138" w:lineRule="exact"/>
              <w:rPr>
                <w:sz w:val="20"/>
                <w:szCs w:val="20"/>
                <w:color w:val="auto"/>
              </w:rPr>
            </w:pPr>
            <w:r>
              <w:rPr>
                <w:rFonts w:ascii="Arial" w:cs="Arial" w:eastAsia="Arial" w:hAnsi="Arial"/>
                <w:sz w:val="14"/>
                <w:szCs w:val="14"/>
                <w:color w:val="auto"/>
              </w:rPr>
              <w:t>Loan</w:t>
            </w: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200" w:type="dxa"/>
            <w:vAlign w:val="bottom"/>
            <w:gridSpan w:val="2"/>
          </w:tcPr>
          <w:p>
            <w:pPr>
              <w:ind w:left="140"/>
              <w:spacing w:after="0" w:line="159" w:lineRule="exact"/>
              <w:rPr>
                <w:sz w:val="20"/>
                <w:szCs w:val="20"/>
                <w:color w:val="auto"/>
              </w:rPr>
            </w:pPr>
            <w:r>
              <w:rPr>
                <w:rFonts w:ascii="Arial" w:cs="Arial" w:eastAsia="Arial" w:hAnsi="Arial"/>
                <w:sz w:val="14"/>
                <w:szCs w:val="14"/>
                <w:color w:val="auto"/>
              </w:rPr>
              <w:t>LLC</w:t>
            </w:r>
          </w:p>
        </w:tc>
        <w:tc>
          <w:tcPr>
            <w:tcW w:w="10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3.00%</w:t>
            </w:r>
          </w:p>
        </w:tc>
        <w:tc>
          <w:tcPr>
            <w:tcW w:w="82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w w:val="91"/>
              </w:rPr>
              <w:t>12/31/2020</w:t>
            </w:r>
          </w:p>
        </w:tc>
        <w:tc>
          <w:tcPr>
            <w:tcW w:w="80" w:type="dxa"/>
            <w:vAlign w:val="bottom"/>
          </w:tcPr>
          <w:p>
            <w:pPr>
              <w:spacing w:after="0" w:line="159" w:lineRule="exact"/>
              <w:rPr>
                <w:sz w:val="20"/>
                <w:szCs w:val="20"/>
                <w:color w:val="auto"/>
              </w:rPr>
            </w:pPr>
            <w:r>
              <w:rPr>
                <w:rFonts w:ascii="Arial" w:cs="Arial" w:eastAsia="Arial" w:hAnsi="Arial"/>
                <w:sz w:val="14"/>
                <w:szCs w:val="14"/>
                <w:color w:val="auto"/>
                <w:w w:val="76"/>
              </w:rPr>
              <w:t>$</w:t>
            </w:r>
          </w:p>
        </w:tc>
        <w:tc>
          <w:tcPr>
            <w:tcW w:w="720" w:type="dxa"/>
            <w:vAlign w:val="bottom"/>
            <w:gridSpan w:val="2"/>
          </w:tcPr>
          <w:p>
            <w:pPr>
              <w:jc w:val="right"/>
              <w:ind w:right="180"/>
              <w:spacing w:after="0" w:line="159" w:lineRule="exact"/>
              <w:rPr>
                <w:sz w:val="20"/>
                <w:szCs w:val="20"/>
                <w:color w:val="auto"/>
              </w:rPr>
            </w:pPr>
            <w:r>
              <w:rPr>
                <w:rFonts w:ascii="Arial" w:cs="Arial" w:eastAsia="Arial" w:hAnsi="Arial"/>
                <w:sz w:val="14"/>
                <w:szCs w:val="14"/>
                <w:color w:val="auto"/>
                <w:w w:val="83"/>
              </w:rPr>
              <w:t>2,635,524</w:t>
            </w:r>
          </w:p>
        </w:tc>
        <w:tc>
          <w:tcPr>
            <w:tcW w:w="120" w:type="dxa"/>
            <w:vAlign w:val="bottom"/>
          </w:tcPr>
          <w:p>
            <w:pPr>
              <w:spacing w:after="0"/>
              <w:rPr>
                <w:sz w:val="13"/>
                <w:szCs w:val="13"/>
                <w:color w:val="auto"/>
              </w:rPr>
            </w:pPr>
          </w:p>
        </w:tc>
        <w:tc>
          <w:tcPr>
            <w:tcW w:w="620" w:type="dxa"/>
            <w:vAlign w:val="bottom"/>
          </w:tcPr>
          <w:p>
            <w:pPr>
              <w:jc w:val="right"/>
              <w:spacing w:after="0" w:line="159" w:lineRule="exact"/>
              <w:rPr>
                <w:sz w:val="20"/>
                <w:szCs w:val="20"/>
                <w:color w:val="auto"/>
              </w:rPr>
            </w:pPr>
            <w:r>
              <w:rPr>
                <w:rFonts w:ascii="Arial" w:cs="Arial" w:eastAsia="Arial" w:hAnsi="Arial"/>
                <w:sz w:val="14"/>
                <w:szCs w:val="14"/>
                <w:color w:val="auto"/>
                <w:w w:val="96"/>
              </w:rPr>
              <w:t>2,627,722</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jc w:val="right"/>
              <w:spacing w:after="0" w:line="159" w:lineRule="exact"/>
              <w:rPr>
                <w:sz w:val="20"/>
                <w:szCs w:val="20"/>
                <w:color w:val="auto"/>
              </w:rPr>
            </w:pPr>
            <w:r>
              <w:rPr>
                <w:rFonts w:ascii="Arial" w:cs="Arial" w:eastAsia="Arial" w:hAnsi="Arial"/>
                <w:sz w:val="14"/>
                <w:szCs w:val="14"/>
                <w:color w:val="auto"/>
                <w:w w:val="96"/>
              </w:rPr>
              <w:t>2,591,590</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2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w w:val="92"/>
              </w:rPr>
              <w:t>CHS/Community Health Systems, Inc.</w:t>
            </w:r>
          </w:p>
        </w:tc>
        <w:tc>
          <w:tcPr>
            <w:tcW w:w="246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Healthcare &amp; Pharmaceuticals</w:t>
            </w:r>
          </w:p>
        </w:tc>
        <w:tc>
          <w:tcPr>
            <w:tcW w:w="21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Term G Loan</w:t>
            </w:r>
          </w:p>
        </w:tc>
        <w:tc>
          <w:tcPr>
            <w:tcW w:w="4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Loan</w:t>
            </w:r>
          </w:p>
        </w:tc>
        <w:tc>
          <w:tcPr>
            <w:tcW w:w="7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3.75%</w:t>
            </w: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91"/>
              </w:rPr>
              <w:t>12/31/2019</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83"/>
              </w:rPr>
              <w:t>1,025,139</w:t>
            </w: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995,752</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1,001,519</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00" w:type="dxa"/>
            <w:vAlign w:val="bottom"/>
            <w:gridSpan w:val="2"/>
          </w:tcPr>
          <w:p>
            <w:pPr>
              <w:spacing w:after="0" w:line="149" w:lineRule="exact"/>
              <w:rPr>
                <w:sz w:val="20"/>
                <w:szCs w:val="20"/>
                <w:color w:val="auto"/>
              </w:rPr>
            </w:pPr>
            <w:r>
              <w:rPr>
                <w:rFonts w:ascii="Arial" w:cs="Arial" w:eastAsia="Arial" w:hAnsi="Arial"/>
                <w:sz w:val="14"/>
                <w:szCs w:val="14"/>
                <w:color w:val="auto"/>
                <w:w w:val="92"/>
              </w:rPr>
              <w:t>CHS/Community Health Systems, Inc.</w:t>
            </w:r>
          </w:p>
        </w:tc>
        <w:tc>
          <w:tcPr>
            <w:tcW w:w="246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Healthcare &amp; Pharmaceuticals</w:t>
            </w:r>
          </w:p>
        </w:tc>
        <w:tc>
          <w:tcPr>
            <w:tcW w:w="2160" w:type="dxa"/>
            <w:vAlign w:val="bottom"/>
            <w:gridSpan w:val="2"/>
          </w:tcPr>
          <w:p>
            <w:pPr>
              <w:spacing w:after="0" w:line="149" w:lineRule="exact"/>
              <w:rPr>
                <w:sz w:val="20"/>
                <w:szCs w:val="20"/>
                <w:color w:val="auto"/>
              </w:rPr>
            </w:pPr>
            <w:r>
              <w:rPr>
                <w:rFonts w:ascii="Arial" w:cs="Arial" w:eastAsia="Arial" w:hAnsi="Arial"/>
                <w:sz w:val="14"/>
                <w:szCs w:val="14"/>
                <w:color w:val="auto"/>
              </w:rPr>
              <w:t>Term H Loan</w:t>
            </w:r>
          </w:p>
        </w:tc>
        <w:tc>
          <w:tcPr>
            <w:tcW w:w="480" w:type="dxa"/>
            <w:vAlign w:val="bottom"/>
            <w:gridSpan w:val="2"/>
          </w:tcPr>
          <w:p>
            <w:pPr>
              <w:spacing w:after="0" w:line="149" w:lineRule="exact"/>
              <w:rPr>
                <w:sz w:val="20"/>
                <w:szCs w:val="20"/>
                <w:color w:val="auto"/>
              </w:rPr>
            </w:pPr>
            <w:r>
              <w:rPr>
                <w:rFonts w:ascii="Arial" w:cs="Arial" w:eastAsia="Arial" w:hAnsi="Arial"/>
                <w:sz w:val="14"/>
                <w:szCs w:val="14"/>
                <w:color w:val="auto"/>
              </w:rPr>
              <w:t>Loan</w:t>
            </w:r>
          </w:p>
        </w:tc>
        <w:tc>
          <w:tcPr>
            <w:tcW w:w="7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4.00%</w:t>
            </w: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1/27/2021</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83"/>
              </w:rPr>
              <w:t>1,886,228</w:t>
            </w:r>
          </w:p>
        </w:tc>
        <w:tc>
          <w:tcPr>
            <w:tcW w:w="1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w w:val="96"/>
              </w:rPr>
              <w:t>1,830,797</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w w:val="96"/>
              </w:rPr>
              <w:t>1,852,690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Cinedigm Digital Funding I, LLC</w:t>
            </w:r>
          </w:p>
        </w:tc>
        <w:tc>
          <w:tcPr>
            <w:tcW w:w="246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Services: Business</w:t>
            </w:r>
          </w:p>
        </w:tc>
        <w:tc>
          <w:tcPr>
            <w:tcW w:w="21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Term Loan</w:t>
            </w:r>
          </w:p>
        </w:tc>
        <w:tc>
          <w:tcPr>
            <w:tcW w:w="4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Loan</w:t>
            </w:r>
          </w:p>
        </w:tc>
        <w:tc>
          <w:tcPr>
            <w:tcW w:w="7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3.75%</w:t>
            </w: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2/28/2018</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363,911</w:t>
            </w: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361,914</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362,091</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00" w:type="dxa"/>
            <w:vAlign w:val="bottom"/>
            <w:gridSpan w:val="2"/>
          </w:tcPr>
          <w:p>
            <w:pPr>
              <w:spacing w:after="0" w:line="149" w:lineRule="exact"/>
              <w:rPr>
                <w:sz w:val="20"/>
                <w:szCs w:val="20"/>
                <w:color w:val="auto"/>
              </w:rPr>
            </w:pPr>
            <w:r>
              <w:rPr>
                <w:rFonts w:ascii="Arial" w:cs="Arial" w:eastAsia="Arial" w:hAnsi="Arial"/>
                <w:sz w:val="14"/>
                <w:szCs w:val="14"/>
                <w:color w:val="auto"/>
              </w:rPr>
              <w:t>CITGO Petroleum Corporation</w:t>
            </w:r>
          </w:p>
        </w:tc>
        <w:tc>
          <w:tcPr>
            <w:tcW w:w="246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Oil &amp; Gas</w:t>
            </w:r>
          </w:p>
        </w:tc>
        <w:tc>
          <w:tcPr>
            <w:tcW w:w="2160" w:type="dxa"/>
            <w:vAlign w:val="bottom"/>
            <w:gridSpan w:val="2"/>
          </w:tcPr>
          <w:p>
            <w:pPr>
              <w:spacing w:after="0" w:line="149" w:lineRule="exact"/>
              <w:rPr>
                <w:sz w:val="20"/>
                <w:szCs w:val="20"/>
                <w:color w:val="auto"/>
              </w:rPr>
            </w:pPr>
            <w:r>
              <w:rPr>
                <w:rFonts w:ascii="Arial" w:cs="Arial" w:eastAsia="Arial" w:hAnsi="Arial"/>
                <w:sz w:val="14"/>
                <w:szCs w:val="14"/>
                <w:color w:val="auto"/>
              </w:rPr>
              <w:t>Term Loan B</w:t>
            </w:r>
          </w:p>
        </w:tc>
        <w:tc>
          <w:tcPr>
            <w:tcW w:w="480" w:type="dxa"/>
            <w:vAlign w:val="bottom"/>
            <w:gridSpan w:val="2"/>
          </w:tcPr>
          <w:p>
            <w:pPr>
              <w:spacing w:after="0" w:line="149" w:lineRule="exact"/>
              <w:rPr>
                <w:sz w:val="20"/>
                <w:szCs w:val="20"/>
                <w:color w:val="auto"/>
              </w:rPr>
            </w:pPr>
            <w:r>
              <w:rPr>
                <w:rFonts w:ascii="Arial" w:cs="Arial" w:eastAsia="Arial" w:hAnsi="Arial"/>
                <w:sz w:val="14"/>
                <w:szCs w:val="14"/>
                <w:color w:val="auto"/>
              </w:rPr>
              <w:t>Loan</w:t>
            </w:r>
          </w:p>
        </w:tc>
        <w:tc>
          <w:tcPr>
            <w:tcW w:w="7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4.50%</w:t>
            </w: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7/29/2021</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990,000</w:t>
            </w:r>
          </w:p>
        </w:tc>
        <w:tc>
          <w:tcPr>
            <w:tcW w:w="1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986,914</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964,428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ClubCorp Club Operations, Inc.</w:t>
            </w:r>
          </w:p>
        </w:tc>
        <w:tc>
          <w:tcPr>
            <w:tcW w:w="246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Lodging &amp; Casinos</w:t>
            </w:r>
          </w:p>
        </w:tc>
        <w:tc>
          <w:tcPr>
            <w:tcW w:w="21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Term Loan B</w:t>
            </w:r>
          </w:p>
        </w:tc>
        <w:tc>
          <w:tcPr>
            <w:tcW w:w="4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Loan</w:t>
            </w:r>
          </w:p>
        </w:tc>
        <w:tc>
          <w:tcPr>
            <w:tcW w:w="7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4.25%</w:t>
            </w: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7/24/2020</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500,000</w:t>
            </w: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496,250</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497,710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00" w:type="dxa"/>
            <w:vAlign w:val="bottom"/>
            <w:gridSpan w:val="2"/>
          </w:tcPr>
          <w:p>
            <w:pPr>
              <w:spacing w:after="0" w:line="149" w:lineRule="exact"/>
              <w:rPr>
                <w:sz w:val="20"/>
                <w:szCs w:val="20"/>
                <w:color w:val="auto"/>
              </w:rPr>
            </w:pPr>
            <w:r>
              <w:rPr>
                <w:rFonts w:ascii="Arial" w:cs="Arial" w:eastAsia="Arial" w:hAnsi="Arial"/>
                <w:sz w:val="14"/>
                <w:szCs w:val="14"/>
                <w:color w:val="auto"/>
                <w:w w:val="90"/>
              </w:rPr>
              <w:t>Communications Sales &amp; Leasing, Inc.</w:t>
            </w:r>
          </w:p>
        </w:tc>
        <w:tc>
          <w:tcPr>
            <w:tcW w:w="246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Telecommunications</w:t>
            </w:r>
          </w:p>
        </w:tc>
        <w:tc>
          <w:tcPr>
            <w:tcW w:w="2160" w:type="dxa"/>
            <w:vAlign w:val="bottom"/>
            <w:gridSpan w:val="2"/>
          </w:tcPr>
          <w:p>
            <w:pPr>
              <w:spacing w:after="0" w:line="149" w:lineRule="exact"/>
              <w:rPr>
                <w:sz w:val="20"/>
                <w:szCs w:val="20"/>
                <w:color w:val="auto"/>
              </w:rPr>
            </w:pPr>
            <w:r>
              <w:rPr>
                <w:rFonts w:ascii="Arial" w:cs="Arial" w:eastAsia="Arial" w:hAnsi="Arial"/>
                <w:sz w:val="14"/>
                <w:szCs w:val="14"/>
                <w:color w:val="auto"/>
              </w:rPr>
              <w:t>Term Loan B (First Lien)</w:t>
            </w:r>
          </w:p>
        </w:tc>
        <w:tc>
          <w:tcPr>
            <w:tcW w:w="480" w:type="dxa"/>
            <w:vAlign w:val="bottom"/>
            <w:gridSpan w:val="2"/>
          </w:tcPr>
          <w:p>
            <w:pPr>
              <w:spacing w:after="0" w:line="149" w:lineRule="exact"/>
              <w:rPr>
                <w:sz w:val="20"/>
                <w:szCs w:val="20"/>
                <w:color w:val="auto"/>
              </w:rPr>
            </w:pPr>
            <w:r>
              <w:rPr>
                <w:rFonts w:ascii="Arial" w:cs="Arial" w:eastAsia="Arial" w:hAnsi="Arial"/>
                <w:sz w:val="14"/>
                <w:szCs w:val="14"/>
                <w:color w:val="auto"/>
              </w:rPr>
              <w:t>Loan</w:t>
            </w:r>
          </w:p>
        </w:tc>
        <w:tc>
          <w:tcPr>
            <w:tcW w:w="7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5.00%</w:t>
            </w: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w w:val="91"/>
              </w:rPr>
              <w:t>10/24/2022</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83"/>
              </w:rPr>
              <w:t>1,995,000</w:t>
            </w:r>
          </w:p>
        </w:tc>
        <w:tc>
          <w:tcPr>
            <w:tcW w:w="1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w w:val="96"/>
              </w:rPr>
              <w:t>1,983,253</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w w:val="96"/>
              </w:rPr>
              <w:t>1,841,644</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CommScope, Inc.</w:t>
            </w:r>
          </w:p>
        </w:tc>
        <w:tc>
          <w:tcPr>
            <w:tcW w:w="246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Telecommunications</w:t>
            </w:r>
          </w:p>
        </w:tc>
        <w:tc>
          <w:tcPr>
            <w:tcW w:w="21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Term Loan B</w:t>
            </w:r>
          </w:p>
        </w:tc>
        <w:tc>
          <w:tcPr>
            <w:tcW w:w="4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Loan</w:t>
            </w:r>
          </w:p>
        </w:tc>
        <w:tc>
          <w:tcPr>
            <w:tcW w:w="7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3.75%</w:t>
            </w: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5/27/2022</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500,000</w:t>
            </w: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498,786</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494,065</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200" w:type="dxa"/>
            <w:vAlign w:val="bottom"/>
            <w:gridSpan w:val="2"/>
          </w:tcPr>
          <w:p>
            <w:pPr>
              <w:spacing w:after="0" w:line="138" w:lineRule="exact"/>
              <w:rPr>
                <w:sz w:val="20"/>
                <w:szCs w:val="20"/>
                <w:color w:val="auto"/>
              </w:rPr>
            </w:pPr>
            <w:r>
              <w:rPr>
                <w:rFonts w:ascii="Arial" w:cs="Arial" w:eastAsia="Arial" w:hAnsi="Arial"/>
                <w:sz w:val="14"/>
                <w:szCs w:val="14"/>
                <w:color w:val="auto"/>
              </w:rPr>
              <w:t>Consolidated Aerospace</w:t>
            </w:r>
          </w:p>
        </w:tc>
        <w:tc>
          <w:tcPr>
            <w:tcW w:w="2460" w:type="dxa"/>
            <w:vAlign w:val="bottom"/>
            <w:gridSpan w:val="3"/>
          </w:tcPr>
          <w:p>
            <w:pPr>
              <w:ind w:left="100"/>
              <w:spacing w:after="0" w:line="138" w:lineRule="exact"/>
              <w:rPr>
                <w:sz w:val="20"/>
                <w:szCs w:val="20"/>
                <w:color w:val="auto"/>
              </w:rPr>
            </w:pPr>
            <w:r>
              <w:rPr>
                <w:rFonts w:ascii="Arial" w:cs="Arial" w:eastAsia="Arial" w:hAnsi="Arial"/>
                <w:sz w:val="14"/>
                <w:szCs w:val="14"/>
                <w:color w:val="auto"/>
              </w:rPr>
              <w:t>Aerospace and Defense</w:t>
            </w:r>
          </w:p>
        </w:tc>
        <w:tc>
          <w:tcPr>
            <w:tcW w:w="2160" w:type="dxa"/>
            <w:vAlign w:val="bottom"/>
            <w:gridSpan w:val="2"/>
          </w:tcPr>
          <w:p>
            <w:pPr>
              <w:spacing w:after="0" w:line="138" w:lineRule="exact"/>
              <w:rPr>
                <w:sz w:val="20"/>
                <w:szCs w:val="20"/>
                <w:color w:val="auto"/>
              </w:rPr>
            </w:pPr>
            <w:r>
              <w:rPr>
                <w:rFonts w:ascii="Arial" w:cs="Arial" w:eastAsia="Arial" w:hAnsi="Arial"/>
                <w:sz w:val="14"/>
                <w:szCs w:val="14"/>
                <w:color w:val="auto"/>
              </w:rPr>
              <w:t>Term Loan (First Lien)</w:t>
            </w:r>
          </w:p>
        </w:tc>
        <w:tc>
          <w:tcPr>
            <w:tcW w:w="480" w:type="dxa"/>
            <w:vAlign w:val="bottom"/>
            <w:gridSpan w:val="2"/>
          </w:tcPr>
          <w:p>
            <w:pPr>
              <w:spacing w:after="0" w:line="138" w:lineRule="exact"/>
              <w:rPr>
                <w:sz w:val="20"/>
                <w:szCs w:val="20"/>
                <w:color w:val="auto"/>
              </w:rPr>
            </w:pPr>
            <w:r>
              <w:rPr>
                <w:rFonts w:ascii="Arial" w:cs="Arial" w:eastAsia="Arial" w:hAnsi="Arial"/>
                <w:sz w:val="14"/>
                <w:szCs w:val="14"/>
                <w:color w:val="auto"/>
              </w:rPr>
              <w:t>Loan</w:t>
            </w: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200" w:type="dxa"/>
            <w:vAlign w:val="bottom"/>
            <w:gridSpan w:val="2"/>
          </w:tcPr>
          <w:p>
            <w:pPr>
              <w:ind w:left="140"/>
              <w:spacing w:after="0" w:line="159" w:lineRule="exact"/>
              <w:rPr>
                <w:sz w:val="20"/>
                <w:szCs w:val="20"/>
                <w:color w:val="auto"/>
              </w:rPr>
            </w:pPr>
            <w:r>
              <w:rPr>
                <w:rFonts w:ascii="Arial" w:cs="Arial" w:eastAsia="Arial" w:hAnsi="Arial"/>
                <w:sz w:val="14"/>
                <w:szCs w:val="14"/>
                <w:color w:val="auto"/>
              </w:rPr>
              <w:t>Manufacturing, LLC</w:t>
            </w:r>
          </w:p>
        </w:tc>
        <w:tc>
          <w:tcPr>
            <w:tcW w:w="10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4.75%</w:t>
            </w:r>
          </w:p>
        </w:tc>
        <w:tc>
          <w:tcPr>
            <w:tcW w:w="82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8/11/2022</w:t>
            </w:r>
          </w:p>
        </w:tc>
        <w:tc>
          <w:tcPr>
            <w:tcW w:w="80" w:type="dxa"/>
            <w:vAlign w:val="bottom"/>
          </w:tcPr>
          <w:p>
            <w:pPr>
              <w:spacing w:after="0" w:line="159" w:lineRule="exact"/>
              <w:rPr>
                <w:sz w:val="20"/>
                <w:szCs w:val="20"/>
                <w:color w:val="auto"/>
              </w:rPr>
            </w:pPr>
            <w:r>
              <w:rPr>
                <w:rFonts w:ascii="Arial" w:cs="Arial" w:eastAsia="Arial" w:hAnsi="Arial"/>
                <w:sz w:val="14"/>
                <w:szCs w:val="14"/>
                <w:color w:val="auto"/>
                <w:w w:val="76"/>
              </w:rPr>
              <w:t>$</w:t>
            </w:r>
          </w:p>
        </w:tc>
        <w:tc>
          <w:tcPr>
            <w:tcW w:w="720" w:type="dxa"/>
            <w:vAlign w:val="bottom"/>
            <w:gridSpan w:val="2"/>
          </w:tcPr>
          <w:p>
            <w:pPr>
              <w:jc w:val="right"/>
              <w:ind w:right="180"/>
              <w:spacing w:after="0" w:line="159" w:lineRule="exact"/>
              <w:rPr>
                <w:sz w:val="20"/>
                <w:szCs w:val="20"/>
                <w:color w:val="auto"/>
              </w:rPr>
            </w:pPr>
            <w:r>
              <w:rPr>
                <w:rFonts w:ascii="Arial" w:cs="Arial" w:eastAsia="Arial" w:hAnsi="Arial"/>
                <w:sz w:val="14"/>
                <w:szCs w:val="14"/>
                <w:color w:val="auto"/>
                <w:w w:val="83"/>
              </w:rPr>
              <w:t>1,437,500</w:t>
            </w:r>
          </w:p>
        </w:tc>
        <w:tc>
          <w:tcPr>
            <w:tcW w:w="120" w:type="dxa"/>
            <w:vAlign w:val="bottom"/>
          </w:tcPr>
          <w:p>
            <w:pPr>
              <w:spacing w:after="0"/>
              <w:rPr>
                <w:sz w:val="13"/>
                <w:szCs w:val="13"/>
                <w:color w:val="auto"/>
              </w:rPr>
            </w:pPr>
          </w:p>
        </w:tc>
        <w:tc>
          <w:tcPr>
            <w:tcW w:w="620" w:type="dxa"/>
            <w:vAlign w:val="bottom"/>
          </w:tcPr>
          <w:p>
            <w:pPr>
              <w:jc w:val="right"/>
              <w:spacing w:after="0" w:line="159" w:lineRule="exact"/>
              <w:rPr>
                <w:sz w:val="20"/>
                <w:szCs w:val="20"/>
                <w:color w:val="auto"/>
              </w:rPr>
            </w:pPr>
            <w:r>
              <w:rPr>
                <w:rFonts w:ascii="Arial" w:cs="Arial" w:eastAsia="Arial" w:hAnsi="Arial"/>
                <w:sz w:val="14"/>
                <w:szCs w:val="14"/>
                <w:color w:val="auto"/>
                <w:w w:val="96"/>
              </w:rPr>
              <w:t>1,430,427</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jc w:val="right"/>
              <w:spacing w:after="0" w:line="159" w:lineRule="exact"/>
              <w:rPr>
                <w:sz w:val="20"/>
                <w:szCs w:val="20"/>
                <w:color w:val="auto"/>
              </w:rPr>
            </w:pPr>
            <w:r>
              <w:rPr>
                <w:rFonts w:ascii="Arial" w:cs="Arial" w:eastAsia="Arial" w:hAnsi="Arial"/>
                <w:sz w:val="14"/>
                <w:szCs w:val="14"/>
                <w:color w:val="auto"/>
                <w:w w:val="96"/>
              </w:rPr>
              <w:t>1,380,000</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2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Concordia Healthcare Corp</w:t>
            </w:r>
          </w:p>
        </w:tc>
        <w:tc>
          <w:tcPr>
            <w:tcW w:w="246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Healthcare &amp; Pharmaceuticals</w:t>
            </w:r>
          </w:p>
        </w:tc>
        <w:tc>
          <w:tcPr>
            <w:tcW w:w="21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Term Loan B</w:t>
            </w:r>
          </w:p>
        </w:tc>
        <w:tc>
          <w:tcPr>
            <w:tcW w:w="4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Loan</w:t>
            </w:r>
          </w:p>
        </w:tc>
        <w:tc>
          <w:tcPr>
            <w:tcW w:w="7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5.25%</w:t>
            </w: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91"/>
              </w:rPr>
              <w:t>10/21/2021</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83"/>
              </w:rPr>
              <w:t>2,000,000</w:t>
            </w: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1,890,586</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1,904,160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00" w:type="dxa"/>
            <w:vAlign w:val="bottom"/>
            <w:gridSpan w:val="2"/>
          </w:tcPr>
          <w:p>
            <w:pPr>
              <w:spacing w:after="0" w:line="149" w:lineRule="exact"/>
              <w:rPr>
                <w:sz w:val="20"/>
                <w:szCs w:val="20"/>
                <w:color w:val="auto"/>
              </w:rPr>
            </w:pPr>
            <w:r>
              <w:rPr>
                <w:rFonts w:ascii="Arial" w:cs="Arial" w:eastAsia="Arial" w:hAnsi="Arial"/>
                <w:sz w:val="14"/>
                <w:szCs w:val="14"/>
                <w:color w:val="auto"/>
              </w:rPr>
              <w:t>CPI Acquisition Inc.</w:t>
            </w:r>
          </w:p>
        </w:tc>
        <w:tc>
          <w:tcPr>
            <w:tcW w:w="246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Technology</w:t>
            </w:r>
          </w:p>
        </w:tc>
        <w:tc>
          <w:tcPr>
            <w:tcW w:w="2160" w:type="dxa"/>
            <w:vAlign w:val="bottom"/>
            <w:gridSpan w:val="2"/>
          </w:tcPr>
          <w:p>
            <w:pPr>
              <w:spacing w:after="0" w:line="149" w:lineRule="exact"/>
              <w:rPr>
                <w:sz w:val="20"/>
                <w:szCs w:val="20"/>
                <w:color w:val="auto"/>
              </w:rPr>
            </w:pPr>
            <w:r>
              <w:rPr>
                <w:rFonts w:ascii="Arial" w:cs="Arial" w:eastAsia="Arial" w:hAnsi="Arial"/>
                <w:sz w:val="14"/>
                <w:szCs w:val="14"/>
                <w:color w:val="auto"/>
              </w:rPr>
              <w:t>Term Loan B (First Lien)</w:t>
            </w:r>
          </w:p>
        </w:tc>
        <w:tc>
          <w:tcPr>
            <w:tcW w:w="480" w:type="dxa"/>
            <w:vAlign w:val="bottom"/>
            <w:gridSpan w:val="2"/>
          </w:tcPr>
          <w:p>
            <w:pPr>
              <w:spacing w:after="0" w:line="149" w:lineRule="exact"/>
              <w:rPr>
                <w:sz w:val="20"/>
                <w:szCs w:val="20"/>
                <w:color w:val="auto"/>
              </w:rPr>
            </w:pPr>
            <w:r>
              <w:rPr>
                <w:rFonts w:ascii="Arial" w:cs="Arial" w:eastAsia="Arial" w:hAnsi="Arial"/>
                <w:sz w:val="14"/>
                <w:szCs w:val="14"/>
                <w:color w:val="auto"/>
              </w:rPr>
              <w:t>Loan</w:t>
            </w:r>
          </w:p>
        </w:tc>
        <w:tc>
          <w:tcPr>
            <w:tcW w:w="7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5.50%</w:t>
            </w: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8/17/2022</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83"/>
              </w:rPr>
              <w:t>1,482,759</w:t>
            </w:r>
          </w:p>
        </w:tc>
        <w:tc>
          <w:tcPr>
            <w:tcW w:w="1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w w:val="96"/>
              </w:rPr>
              <w:t>1,460,694</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w w:val="96"/>
              </w:rPr>
              <w:t>1,474,426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20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CPI International Acquisition, Inc.</w:t>
            </w:r>
          </w:p>
        </w:tc>
        <w:tc>
          <w:tcPr>
            <w:tcW w:w="2460" w:type="dxa"/>
            <w:vAlign w:val="bottom"/>
            <w:gridSpan w:val="3"/>
            <w:shd w:val="clear" w:color="auto" w:fill="CCEEFF"/>
          </w:tcPr>
          <w:p>
            <w:pPr>
              <w:ind w:left="100"/>
              <w:spacing w:after="0" w:line="138" w:lineRule="exact"/>
              <w:rPr>
                <w:sz w:val="20"/>
                <w:szCs w:val="20"/>
                <w:color w:val="auto"/>
              </w:rPr>
            </w:pPr>
            <w:r>
              <w:rPr>
                <w:rFonts w:ascii="Arial" w:cs="Arial" w:eastAsia="Arial" w:hAnsi="Arial"/>
                <w:sz w:val="14"/>
                <w:szCs w:val="14"/>
                <w:color w:val="auto"/>
              </w:rPr>
              <w:t>Electronics/Electric</w:t>
            </w:r>
          </w:p>
        </w:tc>
        <w:tc>
          <w:tcPr>
            <w:tcW w:w="216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Term B Loan</w:t>
            </w:r>
          </w:p>
        </w:tc>
        <w:tc>
          <w:tcPr>
            <w:tcW w:w="48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Loan</w:t>
            </w:r>
          </w:p>
        </w:tc>
        <w:tc>
          <w:tcPr>
            <w:tcW w:w="5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200" w:type="dxa"/>
            <w:vAlign w:val="bottom"/>
            <w:gridSpan w:val="2"/>
            <w:shd w:val="clear" w:color="auto" w:fill="CCEEFF"/>
          </w:tcPr>
          <w:p>
            <w:pPr>
              <w:ind w:left="140"/>
              <w:spacing w:after="0" w:line="159" w:lineRule="exact"/>
              <w:rPr>
                <w:sz w:val="20"/>
                <w:szCs w:val="20"/>
                <w:color w:val="auto"/>
              </w:rPr>
            </w:pPr>
            <w:r>
              <w:rPr>
                <w:rFonts w:ascii="Arial" w:cs="Arial" w:eastAsia="Arial" w:hAnsi="Arial"/>
                <w:sz w:val="14"/>
                <w:szCs w:val="14"/>
                <w:color w:val="auto"/>
              </w:rPr>
              <w:t>(f/k/a Catalyst Holdings, Inc.)</w:t>
            </w:r>
          </w:p>
        </w:tc>
        <w:tc>
          <w:tcPr>
            <w:tcW w:w="100" w:type="dxa"/>
            <w:vAlign w:val="bottom"/>
            <w:shd w:val="clear" w:color="auto" w:fill="CCEEFF"/>
          </w:tcPr>
          <w:p>
            <w:pPr>
              <w:spacing w:after="0"/>
              <w:rPr>
                <w:sz w:val="13"/>
                <w:szCs w:val="13"/>
                <w:color w:val="auto"/>
              </w:rPr>
            </w:pPr>
          </w:p>
        </w:tc>
        <w:tc>
          <w:tcPr>
            <w:tcW w:w="2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4.25%</w:t>
            </w:r>
          </w:p>
        </w:tc>
        <w:tc>
          <w:tcPr>
            <w:tcW w:w="82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w w:val="91"/>
              </w:rPr>
              <w:t>11/17/2017</w:t>
            </w:r>
          </w:p>
        </w:tc>
        <w:tc>
          <w:tcPr>
            <w:tcW w:w="8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w w:val="76"/>
              </w:rPr>
              <w:t>$</w:t>
            </w:r>
          </w:p>
        </w:tc>
        <w:tc>
          <w:tcPr>
            <w:tcW w:w="720" w:type="dxa"/>
            <w:vAlign w:val="bottom"/>
            <w:gridSpan w:val="2"/>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w w:val="83"/>
              </w:rPr>
              <w:t>1,568,163</w:t>
            </w: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96"/>
              </w:rPr>
              <w:t>1,568,163</w:t>
            </w: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96"/>
              </w:rPr>
              <w:t>1,540,720</w:t>
            </w: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200" w:type="dxa"/>
            <w:vAlign w:val="bottom"/>
            <w:gridSpan w:val="2"/>
          </w:tcPr>
          <w:p>
            <w:pPr>
              <w:spacing w:after="0" w:line="149" w:lineRule="exact"/>
              <w:rPr>
                <w:sz w:val="20"/>
                <w:szCs w:val="20"/>
                <w:color w:val="auto"/>
              </w:rPr>
            </w:pPr>
            <w:r>
              <w:rPr>
                <w:rFonts w:ascii="Arial" w:cs="Arial" w:eastAsia="Arial" w:hAnsi="Arial"/>
                <w:sz w:val="14"/>
                <w:szCs w:val="14"/>
                <w:color w:val="auto"/>
              </w:rPr>
              <w:t>Crosby US Acquisition Corp.</w:t>
            </w:r>
          </w:p>
        </w:tc>
        <w:tc>
          <w:tcPr>
            <w:tcW w:w="246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Industrial Equipment</w:t>
            </w:r>
          </w:p>
        </w:tc>
        <w:tc>
          <w:tcPr>
            <w:tcW w:w="2160" w:type="dxa"/>
            <w:vAlign w:val="bottom"/>
            <w:gridSpan w:val="2"/>
          </w:tcPr>
          <w:p>
            <w:pPr>
              <w:spacing w:after="0" w:line="149" w:lineRule="exact"/>
              <w:rPr>
                <w:sz w:val="20"/>
                <w:szCs w:val="20"/>
                <w:color w:val="auto"/>
              </w:rPr>
            </w:pPr>
            <w:r>
              <w:rPr>
                <w:rFonts w:ascii="Arial" w:cs="Arial" w:eastAsia="Arial" w:hAnsi="Arial"/>
                <w:sz w:val="14"/>
                <w:szCs w:val="14"/>
                <w:color w:val="auto"/>
              </w:rPr>
              <w:t>Initial Term Loan (First Lien)</w:t>
            </w:r>
          </w:p>
        </w:tc>
        <w:tc>
          <w:tcPr>
            <w:tcW w:w="480" w:type="dxa"/>
            <w:vAlign w:val="bottom"/>
            <w:gridSpan w:val="2"/>
          </w:tcPr>
          <w:p>
            <w:pPr>
              <w:spacing w:after="0" w:line="149" w:lineRule="exact"/>
              <w:rPr>
                <w:sz w:val="20"/>
                <w:szCs w:val="20"/>
                <w:color w:val="auto"/>
              </w:rPr>
            </w:pPr>
            <w:r>
              <w:rPr>
                <w:rFonts w:ascii="Arial" w:cs="Arial" w:eastAsia="Arial" w:hAnsi="Arial"/>
                <w:sz w:val="14"/>
                <w:szCs w:val="14"/>
                <w:color w:val="auto"/>
              </w:rPr>
              <w:t>Loan</w:t>
            </w:r>
          </w:p>
        </w:tc>
        <w:tc>
          <w:tcPr>
            <w:tcW w:w="7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4.00%</w:t>
            </w: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w w:val="91"/>
              </w:rPr>
              <w:t>11/23/2020</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736,875</w:t>
            </w:r>
          </w:p>
        </w:tc>
        <w:tc>
          <w:tcPr>
            <w:tcW w:w="1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736,192</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589,500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20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Crown Castle Operating Company</w:t>
            </w:r>
          </w:p>
        </w:tc>
        <w:tc>
          <w:tcPr>
            <w:tcW w:w="2460" w:type="dxa"/>
            <w:vAlign w:val="bottom"/>
            <w:gridSpan w:val="3"/>
            <w:shd w:val="clear" w:color="auto" w:fill="CCEEFF"/>
          </w:tcPr>
          <w:p>
            <w:pPr>
              <w:ind w:left="100"/>
              <w:spacing w:after="0" w:line="138" w:lineRule="exact"/>
              <w:rPr>
                <w:sz w:val="20"/>
                <w:szCs w:val="20"/>
                <w:color w:val="auto"/>
              </w:rPr>
            </w:pPr>
            <w:r>
              <w:rPr>
                <w:rFonts w:ascii="Arial" w:cs="Arial" w:eastAsia="Arial" w:hAnsi="Arial"/>
                <w:sz w:val="14"/>
                <w:szCs w:val="14"/>
                <w:color w:val="auto"/>
              </w:rPr>
              <w:t>Telecommunications/Cellular</w:t>
            </w:r>
          </w:p>
        </w:tc>
        <w:tc>
          <w:tcPr>
            <w:tcW w:w="216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w w:val="98"/>
              </w:rPr>
              <w:t>Extended Incremental Tranche B-2</w:t>
            </w:r>
          </w:p>
        </w:tc>
        <w:tc>
          <w:tcPr>
            <w:tcW w:w="48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Loan</w:t>
            </w:r>
          </w:p>
        </w:tc>
        <w:tc>
          <w:tcPr>
            <w:tcW w:w="5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78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160" w:type="dxa"/>
            <w:vAlign w:val="bottom"/>
            <w:gridSpan w:val="2"/>
            <w:shd w:val="clear" w:color="auto" w:fill="CCEEFF"/>
          </w:tcPr>
          <w:p>
            <w:pPr>
              <w:spacing w:after="0" w:line="159" w:lineRule="exact"/>
              <w:rPr>
                <w:sz w:val="20"/>
                <w:szCs w:val="20"/>
                <w:color w:val="auto"/>
              </w:rPr>
            </w:pPr>
            <w:r>
              <w:rPr>
                <w:rFonts w:ascii="Arial" w:cs="Arial" w:eastAsia="Arial" w:hAnsi="Arial"/>
                <w:sz w:val="14"/>
                <w:szCs w:val="14"/>
                <w:color w:val="auto"/>
              </w:rPr>
              <w:t>Term Loan</w:t>
            </w: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3.00%</w:t>
            </w:r>
          </w:p>
        </w:tc>
        <w:tc>
          <w:tcPr>
            <w:tcW w:w="82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1/31/2021</w:t>
            </w:r>
          </w:p>
        </w:tc>
        <w:tc>
          <w:tcPr>
            <w:tcW w:w="8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w w:val="76"/>
              </w:rPr>
              <w:t>$</w:t>
            </w:r>
          </w:p>
        </w:tc>
        <w:tc>
          <w:tcPr>
            <w:tcW w:w="720" w:type="dxa"/>
            <w:vAlign w:val="bottom"/>
            <w:gridSpan w:val="2"/>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w w:val="83"/>
              </w:rPr>
              <w:t>1,422,206</w:t>
            </w: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96"/>
              </w:rPr>
              <w:t>1,422,206</w:t>
            </w: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96"/>
              </w:rPr>
              <w:t>1,407,984</w:t>
            </w: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200" w:type="dxa"/>
            <w:vAlign w:val="bottom"/>
            <w:gridSpan w:val="2"/>
          </w:tcPr>
          <w:p>
            <w:pPr>
              <w:spacing w:after="0" w:line="138" w:lineRule="exact"/>
              <w:rPr>
                <w:sz w:val="20"/>
                <w:szCs w:val="20"/>
                <w:color w:val="auto"/>
              </w:rPr>
            </w:pPr>
            <w:r>
              <w:rPr>
                <w:rFonts w:ascii="Arial" w:cs="Arial" w:eastAsia="Arial" w:hAnsi="Arial"/>
                <w:sz w:val="14"/>
                <w:szCs w:val="14"/>
                <w:color w:val="auto"/>
                <w:w w:val="94"/>
              </w:rPr>
              <w:t>CT Technologies Intermediate Hldgs,</w:t>
            </w:r>
          </w:p>
        </w:tc>
        <w:tc>
          <w:tcPr>
            <w:tcW w:w="2460" w:type="dxa"/>
            <w:vAlign w:val="bottom"/>
            <w:gridSpan w:val="3"/>
          </w:tcPr>
          <w:p>
            <w:pPr>
              <w:ind w:left="100"/>
              <w:spacing w:after="0" w:line="138" w:lineRule="exact"/>
              <w:rPr>
                <w:sz w:val="20"/>
                <w:szCs w:val="20"/>
                <w:color w:val="auto"/>
              </w:rPr>
            </w:pPr>
            <w:r>
              <w:rPr>
                <w:rFonts w:ascii="Arial" w:cs="Arial" w:eastAsia="Arial" w:hAnsi="Arial"/>
                <w:sz w:val="14"/>
                <w:szCs w:val="14"/>
                <w:color w:val="auto"/>
              </w:rPr>
              <w:t>Healthcare &amp; Pharmaceuticals</w:t>
            </w:r>
          </w:p>
        </w:tc>
        <w:tc>
          <w:tcPr>
            <w:tcW w:w="2160" w:type="dxa"/>
            <w:vAlign w:val="bottom"/>
            <w:gridSpan w:val="2"/>
          </w:tcPr>
          <w:p>
            <w:pPr>
              <w:spacing w:after="0" w:line="138" w:lineRule="exact"/>
              <w:rPr>
                <w:sz w:val="20"/>
                <w:szCs w:val="20"/>
                <w:color w:val="auto"/>
              </w:rPr>
            </w:pPr>
            <w:r>
              <w:rPr>
                <w:rFonts w:ascii="Arial" w:cs="Arial" w:eastAsia="Arial" w:hAnsi="Arial"/>
                <w:sz w:val="14"/>
                <w:szCs w:val="14"/>
                <w:color w:val="auto"/>
              </w:rPr>
              <w:t>Term Loan</w:t>
            </w:r>
          </w:p>
        </w:tc>
        <w:tc>
          <w:tcPr>
            <w:tcW w:w="480" w:type="dxa"/>
            <w:vAlign w:val="bottom"/>
            <w:gridSpan w:val="2"/>
          </w:tcPr>
          <w:p>
            <w:pPr>
              <w:spacing w:after="0" w:line="138" w:lineRule="exact"/>
              <w:rPr>
                <w:sz w:val="20"/>
                <w:szCs w:val="20"/>
                <w:color w:val="auto"/>
              </w:rPr>
            </w:pPr>
            <w:r>
              <w:rPr>
                <w:rFonts w:ascii="Arial" w:cs="Arial" w:eastAsia="Arial" w:hAnsi="Arial"/>
                <w:sz w:val="14"/>
                <w:szCs w:val="14"/>
                <w:color w:val="auto"/>
              </w:rPr>
              <w:t>Loan</w:t>
            </w: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200" w:type="dxa"/>
            <w:vAlign w:val="bottom"/>
            <w:gridSpan w:val="2"/>
          </w:tcPr>
          <w:p>
            <w:pPr>
              <w:ind w:left="140"/>
              <w:spacing w:after="0" w:line="159" w:lineRule="exact"/>
              <w:rPr>
                <w:sz w:val="20"/>
                <w:szCs w:val="20"/>
                <w:color w:val="auto"/>
              </w:rPr>
            </w:pPr>
            <w:r>
              <w:rPr>
                <w:rFonts w:ascii="Arial" w:cs="Arial" w:eastAsia="Arial" w:hAnsi="Arial"/>
                <w:sz w:val="14"/>
                <w:szCs w:val="14"/>
                <w:color w:val="auto"/>
              </w:rPr>
              <w:t>Inc</w:t>
            </w:r>
          </w:p>
        </w:tc>
        <w:tc>
          <w:tcPr>
            <w:tcW w:w="10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5.25%</w:t>
            </w:r>
          </w:p>
        </w:tc>
        <w:tc>
          <w:tcPr>
            <w:tcW w:w="82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12/1/2021</w:t>
            </w:r>
          </w:p>
        </w:tc>
        <w:tc>
          <w:tcPr>
            <w:tcW w:w="80" w:type="dxa"/>
            <w:vAlign w:val="bottom"/>
          </w:tcPr>
          <w:p>
            <w:pPr>
              <w:spacing w:after="0" w:line="159" w:lineRule="exact"/>
              <w:rPr>
                <w:sz w:val="20"/>
                <w:szCs w:val="20"/>
                <w:color w:val="auto"/>
              </w:rPr>
            </w:pPr>
            <w:r>
              <w:rPr>
                <w:rFonts w:ascii="Arial" w:cs="Arial" w:eastAsia="Arial" w:hAnsi="Arial"/>
                <w:sz w:val="14"/>
                <w:szCs w:val="14"/>
                <w:color w:val="auto"/>
                <w:w w:val="76"/>
              </w:rPr>
              <w:t>$</w:t>
            </w:r>
          </w:p>
        </w:tc>
        <w:tc>
          <w:tcPr>
            <w:tcW w:w="720" w:type="dxa"/>
            <w:vAlign w:val="bottom"/>
            <w:gridSpan w:val="2"/>
          </w:tcPr>
          <w:p>
            <w:pPr>
              <w:jc w:val="right"/>
              <w:ind w:right="180"/>
              <w:spacing w:after="0" w:line="159" w:lineRule="exact"/>
              <w:rPr>
                <w:sz w:val="20"/>
                <w:szCs w:val="20"/>
                <w:color w:val="auto"/>
              </w:rPr>
            </w:pPr>
            <w:r>
              <w:rPr>
                <w:rFonts w:ascii="Arial" w:cs="Arial" w:eastAsia="Arial" w:hAnsi="Arial"/>
                <w:sz w:val="14"/>
                <w:szCs w:val="14"/>
                <w:color w:val="auto"/>
                <w:w w:val="83"/>
              </w:rPr>
              <w:t>1,488,769</w:t>
            </w:r>
          </w:p>
        </w:tc>
        <w:tc>
          <w:tcPr>
            <w:tcW w:w="120" w:type="dxa"/>
            <w:vAlign w:val="bottom"/>
          </w:tcPr>
          <w:p>
            <w:pPr>
              <w:spacing w:after="0"/>
              <w:rPr>
                <w:sz w:val="13"/>
                <w:szCs w:val="13"/>
                <w:color w:val="auto"/>
              </w:rPr>
            </w:pPr>
          </w:p>
        </w:tc>
        <w:tc>
          <w:tcPr>
            <w:tcW w:w="620" w:type="dxa"/>
            <w:vAlign w:val="bottom"/>
          </w:tcPr>
          <w:p>
            <w:pPr>
              <w:jc w:val="right"/>
              <w:spacing w:after="0" w:line="159" w:lineRule="exact"/>
              <w:rPr>
                <w:sz w:val="20"/>
                <w:szCs w:val="20"/>
                <w:color w:val="auto"/>
              </w:rPr>
            </w:pPr>
            <w:r>
              <w:rPr>
                <w:rFonts w:ascii="Arial" w:cs="Arial" w:eastAsia="Arial" w:hAnsi="Arial"/>
                <w:sz w:val="14"/>
                <w:szCs w:val="14"/>
                <w:color w:val="auto"/>
                <w:w w:val="96"/>
              </w:rPr>
              <w:t>1,474,906</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jc w:val="right"/>
              <w:spacing w:after="0" w:line="159" w:lineRule="exact"/>
              <w:rPr>
                <w:sz w:val="20"/>
                <w:szCs w:val="20"/>
                <w:color w:val="auto"/>
              </w:rPr>
            </w:pPr>
            <w:r>
              <w:rPr>
                <w:rFonts w:ascii="Arial" w:cs="Arial" w:eastAsia="Arial" w:hAnsi="Arial"/>
                <w:sz w:val="14"/>
                <w:szCs w:val="14"/>
                <w:color w:val="auto"/>
                <w:w w:val="96"/>
              </w:rPr>
              <w:t>1,456,209</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2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Culligan International Company</w:t>
            </w:r>
          </w:p>
        </w:tc>
        <w:tc>
          <w:tcPr>
            <w:tcW w:w="246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Conglomerate</w:t>
            </w:r>
          </w:p>
        </w:tc>
        <w:tc>
          <w:tcPr>
            <w:tcW w:w="21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Dollar Loan (First Lien)</w:t>
            </w:r>
          </w:p>
        </w:tc>
        <w:tc>
          <w:tcPr>
            <w:tcW w:w="4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Loan</w:t>
            </w:r>
          </w:p>
        </w:tc>
        <w:tc>
          <w:tcPr>
            <w:tcW w:w="7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6.25%</w:t>
            </w: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91"/>
              </w:rPr>
              <w:t>12/19/2017</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773,629</w:t>
            </w: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741,158</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745,962</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00" w:type="dxa"/>
            <w:vAlign w:val="bottom"/>
            <w:gridSpan w:val="2"/>
          </w:tcPr>
          <w:p>
            <w:pPr>
              <w:spacing w:after="0" w:line="149" w:lineRule="exact"/>
              <w:rPr>
                <w:sz w:val="20"/>
                <w:szCs w:val="20"/>
                <w:color w:val="auto"/>
              </w:rPr>
            </w:pPr>
            <w:r>
              <w:rPr>
                <w:rFonts w:ascii="Arial" w:cs="Arial" w:eastAsia="Arial" w:hAnsi="Arial"/>
                <w:sz w:val="14"/>
                <w:szCs w:val="14"/>
                <w:color w:val="auto"/>
              </w:rPr>
              <w:t>Culligan International Company</w:t>
            </w:r>
          </w:p>
        </w:tc>
        <w:tc>
          <w:tcPr>
            <w:tcW w:w="246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Conglomerate</w:t>
            </w:r>
          </w:p>
        </w:tc>
        <w:tc>
          <w:tcPr>
            <w:tcW w:w="2160" w:type="dxa"/>
            <w:vAlign w:val="bottom"/>
            <w:gridSpan w:val="2"/>
          </w:tcPr>
          <w:p>
            <w:pPr>
              <w:spacing w:after="0" w:line="149" w:lineRule="exact"/>
              <w:rPr>
                <w:sz w:val="20"/>
                <w:szCs w:val="20"/>
                <w:color w:val="auto"/>
              </w:rPr>
            </w:pPr>
            <w:r>
              <w:rPr>
                <w:rFonts w:ascii="Arial" w:cs="Arial" w:eastAsia="Arial" w:hAnsi="Arial"/>
                <w:sz w:val="14"/>
                <w:szCs w:val="14"/>
                <w:color w:val="auto"/>
              </w:rPr>
              <w:t>Dollar Loan (Second Lien)</w:t>
            </w:r>
          </w:p>
        </w:tc>
        <w:tc>
          <w:tcPr>
            <w:tcW w:w="480" w:type="dxa"/>
            <w:vAlign w:val="bottom"/>
            <w:gridSpan w:val="2"/>
          </w:tcPr>
          <w:p>
            <w:pPr>
              <w:spacing w:after="0" w:line="149" w:lineRule="exact"/>
              <w:rPr>
                <w:sz w:val="20"/>
                <w:szCs w:val="20"/>
                <w:color w:val="auto"/>
              </w:rPr>
            </w:pPr>
            <w:r>
              <w:rPr>
                <w:rFonts w:ascii="Arial" w:cs="Arial" w:eastAsia="Arial" w:hAnsi="Arial"/>
                <w:sz w:val="14"/>
                <w:szCs w:val="14"/>
                <w:color w:val="auto"/>
              </w:rPr>
              <w:t>Loan</w:t>
            </w:r>
          </w:p>
        </w:tc>
        <w:tc>
          <w:tcPr>
            <w:tcW w:w="7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9.50%</w:t>
            </w: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6/19/2018</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783,162</w:t>
            </w:r>
          </w:p>
        </w:tc>
        <w:tc>
          <w:tcPr>
            <w:tcW w:w="1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751,324</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754,288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Cumulus Media Holdings Inc.</w:t>
            </w:r>
          </w:p>
        </w:tc>
        <w:tc>
          <w:tcPr>
            <w:tcW w:w="246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Broadcast Radio and Television</w:t>
            </w:r>
          </w:p>
        </w:tc>
        <w:tc>
          <w:tcPr>
            <w:tcW w:w="21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Term Loan</w:t>
            </w:r>
          </w:p>
        </w:tc>
        <w:tc>
          <w:tcPr>
            <w:tcW w:w="4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Loan</w:t>
            </w:r>
          </w:p>
        </w:tc>
        <w:tc>
          <w:tcPr>
            <w:tcW w:w="7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4.25%</w:t>
            </w: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91"/>
              </w:rPr>
              <w:t>12/23/2020</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470,093</w:t>
            </w: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466,523</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349,631</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00" w:type="dxa"/>
            <w:vAlign w:val="bottom"/>
            <w:gridSpan w:val="2"/>
          </w:tcPr>
          <w:p>
            <w:pPr>
              <w:spacing w:after="0" w:line="149" w:lineRule="exact"/>
              <w:rPr>
                <w:sz w:val="20"/>
                <w:szCs w:val="20"/>
                <w:color w:val="auto"/>
              </w:rPr>
            </w:pPr>
            <w:r>
              <w:rPr>
                <w:rFonts w:ascii="Arial" w:cs="Arial" w:eastAsia="Arial" w:hAnsi="Arial"/>
                <w:sz w:val="14"/>
                <w:szCs w:val="14"/>
                <w:color w:val="auto"/>
                <w:w w:val="93"/>
              </w:rPr>
              <w:t>Custom Sensors &amp; Technologies, Inc.</w:t>
            </w:r>
          </w:p>
        </w:tc>
        <w:tc>
          <w:tcPr>
            <w:tcW w:w="246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Industrial Equipment</w:t>
            </w:r>
          </w:p>
        </w:tc>
        <w:tc>
          <w:tcPr>
            <w:tcW w:w="2160" w:type="dxa"/>
            <w:vAlign w:val="bottom"/>
            <w:gridSpan w:val="2"/>
          </w:tcPr>
          <w:p>
            <w:pPr>
              <w:spacing w:after="0" w:line="149" w:lineRule="exact"/>
              <w:rPr>
                <w:sz w:val="20"/>
                <w:szCs w:val="20"/>
                <w:color w:val="auto"/>
              </w:rPr>
            </w:pPr>
            <w:r>
              <w:rPr>
                <w:rFonts w:ascii="Arial" w:cs="Arial" w:eastAsia="Arial" w:hAnsi="Arial"/>
                <w:sz w:val="14"/>
                <w:szCs w:val="14"/>
                <w:color w:val="auto"/>
              </w:rPr>
              <w:t>Term Loan</w:t>
            </w:r>
          </w:p>
        </w:tc>
        <w:tc>
          <w:tcPr>
            <w:tcW w:w="480" w:type="dxa"/>
            <w:vAlign w:val="bottom"/>
            <w:gridSpan w:val="2"/>
          </w:tcPr>
          <w:p>
            <w:pPr>
              <w:spacing w:after="0" w:line="149" w:lineRule="exact"/>
              <w:rPr>
                <w:sz w:val="20"/>
                <w:szCs w:val="20"/>
                <w:color w:val="auto"/>
              </w:rPr>
            </w:pPr>
            <w:r>
              <w:rPr>
                <w:rFonts w:ascii="Arial" w:cs="Arial" w:eastAsia="Arial" w:hAnsi="Arial"/>
                <w:sz w:val="14"/>
                <w:szCs w:val="14"/>
                <w:color w:val="auto"/>
              </w:rPr>
              <w:t>Loan</w:t>
            </w:r>
          </w:p>
        </w:tc>
        <w:tc>
          <w:tcPr>
            <w:tcW w:w="7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4.50%</w:t>
            </w: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9/30/2021</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495,000</w:t>
            </w:r>
          </w:p>
        </w:tc>
        <w:tc>
          <w:tcPr>
            <w:tcW w:w="1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493,983</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492,837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DAE Aviation (StandardAero)</w:t>
            </w:r>
          </w:p>
        </w:tc>
        <w:tc>
          <w:tcPr>
            <w:tcW w:w="246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Aerospace and Defense</w:t>
            </w:r>
          </w:p>
        </w:tc>
        <w:tc>
          <w:tcPr>
            <w:tcW w:w="21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Term Loan</w:t>
            </w:r>
          </w:p>
        </w:tc>
        <w:tc>
          <w:tcPr>
            <w:tcW w:w="4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Loan</w:t>
            </w:r>
          </w:p>
        </w:tc>
        <w:tc>
          <w:tcPr>
            <w:tcW w:w="7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5.25%</w:t>
            </w: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7/7/2022</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83"/>
              </w:rPr>
              <w:t>2,000,000</w:t>
            </w: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1,990,263</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1,987,500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200" w:type="dxa"/>
            <w:vAlign w:val="bottom"/>
            <w:gridSpan w:val="2"/>
          </w:tcPr>
          <w:p>
            <w:pPr>
              <w:spacing w:after="0" w:line="138" w:lineRule="exact"/>
              <w:rPr>
                <w:sz w:val="20"/>
                <w:szCs w:val="20"/>
                <w:color w:val="auto"/>
              </w:rPr>
            </w:pPr>
            <w:r>
              <w:rPr>
                <w:rFonts w:ascii="Arial" w:cs="Arial" w:eastAsia="Arial" w:hAnsi="Arial"/>
                <w:sz w:val="14"/>
                <w:szCs w:val="14"/>
                <w:color w:val="auto"/>
                <w:w w:val="95"/>
              </w:rPr>
              <w:t>DaVita HealthCare Partners Inc. (fka</w:t>
            </w:r>
          </w:p>
        </w:tc>
        <w:tc>
          <w:tcPr>
            <w:tcW w:w="2460" w:type="dxa"/>
            <w:vAlign w:val="bottom"/>
            <w:gridSpan w:val="3"/>
          </w:tcPr>
          <w:p>
            <w:pPr>
              <w:ind w:left="100"/>
              <w:spacing w:after="0" w:line="138" w:lineRule="exact"/>
              <w:rPr>
                <w:sz w:val="20"/>
                <w:szCs w:val="20"/>
                <w:color w:val="auto"/>
              </w:rPr>
            </w:pPr>
            <w:r>
              <w:rPr>
                <w:rFonts w:ascii="Arial" w:cs="Arial" w:eastAsia="Arial" w:hAnsi="Arial"/>
                <w:sz w:val="14"/>
                <w:szCs w:val="14"/>
                <w:color w:val="auto"/>
              </w:rPr>
              <w:t>Healthcare &amp; Pharmaceuticals</w:t>
            </w:r>
          </w:p>
        </w:tc>
        <w:tc>
          <w:tcPr>
            <w:tcW w:w="2160" w:type="dxa"/>
            <w:vAlign w:val="bottom"/>
            <w:gridSpan w:val="2"/>
          </w:tcPr>
          <w:p>
            <w:pPr>
              <w:spacing w:after="0" w:line="138" w:lineRule="exact"/>
              <w:rPr>
                <w:sz w:val="20"/>
                <w:szCs w:val="20"/>
                <w:color w:val="auto"/>
              </w:rPr>
            </w:pPr>
            <w:r>
              <w:rPr>
                <w:rFonts w:ascii="Arial" w:cs="Arial" w:eastAsia="Arial" w:hAnsi="Arial"/>
                <w:sz w:val="14"/>
                <w:szCs w:val="14"/>
                <w:color w:val="auto"/>
              </w:rPr>
              <w:t>Tranche B Term Loan</w:t>
            </w:r>
          </w:p>
        </w:tc>
        <w:tc>
          <w:tcPr>
            <w:tcW w:w="480" w:type="dxa"/>
            <w:vAlign w:val="bottom"/>
            <w:gridSpan w:val="2"/>
          </w:tcPr>
          <w:p>
            <w:pPr>
              <w:spacing w:after="0" w:line="138" w:lineRule="exact"/>
              <w:rPr>
                <w:sz w:val="20"/>
                <w:szCs w:val="20"/>
                <w:color w:val="auto"/>
              </w:rPr>
            </w:pPr>
            <w:r>
              <w:rPr>
                <w:rFonts w:ascii="Arial" w:cs="Arial" w:eastAsia="Arial" w:hAnsi="Arial"/>
                <w:sz w:val="14"/>
                <w:szCs w:val="14"/>
                <w:color w:val="auto"/>
              </w:rPr>
              <w:t>Loan</w:t>
            </w: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200" w:type="dxa"/>
            <w:vAlign w:val="bottom"/>
            <w:gridSpan w:val="2"/>
          </w:tcPr>
          <w:p>
            <w:pPr>
              <w:ind w:left="140"/>
              <w:spacing w:after="0" w:line="159" w:lineRule="exact"/>
              <w:rPr>
                <w:sz w:val="20"/>
                <w:szCs w:val="20"/>
                <w:color w:val="auto"/>
              </w:rPr>
            </w:pPr>
            <w:r>
              <w:rPr>
                <w:rFonts w:ascii="Arial" w:cs="Arial" w:eastAsia="Arial" w:hAnsi="Arial"/>
                <w:sz w:val="14"/>
                <w:szCs w:val="14"/>
                <w:color w:val="auto"/>
              </w:rPr>
              <w:t>DaVita Inc.)</w:t>
            </w:r>
          </w:p>
        </w:tc>
        <w:tc>
          <w:tcPr>
            <w:tcW w:w="10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3.50%</w:t>
            </w:r>
          </w:p>
        </w:tc>
        <w:tc>
          <w:tcPr>
            <w:tcW w:w="82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6/24/2021</w:t>
            </w:r>
          </w:p>
        </w:tc>
        <w:tc>
          <w:tcPr>
            <w:tcW w:w="80" w:type="dxa"/>
            <w:vAlign w:val="bottom"/>
          </w:tcPr>
          <w:p>
            <w:pPr>
              <w:spacing w:after="0" w:line="159" w:lineRule="exact"/>
              <w:rPr>
                <w:sz w:val="20"/>
                <w:szCs w:val="20"/>
                <w:color w:val="auto"/>
              </w:rPr>
            </w:pPr>
            <w:r>
              <w:rPr>
                <w:rFonts w:ascii="Arial" w:cs="Arial" w:eastAsia="Arial" w:hAnsi="Arial"/>
                <w:sz w:val="14"/>
                <w:szCs w:val="14"/>
                <w:color w:val="auto"/>
                <w:w w:val="76"/>
              </w:rPr>
              <w:t>$</w:t>
            </w:r>
          </w:p>
        </w:tc>
        <w:tc>
          <w:tcPr>
            <w:tcW w:w="720" w:type="dxa"/>
            <w:vAlign w:val="bottom"/>
            <w:gridSpan w:val="2"/>
          </w:tcPr>
          <w:p>
            <w:pPr>
              <w:jc w:val="right"/>
              <w:ind w:right="180"/>
              <w:spacing w:after="0" w:line="159" w:lineRule="exact"/>
              <w:rPr>
                <w:sz w:val="20"/>
                <w:szCs w:val="20"/>
                <w:color w:val="auto"/>
              </w:rPr>
            </w:pPr>
            <w:r>
              <w:rPr>
                <w:rFonts w:ascii="Arial" w:cs="Arial" w:eastAsia="Arial" w:hAnsi="Arial"/>
                <w:sz w:val="14"/>
                <w:szCs w:val="14"/>
                <w:color w:val="auto"/>
              </w:rPr>
              <w:t>493,750</w:t>
            </w:r>
          </w:p>
        </w:tc>
        <w:tc>
          <w:tcPr>
            <w:tcW w:w="120" w:type="dxa"/>
            <w:vAlign w:val="bottom"/>
          </w:tcPr>
          <w:p>
            <w:pPr>
              <w:spacing w:after="0"/>
              <w:rPr>
                <w:sz w:val="13"/>
                <w:szCs w:val="13"/>
                <w:color w:val="auto"/>
              </w:rPr>
            </w:pPr>
          </w:p>
        </w:tc>
        <w:tc>
          <w:tcPr>
            <w:tcW w:w="620" w:type="dxa"/>
            <w:vAlign w:val="bottom"/>
          </w:tcPr>
          <w:p>
            <w:pPr>
              <w:jc w:val="right"/>
              <w:spacing w:after="0" w:line="159" w:lineRule="exact"/>
              <w:rPr>
                <w:sz w:val="20"/>
                <w:szCs w:val="20"/>
                <w:color w:val="auto"/>
              </w:rPr>
            </w:pPr>
            <w:r>
              <w:rPr>
                <w:rFonts w:ascii="Arial" w:cs="Arial" w:eastAsia="Arial" w:hAnsi="Arial"/>
                <w:sz w:val="14"/>
                <w:szCs w:val="14"/>
                <w:color w:val="auto"/>
              </w:rPr>
              <w:t>491,719</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jc w:val="right"/>
              <w:spacing w:after="0" w:line="159" w:lineRule="exact"/>
              <w:rPr>
                <w:sz w:val="20"/>
                <w:szCs w:val="20"/>
                <w:color w:val="auto"/>
              </w:rPr>
            </w:pPr>
            <w:r>
              <w:rPr>
                <w:rFonts w:ascii="Arial" w:cs="Arial" w:eastAsia="Arial" w:hAnsi="Arial"/>
                <w:sz w:val="14"/>
                <w:szCs w:val="14"/>
                <w:color w:val="auto"/>
              </w:rPr>
              <w:t>490,575</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2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DCS Business Services, Inc.</w:t>
            </w:r>
          </w:p>
        </w:tc>
        <w:tc>
          <w:tcPr>
            <w:tcW w:w="246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Financial Intermediaries</w:t>
            </w:r>
          </w:p>
        </w:tc>
        <w:tc>
          <w:tcPr>
            <w:tcW w:w="21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Term B Loan</w:t>
            </w:r>
          </w:p>
        </w:tc>
        <w:tc>
          <w:tcPr>
            <w:tcW w:w="4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Loan</w:t>
            </w:r>
          </w:p>
        </w:tc>
        <w:tc>
          <w:tcPr>
            <w:tcW w:w="7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7.25%</w:t>
            </w: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3/19/2018</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83"/>
              </w:rPr>
              <w:t>3,173,538</w:t>
            </w: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3,156,263</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3,217,174</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00" w:type="dxa"/>
            <w:vAlign w:val="bottom"/>
            <w:gridSpan w:val="2"/>
          </w:tcPr>
          <w:p>
            <w:pPr>
              <w:spacing w:after="0" w:line="149" w:lineRule="exact"/>
              <w:rPr>
                <w:sz w:val="20"/>
                <w:szCs w:val="20"/>
                <w:color w:val="auto"/>
              </w:rPr>
            </w:pPr>
            <w:r>
              <w:rPr>
                <w:rFonts w:ascii="Arial" w:cs="Arial" w:eastAsia="Arial" w:hAnsi="Arial"/>
                <w:sz w:val="14"/>
                <w:szCs w:val="14"/>
                <w:color w:val="auto"/>
              </w:rPr>
              <w:t>Dell International LLC</w:t>
            </w:r>
          </w:p>
        </w:tc>
        <w:tc>
          <w:tcPr>
            <w:tcW w:w="246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Technology</w:t>
            </w:r>
          </w:p>
        </w:tc>
        <w:tc>
          <w:tcPr>
            <w:tcW w:w="2160" w:type="dxa"/>
            <w:vAlign w:val="bottom"/>
            <w:gridSpan w:val="2"/>
          </w:tcPr>
          <w:p>
            <w:pPr>
              <w:spacing w:after="0" w:line="149" w:lineRule="exact"/>
              <w:rPr>
                <w:sz w:val="20"/>
                <w:szCs w:val="20"/>
                <w:color w:val="auto"/>
              </w:rPr>
            </w:pPr>
            <w:r>
              <w:rPr>
                <w:rFonts w:ascii="Arial" w:cs="Arial" w:eastAsia="Arial" w:hAnsi="Arial"/>
                <w:sz w:val="14"/>
                <w:szCs w:val="14"/>
                <w:color w:val="auto"/>
              </w:rPr>
              <w:t>Term Loan B2</w:t>
            </w:r>
          </w:p>
        </w:tc>
        <w:tc>
          <w:tcPr>
            <w:tcW w:w="480" w:type="dxa"/>
            <w:vAlign w:val="bottom"/>
            <w:gridSpan w:val="2"/>
          </w:tcPr>
          <w:p>
            <w:pPr>
              <w:spacing w:after="0" w:line="149" w:lineRule="exact"/>
              <w:rPr>
                <w:sz w:val="20"/>
                <w:szCs w:val="20"/>
                <w:color w:val="auto"/>
              </w:rPr>
            </w:pPr>
            <w:r>
              <w:rPr>
                <w:rFonts w:ascii="Arial" w:cs="Arial" w:eastAsia="Arial" w:hAnsi="Arial"/>
                <w:sz w:val="14"/>
                <w:szCs w:val="14"/>
                <w:color w:val="auto"/>
              </w:rPr>
              <w:t>Loan</w:t>
            </w:r>
          </w:p>
        </w:tc>
        <w:tc>
          <w:tcPr>
            <w:tcW w:w="7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4.00%</w:t>
            </w: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4/29/2020</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83"/>
              </w:rPr>
              <w:t>2,912,306</w:t>
            </w:r>
          </w:p>
        </w:tc>
        <w:tc>
          <w:tcPr>
            <w:tcW w:w="1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w w:val="96"/>
              </w:rPr>
              <w:t>2,898,985</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w w:val="96"/>
              </w:rPr>
              <w:t>2,894,104</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Delta 2 (Lux) S.a.r.l.</w:t>
            </w:r>
          </w:p>
        </w:tc>
        <w:tc>
          <w:tcPr>
            <w:tcW w:w="246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Lodging &amp; Casinos</w:t>
            </w:r>
          </w:p>
        </w:tc>
        <w:tc>
          <w:tcPr>
            <w:tcW w:w="21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Term Loan B-3</w:t>
            </w:r>
          </w:p>
        </w:tc>
        <w:tc>
          <w:tcPr>
            <w:tcW w:w="4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Loan</w:t>
            </w:r>
          </w:p>
        </w:tc>
        <w:tc>
          <w:tcPr>
            <w:tcW w:w="7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4.75%</w:t>
            </w: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7/30/2021</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83"/>
              </w:rPr>
              <w:t>1,000,000</w:t>
            </w: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995,646</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972,810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200" w:type="dxa"/>
            <w:vAlign w:val="bottom"/>
            <w:gridSpan w:val="2"/>
          </w:tcPr>
          <w:p>
            <w:pPr>
              <w:spacing w:after="0" w:line="138" w:lineRule="exact"/>
              <w:rPr>
                <w:sz w:val="20"/>
                <w:szCs w:val="20"/>
                <w:color w:val="auto"/>
              </w:rPr>
            </w:pPr>
            <w:r>
              <w:rPr>
                <w:rFonts w:ascii="Arial" w:cs="Arial" w:eastAsia="Arial" w:hAnsi="Arial"/>
                <w:sz w:val="14"/>
                <w:szCs w:val="14"/>
                <w:color w:val="auto"/>
                <w:w w:val="93"/>
              </w:rPr>
              <w:t>Deluxe Entertainment Service Group,</w:t>
            </w:r>
          </w:p>
        </w:tc>
        <w:tc>
          <w:tcPr>
            <w:tcW w:w="2460" w:type="dxa"/>
            <w:vAlign w:val="bottom"/>
            <w:gridSpan w:val="3"/>
          </w:tcPr>
          <w:p>
            <w:pPr>
              <w:ind w:left="100"/>
              <w:spacing w:after="0" w:line="138" w:lineRule="exact"/>
              <w:rPr>
                <w:sz w:val="20"/>
                <w:szCs w:val="20"/>
                <w:color w:val="auto"/>
              </w:rPr>
            </w:pPr>
            <w:r>
              <w:rPr>
                <w:rFonts w:ascii="Arial" w:cs="Arial" w:eastAsia="Arial" w:hAnsi="Arial"/>
                <w:sz w:val="14"/>
                <w:szCs w:val="14"/>
                <w:color w:val="auto"/>
              </w:rPr>
              <w:t>Leisure Goods/Activities/Movies</w:t>
            </w:r>
          </w:p>
        </w:tc>
        <w:tc>
          <w:tcPr>
            <w:tcW w:w="2160" w:type="dxa"/>
            <w:vAlign w:val="bottom"/>
            <w:gridSpan w:val="2"/>
          </w:tcPr>
          <w:p>
            <w:pPr>
              <w:spacing w:after="0" w:line="138" w:lineRule="exact"/>
              <w:rPr>
                <w:sz w:val="20"/>
                <w:szCs w:val="20"/>
                <w:color w:val="auto"/>
              </w:rPr>
            </w:pPr>
            <w:r>
              <w:rPr>
                <w:rFonts w:ascii="Arial" w:cs="Arial" w:eastAsia="Arial" w:hAnsi="Arial"/>
                <w:sz w:val="14"/>
                <w:szCs w:val="14"/>
                <w:color w:val="auto"/>
              </w:rPr>
              <w:t>Term Loan (First Lien)</w:t>
            </w:r>
          </w:p>
        </w:tc>
        <w:tc>
          <w:tcPr>
            <w:tcW w:w="480" w:type="dxa"/>
            <w:vAlign w:val="bottom"/>
            <w:gridSpan w:val="2"/>
          </w:tcPr>
          <w:p>
            <w:pPr>
              <w:spacing w:after="0" w:line="138" w:lineRule="exact"/>
              <w:rPr>
                <w:sz w:val="20"/>
                <w:szCs w:val="20"/>
                <w:color w:val="auto"/>
              </w:rPr>
            </w:pPr>
            <w:r>
              <w:rPr>
                <w:rFonts w:ascii="Arial" w:cs="Arial" w:eastAsia="Arial" w:hAnsi="Arial"/>
                <w:sz w:val="14"/>
                <w:szCs w:val="14"/>
                <w:color w:val="auto"/>
              </w:rPr>
              <w:t>Loan</w:t>
            </w: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200" w:type="dxa"/>
            <w:vAlign w:val="bottom"/>
            <w:gridSpan w:val="2"/>
          </w:tcPr>
          <w:p>
            <w:pPr>
              <w:ind w:left="140"/>
              <w:spacing w:after="0" w:line="159" w:lineRule="exact"/>
              <w:rPr>
                <w:sz w:val="20"/>
                <w:szCs w:val="20"/>
                <w:color w:val="auto"/>
              </w:rPr>
            </w:pPr>
            <w:r>
              <w:rPr>
                <w:rFonts w:ascii="Arial" w:cs="Arial" w:eastAsia="Arial" w:hAnsi="Arial"/>
                <w:sz w:val="14"/>
                <w:szCs w:val="14"/>
                <w:color w:val="auto"/>
              </w:rPr>
              <w:t>Inc.</w:t>
            </w:r>
          </w:p>
        </w:tc>
        <w:tc>
          <w:tcPr>
            <w:tcW w:w="10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6.50%</w:t>
            </w:r>
          </w:p>
        </w:tc>
        <w:tc>
          <w:tcPr>
            <w:tcW w:w="82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2/28/2020</w:t>
            </w:r>
          </w:p>
        </w:tc>
        <w:tc>
          <w:tcPr>
            <w:tcW w:w="80" w:type="dxa"/>
            <w:vAlign w:val="bottom"/>
          </w:tcPr>
          <w:p>
            <w:pPr>
              <w:spacing w:after="0" w:line="159" w:lineRule="exact"/>
              <w:rPr>
                <w:sz w:val="20"/>
                <w:szCs w:val="20"/>
                <w:color w:val="auto"/>
              </w:rPr>
            </w:pPr>
            <w:r>
              <w:rPr>
                <w:rFonts w:ascii="Arial" w:cs="Arial" w:eastAsia="Arial" w:hAnsi="Arial"/>
                <w:sz w:val="14"/>
                <w:szCs w:val="14"/>
                <w:color w:val="auto"/>
                <w:w w:val="76"/>
              </w:rPr>
              <w:t>$</w:t>
            </w:r>
          </w:p>
        </w:tc>
        <w:tc>
          <w:tcPr>
            <w:tcW w:w="720" w:type="dxa"/>
            <w:vAlign w:val="bottom"/>
            <w:gridSpan w:val="2"/>
          </w:tcPr>
          <w:p>
            <w:pPr>
              <w:jc w:val="right"/>
              <w:ind w:right="180"/>
              <w:spacing w:after="0" w:line="159" w:lineRule="exact"/>
              <w:rPr>
                <w:sz w:val="20"/>
                <w:szCs w:val="20"/>
                <w:color w:val="auto"/>
              </w:rPr>
            </w:pPr>
            <w:r>
              <w:rPr>
                <w:rFonts w:ascii="Arial" w:cs="Arial" w:eastAsia="Arial" w:hAnsi="Arial"/>
                <w:sz w:val="14"/>
                <w:szCs w:val="14"/>
                <w:color w:val="auto"/>
                <w:w w:val="83"/>
              </w:rPr>
              <w:t>1,882,983</w:t>
            </w:r>
          </w:p>
        </w:tc>
        <w:tc>
          <w:tcPr>
            <w:tcW w:w="120" w:type="dxa"/>
            <w:vAlign w:val="bottom"/>
          </w:tcPr>
          <w:p>
            <w:pPr>
              <w:spacing w:after="0"/>
              <w:rPr>
                <w:sz w:val="13"/>
                <w:szCs w:val="13"/>
                <w:color w:val="auto"/>
              </w:rPr>
            </w:pPr>
          </w:p>
        </w:tc>
        <w:tc>
          <w:tcPr>
            <w:tcW w:w="620" w:type="dxa"/>
            <w:vAlign w:val="bottom"/>
          </w:tcPr>
          <w:p>
            <w:pPr>
              <w:jc w:val="right"/>
              <w:spacing w:after="0" w:line="159" w:lineRule="exact"/>
              <w:rPr>
                <w:sz w:val="20"/>
                <w:szCs w:val="20"/>
                <w:color w:val="auto"/>
              </w:rPr>
            </w:pPr>
            <w:r>
              <w:rPr>
                <w:rFonts w:ascii="Arial" w:cs="Arial" w:eastAsia="Arial" w:hAnsi="Arial"/>
                <w:sz w:val="14"/>
                <w:szCs w:val="14"/>
                <w:color w:val="auto"/>
                <w:w w:val="96"/>
              </w:rPr>
              <w:t>1,884,392</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jc w:val="right"/>
              <w:spacing w:after="0" w:line="159" w:lineRule="exact"/>
              <w:rPr>
                <w:sz w:val="20"/>
                <w:szCs w:val="20"/>
                <w:color w:val="auto"/>
              </w:rPr>
            </w:pPr>
            <w:r>
              <w:rPr>
                <w:rFonts w:ascii="Arial" w:cs="Arial" w:eastAsia="Arial" w:hAnsi="Arial"/>
                <w:sz w:val="14"/>
                <w:szCs w:val="14"/>
                <w:color w:val="auto"/>
                <w:w w:val="96"/>
              </w:rPr>
              <w:t>1,796,685</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2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Diamond Resorts International</w:t>
            </w:r>
          </w:p>
        </w:tc>
        <w:tc>
          <w:tcPr>
            <w:tcW w:w="246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Lodging &amp; Casinos</w:t>
            </w:r>
          </w:p>
        </w:tc>
        <w:tc>
          <w:tcPr>
            <w:tcW w:w="21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Term Loan</w:t>
            </w:r>
          </w:p>
        </w:tc>
        <w:tc>
          <w:tcPr>
            <w:tcW w:w="4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Loan</w:t>
            </w:r>
          </w:p>
        </w:tc>
        <w:tc>
          <w:tcPr>
            <w:tcW w:w="7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5.50%</w:t>
            </w: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5/9/2021</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926,971</w:t>
            </w: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923,036</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915,384</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00" w:type="dxa"/>
            <w:vAlign w:val="bottom"/>
            <w:gridSpan w:val="2"/>
          </w:tcPr>
          <w:p>
            <w:pPr>
              <w:spacing w:after="0" w:line="149" w:lineRule="exact"/>
              <w:rPr>
                <w:sz w:val="20"/>
                <w:szCs w:val="20"/>
                <w:color w:val="auto"/>
              </w:rPr>
            </w:pPr>
            <w:r>
              <w:rPr>
                <w:rFonts w:ascii="Arial" w:cs="Arial" w:eastAsia="Arial" w:hAnsi="Arial"/>
                <w:sz w:val="14"/>
                <w:szCs w:val="14"/>
                <w:color w:val="auto"/>
              </w:rPr>
              <w:t>Diamond Resorts International</w:t>
            </w:r>
          </w:p>
        </w:tc>
        <w:tc>
          <w:tcPr>
            <w:tcW w:w="246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Lodging &amp; Casinos</w:t>
            </w:r>
          </w:p>
        </w:tc>
        <w:tc>
          <w:tcPr>
            <w:tcW w:w="2160" w:type="dxa"/>
            <w:vAlign w:val="bottom"/>
            <w:gridSpan w:val="2"/>
          </w:tcPr>
          <w:p>
            <w:pPr>
              <w:spacing w:after="0" w:line="149" w:lineRule="exact"/>
              <w:rPr>
                <w:sz w:val="20"/>
                <w:szCs w:val="20"/>
                <w:color w:val="auto"/>
              </w:rPr>
            </w:pPr>
            <w:r>
              <w:rPr>
                <w:rFonts w:ascii="Arial" w:cs="Arial" w:eastAsia="Arial" w:hAnsi="Arial"/>
                <w:sz w:val="14"/>
                <w:szCs w:val="14"/>
                <w:color w:val="auto"/>
              </w:rPr>
              <w:t>Term Loan (Add-On)</w:t>
            </w:r>
          </w:p>
        </w:tc>
        <w:tc>
          <w:tcPr>
            <w:tcW w:w="480" w:type="dxa"/>
            <w:vAlign w:val="bottom"/>
            <w:gridSpan w:val="2"/>
          </w:tcPr>
          <w:p>
            <w:pPr>
              <w:spacing w:after="0" w:line="149" w:lineRule="exact"/>
              <w:rPr>
                <w:sz w:val="20"/>
                <w:szCs w:val="20"/>
                <w:color w:val="auto"/>
              </w:rPr>
            </w:pPr>
            <w:r>
              <w:rPr>
                <w:rFonts w:ascii="Arial" w:cs="Arial" w:eastAsia="Arial" w:hAnsi="Arial"/>
                <w:sz w:val="14"/>
                <w:szCs w:val="14"/>
                <w:color w:val="auto"/>
              </w:rPr>
              <w:t>Loan</w:t>
            </w:r>
          </w:p>
        </w:tc>
        <w:tc>
          <w:tcPr>
            <w:tcW w:w="7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5.50%</w:t>
            </w: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5/9/2021</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83"/>
              </w:rPr>
              <w:t>1,000,000</w:t>
            </w:r>
          </w:p>
        </w:tc>
        <w:tc>
          <w:tcPr>
            <w:tcW w:w="1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980,000</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985,000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DJO Finance LLC</w:t>
            </w:r>
          </w:p>
        </w:tc>
        <w:tc>
          <w:tcPr>
            <w:tcW w:w="246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Healthcare &amp; Pharmaceuticals</w:t>
            </w:r>
          </w:p>
        </w:tc>
        <w:tc>
          <w:tcPr>
            <w:tcW w:w="21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Term Loan</w:t>
            </w:r>
          </w:p>
        </w:tc>
        <w:tc>
          <w:tcPr>
            <w:tcW w:w="4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Loan</w:t>
            </w:r>
          </w:p>
        </w:tc>
        <w:tc>
          <w:tcPr>
            <w:tcW w:w="7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4.25%</w:t>
            </w: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6/8/2020</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498,750</w:t>
            </w: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496,578</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486,695</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00" w:type="dxa"/>
            <w:vAlign w:val="bottom"/>
            <w:gridSpan w:val="2"/>
          </w:tcPr>
          <w:p>
            <w:pPr>
              <w:spacing w:after="0" w:line="149" w:lineRule="exact"/>
              <w:rPr>
                <w:sz w:val="20"/>
                <w:szCs w:val="20"/>
                <w:color w:val="auto"/>
              </w:rPr>
            </w:pPr>
            <w:r>
              <w:rPr>
                <w:rFonts w:ascii="Arial" w:cs="Arial" w:eastAsia="Arial" w:hAnsi="Arial"/>
                <w:sz w:val="14"/>
                <w:szCs w:val="14"/>
                <w:color w:val="auto"/>
              </w:rPr>
              <w:t>DPX Holdings B.V.</w:t>
            </w:r>
          </w:p>
        </w:tc>
        <w:tc>
          <w:tcPr>
            <w:tcW w:w="246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Healthcare &amp; Pharmaceuticals</w:t>
            </w:r>
          </w:p>
        </w:tc>
        <w:tc>
          <w:tcPr>
            <w:tcW w:w="2160" w:type="dxa"/>
            <w:vAlign w:val="bottom"/>
            <w:gridSpan w:val="2"/>
          </w:tcPr>
          <w:p>
            <w:pPr>
              <w:spacing w:after="0" w:line="149" w:lineRule="exact"/>
              <w:rPr>
                <w:sz w:val="20"/>
                <w:szCs w:val="20"/>
                <w:color w:val="auto"/>
              </w:rPr>
            </w:pPr>
            <w:r>
              <w:rPr>
                <w:rFonts w:ascii="Arial" w:cs="Arial" w:eastAsia="Arial" w:hAnsi="Arial"/>
                <w:sz w:val="14"/>
                <w:szCs w:val="14"/>
                <w:color w:val="auto"/>
              </w:rPr>
              <w:t>Term Loan 2015 Incr Dollar</w:t>
            </w:r>
          </w:p>
        </w:tc>
        <w:tc>
          <w:tcPr>
            <w:tcW w:w="480" w:type="dxa"/>
            <w:vAlign w:val="bottom"/>
            <w:gridSpan w:val="2"/>
          </w:tcPr>
          <w:p>
            <w:pPr>
              <w:spacing w:after="0" w:line="149" w:lineRule="exact"/>
              <w:rPr>
                <w:sz w:val="20"/>
                <w:szCs w:val="20"/>
                <w:color w:val="auto"/>
              </w:rPr>
            </w:pPr>
            <w:r>
              <w:rPr>
                <w:rFonts w:ascii="Arial" w:cs="Arial" w:eastAsia="Arial" w:hAnsi="Arial"/>
                <w:sz w:val="14"/>
                <w:szCs w:val="14"/>
                <w:color w:val="auto"/>
              </w:rPr>
              <w:t>Loan</w:t>
            </w:r>
          </w:p>
        </w:tc>
        <w:tc>
          <w:tcPr>
            <w:tcW w:w="7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4.25%</w:t>
            </w: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3/11/2021</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83"/>
              </w:rPr>
              <w:t>2,962,500</w:t>
            </w:r>
          </w:p>
        </w:tc>
        <w:tc>
          <w:tcPr>
            <w:tcW w:w="1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w w:val="96"/>
              </w:rPr>
              <w:t>2,955,557</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w w:val="96"/>
              </w:rPr>
              <w:t>2,868,085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Drew Marine Group Inc.</w:t>
            </w:r>
          </w:p>
        </w:tc>
        <w:tc>
          <w:tcPr>
            <w:tcW w:w="246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Chemicals/Plastics</w:t>
            </w:r>
          </w:p>
        </w:tc>
        <w:tc>
          <w:tcPr>
            <w:tcW w:w="21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Term Loan (First Lien)</w:t>
            </w:r>
          </w:p>
        </w:tc>
        <w:tc>
          <w:tcPr>
            <w:tcW w:w="4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Loan</w:t>
            </w:r>
          </w:p>
        </w:tc>
        <w:tc>
          <w:tcPr>
            <w:tcW w:w="7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4.25%</w:t>
            </w: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91"/>
              </w:rPr>
              <w:t>11/19/2020</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83"/>
              </w:rPr>
              <w:t>1,472,161</w:t>
            </w: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1,477,200</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1,435,357</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00" w:type="dxa"/>
            <w:vAlign w:val="bottom"/>
            <w:gridSpan w:val="2"/>
          </w:tcPr>
          <w:p>
            <w:pPr>
              <w:spacing w:after="0" w:line="149" w:lineRule="exact"/>
              <w:rPr>
                <w:sz w:val="20"/>
                <w:szCs w:val="20"/>
                <w:color w:val="auto"/>
              </w:rPr>
            </w:pPr>
            <w:r>
              <w:rPr>
                <w:rFonts w:ascii="Arial" w:cs="Arial" w:eastAsia="Arial" w:hAnsi="Arial"/>
                <w:sz w:val="14"/>
                <w:szCs w:val="14"/>
                <w:color w:val="auto"/>
              </w:rPr>
              <w:t>DTZ U.S. Borrower LLC</w:t>
            </w:r>
          </w:p>
        </w:tc>
        <w:tc>
          <w:tcPr>
            <w:tcW w:w="246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Construction &amp; Building</w:t>
            </w:r>
          </w:p>
        </w:tc>
        <w:tc>
          <w:tcPr>
            <w:tcW w:w="2160" w:type="dxa"/>
            <w:vAlign w:val="bottom"/>
            <w:gridSpan w:val="2"/>
          </w:tcPr>
          <w:p>
            <w:pPr>
              <w:spacing w:after="0" w:line="149" w:lineRule="exact"/>
              <w:rPr>
                <w:sz w:val="20"/>
                <w:szCs w:val="20"/>
                <w:color w:val="auto"/>
              </w:rPr>
            </w:pPr>
            <w:r>
              <w:rPr>
                <w:rFonts w:ascii="Arial" w:cs="Arial" w:eastAsia="Arial" w:hAnsi="Arial"/>
                <w:sz w:val="14"/>
                <w:szCs w:val="14"/>
                <w:color w:val="auto"/>
              </w:rPr>
              <w:t>Term Loan B Add-on</w:t>
            </w:r>
          </w:p>
        </w:tc>
        <w:tc>
          <w:tcPr>
            <w:tcW w:w="480" w:type="dxa"/>
            <w:vAlign w:val="bottom"/>
            <w:gridSpan w:val="2"/>
          </w:tcPr>
          <w:p>
            <w:pPr>
              <w:spacing w:after="0" w:line="149" w:lineRule="exact"/>
              <w:rPr>
                <w:sz w:val="20"/>
                <w:szCs w:val="20"/>
                <w:color w:val="auto"/>
              </w:rPr>
            </w:pPr>
            <w:r>
              <w:rPr>
                <w:rFonts w:ascii="Arial" w:cs="Arial" w:eastAsia="Arial" w:hAnsi="Arial"/>
                <w:sz w:val="14"/>
                <w:szCs w:val="14"/>
                <w:color w:val="auto"/>
              </w:rPr>
              <w:t>Loan</w:t>
            </w:r>
          </w:p>
        </w:tc>
        <w:tc>
          <w:tcPr>
            <w:tcW w:w="7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4.25%</w:t>
            </w: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11/4/2021</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83"/>
              </w:rPr>
              <w:t>2,992,500</w:t>
            </w:r>
          </w:p>
        </w:tc>
        <w:tc>
          <w:tcPr>
            <w:tcW w:w="1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w w:val="96"/>
              </w:rPr>
              <w:t>2,977,838</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w w:val="96"/>
              </w:rPr>
              <w:t>2,945,129</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Education Management LLC</w:t>
            </w:r>
          </w:p>
        </w:tc>
        <w:tc>
          <w:tcPr>
            <w:tcW w:w="246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Leisure Goods/Activities/Movies</w:t>
            </w:r>
          </w:p>
        </w:tc>
        <w:tc>
          <w:tcPr>
            <w:tcW w:w="21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Term Loan A</w:t>
            </w:r>
          </w:p>
        </w:tc>
        <w:tc>
          <w:tcPr>
            <w:tcW w:w="4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Loan</w:t>
            </w:r>
          </w:p>
        </w:tc>
        <w:tc>
          <w:tcPr>
            <w:tcW w:w="7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5.50%</w:t>
            </w: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7/2/2020</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501,970</w:t>
            </w: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484,491</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130,156</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200" w:type="dxa"/>
            <w:vAlign w:val="bottom"/>
            <w:gridSpan w:val="2"/>
          </w:tcPr>
          <w:p>
            <w:pPr>
              <w:spacing w:after="0" w:line="138" w:lineRule="exact"/>
              <w:rPr>
                <w:sz w:val="20"/>
                <w:szCs w:val="20"/>
                <w:color w:val="auto"/>
              </w:rPr>
            </w:pPr>
            <w:r>
              <w:rPr>
                <w:rFonts w:ascii="Arial" w:cs="Arial" w:eastAsia="Arial" w:hAnsi="Arial"/>
                <w:sz w:val="14"/>
                <w:szCs w:val="14"/>
                <w:color w:val="auto"/>
              </w:rPr>
              <w:t>Education Management LLC</w:t>
            </w:r>
          </w:p>
        </w:tc>
        <w:tc>
          <w:tcPr>
            <w:tcW w:w="2460" w:type="dxa"/>
            <w:vAlign w:val="bottom"/>
            <w:gridSpan w:val="3"/>
          </w:tcPr>
          <w:p>
            <w:pPr>
              <w:ind w:left="100"/>
              <w:spacing w:after="0" w:line="138" w:lineRule="exact"/>
              <w:rPr>
                <w:sz w:val="20"/>
                <w:szCs w:val="20"/>
                <w:color w:val="auto"/>
              </w:rPr>
            </w:pPr>
            <w:r>
              <w:rPr>
                <w:rFonts w:ascii="Arial" w:cs="Arial" w:eastAsia="Arial" w:hAnsi="Arial"/>
                <w:sz w:val="14"/>
                <w:szCs w:val="14"/>
                <w:color w:val="auto"/>
              </w:rPr>
              <w:t>Leisure Goods/Activities/Movies</w:t>
            </w:r>
          </w:p>
        </w:tc>
        <w:tc>
          <w:tcPr>
            <w:tcW w:w="2160" w:type="dxa"/>
            <w:vAlign w:val="bottom"/>
            <w:gridSpan w:val="2"/>
          </w:tcPr>
          <w:p>
            <w:pPr>
              <w:spacing w:after="0" w:line="138" w:lineRule="exact"/>
              <w:rPr>
                <w:sz w:val="20"/>
                <w:szCs w:val="20"/>
                <w:color w:val="auto"/>
              </w:rPr>
            </w:pPr>
            <w:r>
              <w:rPr>
                <w:rFonts w:ascii="Arial" w:cs="Arial" w:eastAsia="Arial" w:hAnsi="Arial"/>
                <w:sz w:val="14"/>
                <w:szCs w:val="14"/>
                <w:color w:val="auto"/>
              </w:rPr>
              <w:t>Term Loan B (2.00% Cash/6.50%</w:t>
            </w:r>
          </w:p>
        </w:tc>
        <w:tc>
          <w:tcPr>
            <w:tcW w:w="480" w:type="dxa"/>
            <w:vAlign w:val="bottom"/>
            <w:gridSpan w:val="2"/>
          </w:tcPr>
          <w:p>
            <w:pPr>
              <w:spacing w:after="0" w:line="138" w:lineRule="exact"/>
              <w:rPr>
                <w:sz w:val="20"/>
                <w:szCs w:val="20"/>
                <w:color w:val="auto"/>
              </w:rPr>
            </w:pPr>
            <w:r>
              <w:rPr>
                <w:rFonts w:ascii="Arial" w:cs="Arial" w:eastAsia="Arial" w:hAnsi="Arial"/>
                <w:sz w:val="14"/>
                <w:szCs w:val="14"/>
                <w:color w:val="auto"/>
              </w:rPr>
              <w:t>Loan</w:t>
            </w: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78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160" w:type="dxa"/>
            <w:vAlign w:val="bottom"/>
            <w:gridSpan w:val="2"/>
          </w:tcPr>
          <w:p>
            <w:pPr>
              <w:spacing w:after="0" w:line="159" w:lineRule="exact"/>
              <w:rPr>
                <w:sz w:val="20"/>
                <w:szCs w:val="20"/>
                <w:color w:val="auto"/>
              </w:rPr>
            </w:pPr>
            <w:r>
              <w:rPr>
                <w:rFonts w:ascii="Arial" w:cs="Arial" w:eastAsia="Arial" w:hAnsi="Arial"/>
                <w:sz w:val="14"/>
                <w:szCs w:val="14"/>
                <w:color w:val="auto"/>
              </w:rPr>
              <w:t>PIK)</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8.50%</w:t>
            </w:r>
          </w:p>
        </w:tc>
        <w:tc>
          <w:tcPr>
            <w:tcW w:w="82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7/2/2020</w:t>
            </w:r>
          </w:p>
        </w:tc>
        <w:tc>
          <w:tcPr>
            <w:tcW w:w="80" w:type="dxa"/>
            <w:vAlign w:val="bottom"/>
          </w:tcPr>
          <w:p>
            <w:pPr>
              <w:spacing w:after="0" w:line="159" w:lineRule="exact"/>
              <w:rPr>
                <w:sz w:val="20"/>
                <w:szCs w:val="20"/>
                <w:color w:val="auto"/>
              </w:rPr>
            </w:pPr>
            <w:r>
              <w:rPr>
                <w:rFonts w:ascii="Arial" w:cs="Arial" w:eastAsia="Arial" w:hAnsi="Arial"/>
                <w:sz w:val="14"/>
                <w:szCs w:val="14"/>
                <w:color w:val="auto"/>
                <w:w w:val="76"/>
              </w:rPr>
              <w:t>$</w:t>
            </w:r>
          </w:p>
        </w:tc>
        <w:tc>
          <w:tcPr>
            <w:tcW w:w="720" w:type="dxa"/>
            <w:vAlign w:val="bottom"/>
            <w:gridSpan w:val="2"/>
          </w:tcPr>
          <w:p>
            <w:pPr>
              <w:jc w:val="right"/>
              <w:ind w:right="180"/>
              <w:spacing w:after="0" w:line="159" w:lineRule="exact"/>
              <w:rPr>
                <w:sz w:val="20"/>
                <w:szCs w:val="20"/>
                <w:color w:val="auto"/>
              </w:rPr>
            </w:pPr>
            <w:r>
              <w:rPr>
                <w:rFonts w:ascii="Arial" w:cs="Arial" w:eastAsia="Arial" w:hAnsi="Arial"/>
                <w:sz w:val="14"/>
                <w:szCs w:val="14"/>
                <w:color w:val="auto"/>
              </w:rPr>
              <w:t>878,848</w:t>
            </w:r>
          </w:p>
        </w:tc>
        <w:tc>
          <w:tcPr>
            <w:tcW w:w="120" w:type="dxa"/>
            <w:vAlign w:val="bottom"/>
          </w:tcPr>
          <w:p>
            <w:pPr>
              <w:spacing w:after="0"/>
              <w:rPr>
                <w:sz w:val="13"/>
                <w:szCs w:val="13"/>
                <w:color w:val="auto"/>
              </w:rPr>
            </w:pPr>
          </w:p>
        </w:tc>
        <w:tc>
          <w:tcPr>
            <w:tcW w:w="620" w:type="dxa"/>
            <w:vAlign w:val="bottom"/>
          </w:tcPr>
          <w:p>
            <w:pPr>
              <w:jc w:val="right"/>
              <w:spacing w:after="0" w:line="159" w:lineRule="exact"/>
              <w:rPr>
                <w:sz w:val="20"/>
                <w:szCs w:val="20"/>
                <w:color w:val="auto"/>
              </w:rPr>
            </w:pPr>
            <w:r>
              <w:rPr>
                <w:rFonts w:ascii="Arial" w:cs="Arial" w:eastAsia="Arial" w:hAnsi="Arial"/>
                <w:sz w:val="14"/>
                <w:szCs w:val="14"/>
                <w:color w:val="auto"/>
              </w:rPr>
              <w:t>851,661</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jc w:val="right"/>
              <w:spacing w:after="0" w:line="159" w:lineRule="exact"/>
              <w:rPr>
                <w:sz w:val="20"/>
                <w:szCs w:val="20"/>
                <w:color w:val="auto"/>
              </w:rPr>
            </w:pPr>
            <w:r>
              <w:rPr>
                <w:rFonts w:ascii="Arial" w:cs="Arial" w:eastAsia="Arial" w:hAnsi="Arial"/>
                <w:sz w:val="14"/>
                <w:szCs w:val="14"/>
                <w:color w:val="auto"/>
              </w:rPr>
              <w:t>79,826</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2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w w:val="94"/>
              </w:rPr>
              <w:t>Emerald Performance Materials, LLC</w:t>
            </w:r>
          </w:p>
        </w:tc>
        <w:tc>
          <w:tcPr>
            <w:tcW w:w="246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Chemicals/Plastics</w:t>
            </w:r>
          </w:p>
        </w:tc>
        <w:tc>
          <w:tcPr>
            <w:tcW w:w="21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Term Loan (First Lien)</w:t>
            </w:r>
          </w:p>
        </w:tc>
        <w:tc>
          <w:tcPr>
            <w:tcW w:w="4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Loan</w:t>
            </w:r>
          </w:p>
        </w:tc>
        <w:tc>
          <w:tcPr>
            <w:tcW w:w="7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4.50%</w:t>
            </w: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8/1/2021</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495,000</w:t>
            </w: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492,919</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490,298</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200" w:type="dxa"/>
            <w:vAlign w:val="bottom"/>
            <w:tcBorders>
              <w:bottom w:val="single" w:sz="8" w:color="CCEEFF"/>
            </w:tcBorders>
            <w:gridSpan w:val="2"/>
          </w:tcPr>
          <w:p>
            <w:pPr>
              <w:spacing w:after="0" w:line="149" w:lineRule="exact"/>
              <w:rPr>
                <w:sz w:val="20"/>
                <w:szCs w:val="20"/>
                <w:color w:val="auto"/>
              </w:rPr>
            </w:pPr>
            <w:r>
              <w:rPr>
                <w:rFonts w:ascii="Arial" w:cs="Arial" w:eastAsia="Arial" w:hAnsi="Arial"/>
                <w:sz w:val="14"/>
                <w:szCs w:val="14"/>
                <w:color w:val="auto"/>
                <w:w w:val="94"/>
              </w:rPr>
              <w:t>Emerald Performance Materials, LLC</w:t>
            </w:r>
          </w:p>
        </w:tc>
        <w:tc>
          <w:tcPr>
            <w:tcW w:w="2460" w:type="dxa"/>
            <w:vAlign w:val="bottom"/>
            <w:tcBorders>
              <w:bottom w:val="single" w:sz="8" w:color="CCEEFF"/>
            </w:tcBorders>
            <w:gridSpan w:val="3"/>
          </w:tcPr>
          <w:p>
            <w:pPr>
              <w:ind w:left="100"/>
              <w:spacing w:after="0" w:line="149" w:lineRule="exact"/>
              <w:rPr>
                <w:sz w:val="20"/>
                <w:szCs w:val="20"/>
                <w:color w:val="auto"/>
              </w:rPr>
            </w:pPr>
            <w:r>
              <w:rPr>
                <w:rFonts w:ascii="Arial" w:cs="Arial" w:eastAsia="Arial" w:hAnsi="Arial"/>
                <w:sz w:val="14"/>
                <w:szCs w:val="14"/>
                <w:color w:val="auto"/>
              </w:rPr>
              <w:t>Chemicals/Plastics</w:t>
            </w:r>
          </w:p>
        </w:tc>
        <w:tc>
          <w:tcPr>
            <w:tcW w:w="2160" w:type="dxa"/>
            <w:vAlign w:val="bottom"/>
            <w:tcBorders>
              <w:bottom w:val="single" w:sz="8" w:color="CCEEFF"/>
            </w:tcBorders>
            <w:gridSpan w:val="2"/>
          </w:tcPr>
          <w:p>
            <w:pPr>
              <w:spacing w:after="0" w:line="149" w:lineRule="exact"/>
              <w:rPr>
                <w:sz w:val="20"/>
                <w:szCs w:val="20"/>
                <w:color w:val="auto"/>
              </w:rPr>
            </w:pPr>
            <w:r>
              <w:rPr>
                <w:rFonts w:ascii="Arial" w:cs="Arial" w:eastAsia="Arial" w:hAnsi="Arial"/>
                <w:sz w:val="14"/>
                <w:szCs w:val="14"/>
                <w:color w:val="auto"/>
              </w:rPr>
              <w:t>Term Loan (Second Lien)</w:t>
            </w:r>
          </w:p>
        </w:tc>
        <w:tc>
          <w:tcPr>
            <w:tcW w:w="480" w:type="dxa"/>
            <w:vAlign w:val="bottom"/>
            <w:tcBorders>
              <w:bottom w:val="single" w:sz="8" w:color="CCEEFF"/>
            </w:tcBorders>
            <w:gridSpan w:val="2"/>
          </w:tcPr>
          <w:p>
            <w:pPr>
              <w:spacing w:after="0" w:line="149" w:lineRule="exact"/>
              <w:rPr>
                <w:sz w:val="20"/>
                <w:szCs w:val="20"/>
                <w:color w:val="auto"/>
              </w:rPr>
            </w:pPr>
            <w:r>
              <w:rPr>
                <w:rFonts w:ascii="Arial" w:cs="Arial" w:eastAsia="Arial" w:hAnsi="Arial"/>
                <w:sz w:val="14"/>
                <w:szCs w:val="14"/>
                <w:color w:val="auto"/>
              </w:rPr>
              <w:t>Loan</w:t>
            </w:r>
          </w:p>
        </w:tc>
        <w:tc>
          <w:tcPr>
            <w:tcW w:w="780" w:type="dxa"/>
            <w:vAlign w:val="bottom"/>
            <w:tcBorders>
              <w:bottom w:val="single" w:sz="8" w:color="CCEEFF"/>
            </w:tcBorders>
            <w:gridSpan w:val="2"/>
          </w:tcPr>
          <w:p>
            <w:pPr>
              <w:jc w:val="right"/>
              <w:ind w:right="160"/>
              <w:spacing w:after="0" w:line="149" w:lineRule="exact"/>
              <w:rPr>
                <w:sz w:val="20"/>
                <w:szCs w:val="20"/>
                <w:color w:val="auto"/>
              </w:rPr>
            </w:pPr>
            <w:r>
              <w:rPr>
                <w:rFonts w:ascii="Arial" w:cs="Arial" w:eastAsia="Arial" w:hAnsi="Arial"/>
                <w:sz w:val="14"/>
                <w:szCs w:val="14"/>
                <w:color w:val="auto"/>
              </w:rPr>
              <w:t>7.75%</w:t>
            </w:r>
          </w:p>
        </w:tc>
        <w:tc>
          <w:tcPr>
            <w:tcW w:w="820" w:type="dxa"/>
            <w:vAlign w:val="bottom"/>
            <w:tcBorders>
              <w:bottom w:val="single" w:sz="8" w:color="CCEEFF"/>
            </w:tcBorders>
            <w:gridSpan w:val="2"/>
          </w:tcPr>
          <w:p>
            <w:pPr>
              <w:jc w:val="right"/>
              <w:ind w:right="160"/>
              <w:spacing w:after="0" w:line="149" w:lineRule="exact"/>
              <w:rPr>
                <w:sz w:val="20"/>
                <w:szCs w:val="20"/>
                <w:color w:val="auto"/>
              </w:rPr>
            </w:pPr>
            <w:r>
              <w:rPr>
                <w:rFonts w:ascii="Arial" w:cs="Arial" w:eastAsia="Arial" w:hAnsi="Arial"/>
                <w:sz w:val="14"/>
                <w:szCs w:val="14"/>
                <w:color w:val="auto"/>
              </w:rPr>
              <w:t>8/1/2022</w:t>
            </w:r>
          </w:p>
        </w:tc>
        <w:tc>
          <w:tcPr>
            <w:tcW w:w="80" w:type="dxa"/>
            <w:vAlign w:val="bottom"/>
            <w:tcBorders>
              <w:bottom w:val="single" w:sz="8" w:color="CCEEFF"/>
            </w:tcBorders>
          </w:tcPr>
          <w:p>
            <w:pPr>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CCEEFF"/>
            </w:tcBorders>
            <w:gridSpan w:val="2"/>
          </w:tcPr>
          <w:p>
            <w:pPr>
              <w:jc w:val="right"/>
              <w:ind w:right="180"/>
              <w:spacing w:after="0" w:line="149" w:lineRule="exact"/>
              <w:rPr>
                <w:sz w:val="20"/>
                <w:szCs w:val="20"/>
                <w:color w:val="auto"/>
              </w:rPr>
            </w:pPr>
            <w:r>
              <w:rPr>
                <w:rFonts w:ascii="Arial" w:cs="Arial" w:eastAsia="Arial" w:hAnsi="Arial"/>
                <w:sz w:val="14"/>
                <w:szCs w:val="14"/>
                <w:color w:val="auto"/>
              </w:rPr>
              <w:t>500,000</w:t>
            </w:r>
          </w:p>
        </w:tc>
        <w:tc>
          <w:tcPr>
            <w:tcW w:w="120" w:type="dxa"/>
            <w:vAlign w:val="bottom"/>
            <w:tcBorders>
              <w:bottom w:val="single" w:sz="8" w:color="CCEEFF"/>
            </w:tcBorders>
          </w:tcPr>
          <w:p>
            <w:pPr>
              <w:spacing w:after="0"/>
              <w:rPr>
                <w:sz w:val="14"/>
                <w:szCs w:val="14"/>
                <w:color w:val="auto"/>
              </w:rPr>
            </w:pPr>
          </w:p>
        </w:tc>
        <w:tc>
          <w:tcPr>
            <w:tcW w:w="620" w:type="dxa"/>
            <w:vAlign w:val="bottom"/>
            <w:tcBorders>
              <w:bottom w:val="single" w:sz="8" w:color="CCEEFF"/>
            </w:tcBorders>
          </w:tcPr>
          <w:p>
            <w:pPr>
              <w:jc w:val="right"/>
              <w:spacing w:after="0" w:line="149" w:lineRule="exact"/>
              <w:rPr>
                <w:sz w:val="20"/>
                <w:szCs w:val="20"/>
                <w:color w:val="auto"/>
              </w:rPr>
            </w:pPr>
            <w:r>
              <w:rPr>
                <w:rFonts w:ascii="Arial" w:cs="Arial" w:eastAsia="Arial" w:hAnsi="Arial"/>
                <w:sz w:val="14"/>
                <w:szCs w:val="14"/>
                <w:color w:val="auto"/>
              </w:rPr>
              <w:t>497,798</w:t>
            </w:r>
          </w:p>
        </w:tc>
        <w:tc>
          <w:tcPr>
            <w:tcW w:w="16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620" w:type="dxa"/>
            <w:vAlign w:val="bottom"/>
            <w:tcBorders>
              <w:bottom w:val="single" w:sz="8" w:color="CCEEFF"/>
            </w:tcBorders>
          </w:tcPr>
          <w:p>
            <w:pPr>
              <w:jc w:val="right"/>
              <w:spacing w:after="0" w:line="149" w:lineRule="exact"/>
              <w:rPr>
                <w:sz w:val="20"/>
                <w:szCs w:val="20"/>
                <w:color w:val="auto"/>
              </w:rPr>
            </w:pPr>
            <w:r>
              <w:rPr>
                <w:rFonts w:ascii="Arial" w:cs="Arial" w:eastAsia="Arial" w:hAnsi="Arial"/>
                <w:sz w:val="14"/>
                <w:szCs w:val="14"/>
                <w:color w:val="auto"/>
              </w:rPr>
              <w:t>476,250</w:t>
            </w:r>
          </w:p>
        </w:tc>
        <w:tc>
          <w:tcPr>
            <w:tcW w:w="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459" w:right="239" w:bottom="0" w:gutter="0" w:footer="0" w:header="0"/>
        </w:sectPr>
      </w:pPr>
    </w:p>
    <w:bookmarkStart w:id="25" w:name="page26"/>
    <w:bookmarkEnd w:id="25"/>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20" w:type="dxa"/>
            <w:vAlign w:val="bottom"/>
            <w:shd w:val="clear" w:color="auto" w:fill="CCEEFF"/>
          </w:tcPr>
          <w:p>
            <w:pPr>
              <w:spacing w:after="0"/>
              <w:rPr>
                <w:sz w:val="20"/>
                <w:szCs w:val="20"/>
                <w:color w:val="auto"/>
              </w:rPr>
            </w:pPr>
            <w:r>
              <w:rPr>
                <w:rFonts w:ascii="Arial" w:cs="Arial" w:eastAsia="Arial" w:hAnsi="Arial"/>
                <w:sz w:val="14"/>
                <w:szCs w:val="14"/>
                <w:color w:val="auto"/>
              </w:rPr>
              <w:t>Emerald 2 Limited</w:t>
            </w:r>
          </w:p>
        </w:tc>
        <w:tc>
          <w:tcPr>
            <w:tcW w:w="2240" w:type="dxa"/>
            <w:vAlign w:val="bottom"/>
            <w:shd w:val="clear" w:color="auto" w:fill="CCEEFF"/>
          </w:tcPr>
          <w:p>
            <w:pPr>
              <w:ind w:left="80"/>
              <w:spacing w:after="0"/>
              <w:rPr>
                <w:sz w:val="20"/>
                <w:szCs w:val="20"/>
                <w:color w:val="auto"/>
              </w:rPr>
            </w:pPr>
            <w:r>
              <w:rPr>
                <w:rFonts w:ascii="Arial" w:cs="Arial" w:eastAsia="Arial" w:hAnsi="Arial"/>
                <w:sz w:val="14"/>
                <w:szCs w:val="14"/>
                <w:color w:val="auto"/>
              </w:rPr>
              <w:t>Chemicals/Plastics</w:t>
            </w:r>
          </w:p>
        </w:tc>
        <w:tc>
          <w:tcPr>
            <w:tcW w:w="22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Term Loan B1A</w:t>
            </w:r>
          </w:p>
        </w:tc>
        <w:tc>
          <w:tcPr>
            <w:tcW w:w="600" w:type="dxa"/>
            <w:vAlign w:val="bottom"/>
            <w:shd w:val="clear" w:color="auto" w:fill="CCEEFF"/>
          </w:tcPr>
          <w:p>
            <w:pPr>
              <w:ind w:left="80"/>
              <w:spacing w:after="0"/>
              <w:rPr>
                <w:sz w:val="20"/>
                <w:szCs w:val="20"/>
                <w:color w:val="auto"/>
              </w:rPr>
            </w:pPr>
            <w:r>
              <w:rPr>
                <w:rFonts w:ascii="Arial" w:cs="Arial" w:eastAsia="Arial" w:hAnsi="Arial"/>
                <w:sz w:val="14"/>
                <w:szCs w:val="14"/>
                <w:color w:val="auto"/>
              </w:rPr>
              <w:t>Loan</w:t>
            </w:r>
          </w:p>
        </w:tc>
        <w:tc>
          <w:tcPr>
            <w:tcW w:w="68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5.00%</w:t>
            </w:r>
          </w:p>
        </w:tc>
        <w:tc>
          <w:tcPr>
            <w:tcW w:w="80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5/14/2021</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112"/>
              <w:spacing w:after="0"/>
              <w:rPr>
                <w:sz w:val="20"/>
                <w:szCs w:val="20"/>
                <w:color w:val="auto"/>
              </w:rPr>
            </w:pPr>
            <w:r>
              <w:rPr>
                <w:rFonts w:ascii="Arial" w:cs="Arial" w:eastAsia="Arial" w:hAnsi="Arial"/>
                <w:sz w:val="14"/>
                <w:szCs w:val="14"/>
                <w:color w:val="auto"/>
                <w:w w:val="83"/>
              </w:rPr>
              <w:t>1,000,000</w:t>
            </w:r>
          </w:p>
        </w:tc>
        <w:tc>
          <w:tcPr>
            <w:tcW w:w="920" w:type="dxa"/>
            <w:vAlign w:val="bottom"/>
            <w:shd w:val="clear" w:color="auto" w:fill="CCEEFF"/>
          </w:tcPr>
          <w:p>
            <w:pPr>
              <w:jc w:val="right"/>
              <w:ind w:right="112"/>
              <w:spacing w:after="0"/>
              <w:rPr>
                <w:sz w:val="20"/>
                <w:szCs w:val="20"/>
                <w:color w:val="auto"/>
              </w:rPr>
            </w:pPr>
            <w:r>
              <w:rPr>
                <w:rFonts w:ascii="Arial" w:cs="Arial" w:eastAsia="Arial" w:hAnsi="Arial"/>
                <w:sz w:val="14"/>
                <w:szCs w:val="14"/>
                <w:color w:val="auto"/>
              </w:rPr>
              <w:t>991,190</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970,000</w:t>
            </w:r>
          </w:p>
        </w:tc>
      </w:tr>
      <w:tr>
        <w:trPr>
          <w:trHeight w:val="149"/>
        </w:trPr>
        <w:tc>
          <w:tcPr>
            <w:tcW w:w="2220" w:type="dxa"/>
            <w:vAlign w:val="bottom"/>
          </w:tcPr>
          <w:p>
            <w:pPr>
              <w:spacing w:after="0" w:line="149" w:lineRule="exact"/>
              <w:rPr>
                <w:sz w:val="20"/>
                <w:szCs w:val="20"/>
                <w:color w:val="auto"/>
              </w:rPr>
            </w:pPr>
            <w:r>
              <w:rPr>
                <w:rFonts w:ascii="Arial" w:cs="Arial" w:eastAsia="Arial" w:hAnsi="Arial"/>
                <w:sz w:val="14"/>
                <w:szCs w:val="14"/>
                <w:color w:val="auto"/>
              </w:rPr>
              <w:t>Endo International plc</w:t>
            </w:r>
          </w:p>
        </w:tc>
        <w:tc>
          <w:tcPr>
            <w:tcW w:w="2240" w:type="dxa"/>
            <w:vAlign w:val="bottom"/>
          </w:tcPr>
          <w:p>
            <w:pPr>
              <w:ind w:left="80"/>
              <w:spacing w:after="0" w:line="149" w:lineRule="exact"/>
              <w:rPr>
                <w:sz w:val="20"/>
                <w:szCs w:val="20"/>
                <w:color w:val="auto"/>
              </w:rPr>
            </w:pPr>
            <w:r>
              <w:rPr>
                <w:rFonts w:ascii="Arial" w:cs="Arial" w:eastAsia="Arial" w:hAnsi="Arial"/>
                <w:sz w:val="14"/>
                <w:szCs w:val="14"/>
                <w:color w:val="auto"/>
              </w:rPr>
              <w:t>Healthcare &amp; Pharmaceuticals</w:t>
            </w:r>
          </w:p>
        </w:tc>
        <w:tc>
          <w:tcPr>
            <w:tcW w:w="2280" w:type="dxa"/>
            <w:vAlign w:val="bottom"/>
          </w:tcPr>
          <w:p>
            <w:pPr>
              <w:ind w:left="200"/>
              <w:spacing w:after="0" w:line="149" w:lineRule="exact"/>
              <w:rPr>
                <w:sz w:val="20"/>
                <w:szCs w:val="20"/>
                <w:color w:val="auto"/>
              </w:rPr>
            </w:pPr>
            <w:r>
              <w:rPr>
                <w:rFonts w:ascii="Arial" w:cs="Arial" w:eastAsia="Arial" w:hAnsi="Arial"/>
                <w:sz w:val="14"/>
                <w:szCs w:val="14"/>
                <w:color w:val="auto"/>
              </w:rPr>
              <w:t>Term Loan B</w:t>
            </w:r>
          </w:p>
        </w:tc>
        <w:tc>
          <w:tcPr>
            <w:tcW w:w="600" w:type="dxa"/>
            <w:vAlign w:val="bottom"/>
          </w:tcPr>
          <w:p>
            <w:pPr>
              <w:ind w:left="80"/>
              <w:spacing w:after="0" w:line="149" w:lineRule="exact"/>
              <w:rPr>
                <w:sz w:val="20"/>
                <w:szCs w:val="20"/>
                <w:color w:val="auto"/>
              </w:rPr>
            </w:pPr>
            <w:r>
              <w:rPr>
                <w:rFonts w:ascii="Arial" w:cs="Arial" w:eastAsia="Arial" w:hAnsi="Arial"/>
                <w:sz w:val="14"/>
                <w:szCs w:val="14"/>
                <w:color w:val="auto"/>
              </w:rPr>
              <w:t>Loan</w:t>
            </w:r>
          </w:p>
        </w:tc>
        <w:tc>
          <w:tcPr>
            <w:tcW w:w="680" w:type="dxa"/>
            <w:vAlign w:val="bottom"/>
          </w:tcPr>
          <w:p>
            <w:pPr>
              <w:jc w:val="right"/>
              <w:ind w:right="32"/>
              <w:spacing w:after="0" w:line="149" w:lineRule="exact"/>
              <w:rPr>
                <w:sz w:val="20"/>
                <w:szCs w:val="20"/>
                <w:color w:val="auto"/>
              </w:rPr>
            </w:pPr>
            <w:r>
              <w:rPr>
                <w:rFonts w:ascii="Arial" w:cs="Arial" w:eastAsia="Arial" w:hAnsi="Arial"/>
                <w:sz w:val="14"/>
                <w:szCs w:val="14"/>
                <w:color w:val="auto"/>
              </w:rPr>
              <w:t>3.75%</w:t>
            </w:r>
          </w:p>
        </w:tc>
        <w:tc>
          <w:tcPr>
            <w:tcW w:w="8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6/24/2022</w:t>
            </w:r>
          </w:p>
        </w:tc>
        <w:tc>
          <w:tcPr>
            <w:tcW w:w="1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112"/>
              <w:spacing w:after="0" w:line="149" w:lineRule="exact"/>
              <w:rPr>
                <w:sz w:val="20"/>
                <w:szCs w:val="20"/>
                <w:color w:val="auto"/>
              </w:rPr>
            </w:pPr>
            <w:r>
              <w:rPr>
                <w:rFonts w:ascii="Arial" w:cs="Arial" w:eastAsia="Arial" w:hAnsi="Arial"/>
                <w:sz w:val="14"/>
                <w:szCs w:val="14"/>
                <w:color w:val="auto"/>
                <w:w w:val="83"/>
              </w:rPr>
              <w:t>1,000,000</w:t>
            </w:r>
          </w:p>
        </w:tc>
        <w:tc>
          <w:tcPr>
            <w:tcW w:w="9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997,553</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983,750</w:t>
            </w:r>
          </w:p>
        </w:tc>
      </w:tr>
      <w:tr>
        <w:trPr>
          <w:trHeight w:val="149"/>
        </w:trPr>
        <w:tc>
          <w:tcPr>
            <w:tcW w:w="2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EnergySolutions, LLC</w:t>
            </w:r>
          </w:p>
        </w:tc>
        <w:tc>
          <w:tcPr>
            <w:tcW w:w="224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Environmental Industries</w:t>
            </w:r>
          </w:p>
        </w:tc>
        <w:tc>
          <w:tcPr>
            <w:tcW w:w="22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Term Loan B</w:t>
            </w:r>
          </w:p>
        </w:tc>
        <w:tc>
          <w:tcPr>
            <w:tcW w:w="60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Loan</w:t>
            </w:r>
          </w:p>
        </w:tc>
        <w:tc>
          <w:tcPr>
            <w:tcW w:w="68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6.75%</w:t>
            </w:r>
          </w:p>
        </w:tc>
        <w:tc>
          <w:tcPr>
            <w:tcW w:w="8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5/29/2020</w:t>
            </w:r>
          </w:p>
        </w:tc>
        <w:tc>
          <w:tcPr>
            <w:tcW w:w="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937,857</w:t>
            </w:r>
          </w:p>
        </w:tc>
        <w:tc>
          <w:tcPr>
            <w:tcW w:w="9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923,002</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886,275</w:t>
            </w:r>
          </w:p>
        </w:tc>
      </w:tr>
      <w:tr>
        <w:trPr>
          <w:trHeight w:val="149"/>
        </w:trPr>
        <w:tc>
          <w:tcPr>
            <w:tcW w:w="2220" w:type="dxa"/>
            <w:vAlign w:val="bottom"/>
          </w:tcPr>
          <w:p>
            <w:pPr>
              <w:spacing w:after="0" w:line="149" w:lineRule="exact"/>
              <w:rPr>
                <w:sz w:val="20"/>
                <w:szCs w:val="20"/>
                <w:color w:val="auto"/>
              </w:rPr>
            </w:pPr>
            <w:r>
              <w:rPr>
                <w:rFonts w:ascii="Arial" w:cs="Arial" w:eastAsia="Arial" w:hAnsi="Arial"/>
                <w:sz w:val="14"/>
                <w:szCs w:val="14"/>
                <w:color w:val="auto"/>
              </w:rPr>
              <w:t>Evergreen Acqco 1 LP</w:t>
            </w:r>
          </w:p>
        </w:tc>
        <w:tc>
          <w:tcPr>
            <w:tcW w:w="2240" w:type="dxa"/>
            <w:vAlign w:val="bottom"/>
          </w:tcPr>
          <w:p>
            <w:pPr>
              <w:ind w:left="80"/>
              <w:spacing w:after="0" w:line="149" w:lineRule="exact"/>
              <w:rPr>
                <w:sz w:val="20"/>
                <w:szCs w:val="20"/>
                <w:color w:val="auto"/>
              </w:rPr>
            </w:pPr>
            <w:r>
              <w:rPr>
                <w:rFonts w:ascii="Arial" w:cs="Arial" w:eastAsia="Arial" w:hAnsi="Arial"/>
                <w:sz w:val="14"/>
                <w:szCs w:val="14"/>
                <w:color w:val="auto"/>
                <w:w w:val="99"/>
              </w:rPr>
              <w:t>Retailers (Except Food and Drugs)</w:t>
            </w:r>
          </w:p>
        </w:tc>
        <w:tc>
          <w:tcPr>
            <w:tcW w:w="2280" w:type="dxa"/>
            <w:vAlign w:val="bottom"/>
          </w:tcPr>
          <w:p>
            <w:pPr>
              <w:ind w:left="200"/>
              <w:spacing w:after="0" w:line="149" w:lineRule="exact"/>
              <w:rPr>
                <w:sz w:val="20"/>
                <w:szCs w:val="20"/>
                <w:color w:val="auto"/>
              </w:rPr>
            </w:pPr>
            <w:r>
              <w:rPr>
                <w:rFonts w:ascii="Arial" w:cs="Arial" w:eastAsia="Arial" w:hAnsi="Arial"/>
                <w:sz w:val="14"/>
                <w:szCs w:val="14"/>
                <w:color w:val="auto"/>
              </w:rPr>
              <w:t>New Term Loan</w:t>
            </w:r>
          </w:p>
        </w:tc>
        <w:tc>
          <w:tcPr>
            <w:tcW w:w="600" w:type="dxa"/>
            <w:vAlign w:val="bottom"/>
          </w:tcPr>
          <w:p>
            <w:pPr>
              <w:ind w:left="80"/>
              <w:spacing w:after="0" w:line="149" w:lineRule="exact"/>
              <w:rPr>
                <w:sz w:val="20"/>
                <w:szCs w:val="20"/>
                <w:color w:val="auto"/>
              </w:rPr>
            </w:pPr>
            <w:r>
              <w:rPr>
                <w:rFonts w:ascii="Arial" w:cs="Arial" w:eastAsia="Arial" w:hAnsi="Arial"/>
                <w:sz w:val="14"/>
                <w:szCs w:val="14"/>
                <w:color w:val="auto"/>
              </w:rPr>
              <w:t>Loan</w:t>
            </w:r>
          </w:p>
        </w:tc>
        <w:tc>
          <w:tcPr>
            <w:tcW w:w="680" w:type="dxa"/>
            <w:vAlign w:val="bottom"/>
          </w:tcPr>
          <w:p>
            <w:pPr>
              <w:jc w:val="right"/>
              <w:ind w:right="32"/>
              <w:spacing w:after="0" w:line="149" w:lineRule="exact"/>
              <w:rPr>
                <w:sz w:val="20"/>
                <w:szCs w:val="20"/>
                <w:color w:val="auto"/>
              </w:rPr>
            </w:pPr>
            <w:r>
              <w:rPr>
                <w:rFonts w:ascii="Arial" w:cs="Arial" w:eastAsia="Arial" w:hAnsi="Arial"/>
                <w:sz w:val="14"/>
                <w:szCs w:val="14"/>
                <w:color w:val="auto"/>
              </w:rPr>
              <w:t>5.00%</w:t>
            </w:r>
          </w:p>
        </w:tc>
        <w:tc>
          <w:tcPr>
            <w:tcW w:w="8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7/9/2019</w:t>
            </w:r>
          </w:p>
        </w:tc>
        <w:tc>
          <w:tcPr>
            <w:tcW w:w="1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967,575</w:t>
            </w:r>
          </w:p>
        </w:tc>
        <w:tc>
          <w:tcPr>
            <w:tcW w:w="9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965,746</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787,364</w:t>
            </w:r>
          </w:p>
        </w:tc>
      </w:tr>
      <w:tr>
        <w:trPr>
          <w:trHeight w:val="138"/>
        </w:trPr>
        <w:tc>
          <w:tcPr>
            <w:tcW w:w="22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EWT Holdings III Corp. (fka WTG</w:t>
            </w:r>
          </w:p>
        </w:tc>
        <w:tc>
          <w:tcPr>
            <w:tcW w:w="2240" w:type="dxa"/>
            <w:vAlign w:val="bottom"/>
            <w:shd w:val="clear" w:color="auto" w:fill="CCEEFF"/>
          </w:tcPr>
          <w:p>
            <w:pPr>
              <w:ind w:left="80"/>
              <w:spacing w:after="0" w:line="138" w:lineRule="exact"/>
              <w:rPr>
                <w:sz w:val="20"/>
                <w:szCs w:val="20"/>
                <w:color w:val="auto"/>
              </w:rPr>
            </w:pPr>
            <w:r>
              <w:rPr>
                <w:rFonts w:ascii="Arial" w:cs="Arial" w:eastAsia="Arial" w:hAnsi="Arial"/>
                <w:sz w:val="14"/>
                <w:szCs w:val="14"/>
                <w:color w:val="auto"/>
              </w:rPr>
              <w:t>Industrial Equipment</w:t>
            </w:r>
          </w:p>
        </w:tc>
        <w:tc>
          <w:tcPr>
            <w:tcW w:w="2280" w:type="dxa"/>
            <w:vAlign w:val="bottom"/>
            <w:shd w:val="clear" w:color="auto" w:fill="CCEEFF"/>
          </w:tcPr>
          <w:p>
            <w:pPr>
              <w:ind w:left="200"/>
              <w:spacing w:after="0" w:line="138" w:lineRule="exact"/>
              <w:rPr>
                <w:sz w:val="20"/>
                <w:szCs w:val="20"/>
                <w:color w:val="auto"/>
              </w:rPr>
            </w:pPr>
            <w:r>
              <w:rPr>
                <w:rFonts w:ascii="Arial" w:cs="Arial" w:eastAsia="Arial" w:hAnsi="Arial"/>
                <w:sz w:val="14"/>
                <w:szCs w:val="14"/>
                <w:color w:val="auto"/>
              </w:rPr>
              <w:t>Term Loan (First Lien)</w:t>
            </w:r>
          </w:p>
        </w:tc>
        <w:tc>
          <w:tcPr>
            <w:tcW w:w="600" w:type="dxa"/>
            <w:vAlign w:val="bottom"/>
            <w:shd w:val="clear" w:color="auto" w:fill="CCEEFF"/>
          </w:tcPr>
          <w:p>
            <w:pPr>
              <w:ind w:left="80"/>
              <w:spacing w:after="0" w:line="138" w:lineRule="exact"/>
              <w:rPr>
                <w:sz w:val="20"/>
                <w:szCs w:val="20"/>
                <w:color w:val="auto"/>
              </w:rPr>
            </w:pPr>
            <w:r>
              <w:rPr>
                <w:rFonts w:ascii="Arial" w:cs="Arial" w:eastAsia="Arial" w:hAnsi="Arial"/>
                <w:sz w:val="14"/>
                <w:szCs w:val="14"/>
                <w:color w:val="auto"/>
              </w:rPr>
              <w:t>Loan</w:t>
            </w:r>
          </w:p>
        </w:tc>
        <w:tc>
          <w:tcPr>
            <w:tcW w:w="6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r>
      <w:tr>
        <w:trPr>
          <w:trHeight w:val="159"/>
        </w:trPr>
        <w:tc>
          <w:tcPr>
            <w:tcW w:w="2220" w:type="dxa"/>
            <w:vAlign w:val="bottom"/>
            <w:shd w:val="clear" w:color="auto" w:fill="CCEEFF"/>
          </w:tcPr>
          <w:p>
            <w:pPr>
              <w:ind w:left="140"/>
              <w:spacing w:after="0" w:line="159" w:lineRule="exact"/>
              <w:rPr>
                <w:sz w:val="20"/>
                <w:szCs w:val="20"/>
                <w:color w:val="auto"/>
              </w:rPr>
            </w:pPr>
            <w:r>
              <w:rPr>
                <w:rFonts w:ascii="Arial" w:cs="Arial" w:eastAsia="Arial" w:hAnsi="Arial"/>
                <w:sz w:val="14"/>
                <w:szCs w:val="14"/>
                <w:color w:val="auto"/>
              </w:rPr>
              <w:t>Holdings III Corp.)</w:t>
            </w:r>
          </w:p>
        </w:tc>
        <w:tc>
          <w:tcPr>
            <w:tcW w:w="2240" w:type="dxa"/>
            <w:vAlign w:val="bottom"/>
            <w:shd w:val="clear" w:color="auto" w:fill="CCEEFF"/>
          </w:tcPr>
          <w:p>
            <w:pPr>
              <w:spacing w:after="0"/>
              <w:rPr>
                <w:sz w:val="13"/>
                <w:szCs w:val="13"/>
                <w:color w:val="auto"/>
              </w:rPr>
            </w:pPr>
          </w:p>
        </w:tc>
        <w:tc>
          <w:tcPr>
            <w:tcW w:w="22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680" w:type="dxa"/>
            <w:vAlign w:val="bottom"/>
            <w:shd w:val="clear" w:color="auto" w:fill="CCEEFF"/>
          </w:tcPr>
          <w:p>
            <w:pPr>
              <w:jc w:val="right"/>
              <w:ind w:right="32"/>
              <w:spacing w:after="0" w:line="159" w:lineRule="exact"/>
              <w:rPr>
                <w:sz w:val="20"/>
                <w:szCs w:val="20"/>
                <w:color w:val="auto"/>
              </w:rPr>
            </w:pPr>
            <w:r>
              <w:rPr>
                <w:rFonts w:ascii="Arial" w:cs="Arial" w:eastAsia="Arial" w:hAnsi="Arial"/>
                <w:sz w:val="14"/>
                <w:szCs w:val="14"/>
                <w:color w:val="auto"/>
              </w:rPr>
              <w:t>4.75%</w:t>
            </w:r>
          </w:p>
        </w:tc>
        <w:tc>
          <w:tcPr>
            <w:tcW w:w="800" w:type="dxa"/>
            <w:vAlign w:val="bottom"/>
            <w:shd w:val="clear" w:color="auto" w:fill="CCEEFF"/>
          </w:tcPr>
          <w:p>
            <w:pPr>
              <w:jc w:val="right"/>
              <w:ind w:right="12"/>
              <w:spacing w:after="0" w:line="159" w:lineRule="exact"/>
              <w:rPr>
                <w:sz w:val="20"/>
                <w:szCs w:val="20"/>
                <w:color w:val="auto"/>
              </w:rPr>
            </w:pPr>
            <w:r>
              <w:rPr>
                <w:rFonts w:ascii="Arial" w:cs="Arial" w:eastAsia="Arial" w:hAnsi="Arial"/>
                <w:sz w:val="14"/>
                <w:szCs w:val="14"/>
                <w:color w:val="auto"/>
              </w:rPr>
              <w:t>1/15/2021</w:t>
            </w:r>
          </w:p>
        </w:tc>
        <w:tc>
          <w:tcPr>
            <w:tcW w:w="1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112"/>
              <w:spacing w:after="0" w:line="159" w:lineRule="exact"/>
              <w:rPr>
                <w:sz w:val="20"/>
                <w:szCs w:val="20"/>
                <w:color w:val="auto"/>
              </w:rPr>
            </w:pPr>
            <w:r>
              <w:rPr>
                <w:rFonts w:ascii="Arial" w:cs="Arial" w:eastAsia="Arial" w:hAnsi="Arial"/>
                <w:sz w:val="14"/>
                <w:szCs w:val="14"/>
                <w:color w:val="auto"/>
                <w:w w:val="83"/>
              </w:rPr>
              <w:t>1,972,424</w:t>
            </w:r>
          </w:p>
        </w:tc>
        <w:tc>
          <w:tcPr>
            <w:tcW w:w="920" w:type="dxa"/>
            <w:vAlign w:val="bottom"/>
            <w:shd w:val="clear" w:color="auto" w:fill="CCEEFF"/>
          </w:tcPr>
          <w:p>
            <w:pPr>
              <w:jc w:val="right"/>
              <w:ind w:right="112"/>
              <w:spacing w:after="0" w:line="159" w:lineRule="exact"/>
              <w:rPr>
                <w:sz w:val="20"/>
                <w:szCs w:val="20"/>
                <w:color w:val="auto"/>
              </w:rPr>
            </w:pPr>
            <w:r>
              <w:rPr>
                <w:rFonts w:ascii="Arial" w:cs="Arial" w:eastAsia="Arial" w:hAnsi="Arial"/>
                <w:sz w:val="14"/>
                <w:szCs w:val="14"/>
                <w:color w:val="auto"/>
              </w:rPr>
              <w:t>1,967,787</w:t>
            </w:r>
          </w:p>
        </w:tc>
        <w:tc>
          <w:tcPr>
            <w:tcW w:w="8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1,950,235</w:t>
            </w:r>
          </w:p>
        </w:tc>
      </w:tr>
      <w:tr>
        <w:trPr>
          <w:trHeight w:val="149"/>
        </w:trPr>
        <w:tc>
          <w:tcPr>
            <w:tcW w:w="2220" w:type="dxa"/>
            <w:vAlign w:val="bottom"/>
          </w:tcPr>
          <w:p>
            <w:pPr>
              <w:spacing w:after="0" w:line="149" w:lineRule="exact"/>
              <w:rPr>
                <w:sz w:val="20"/>
                <w:szCs w:val="20"/>
                <w:color w:val="auto"/>
              </w:rPr>
            </w:pPr>
            <w:r>
              <w:rPr>
                <w:rFonts w:ascii="Arial" w:cs="Arial" w:eastAsia="Arial" w:hAnsi="Arial"/>
                <w:sz w:val="14"/>
                <w:szCs w:val="14"/>
                <w:color w:val="auto"/>
              </w:rPr>
              <w:t>Federal-Mogul Corporation</w:t>
            </w:r>
          </w:p>
        </w:tc>
        <w:tc>
          <w:tcPr>
            <w:tcW w:w="2240" w:type="dxa"/>
            <w:vAlign w:val="bottom"/>
          </w:tcPr>
          <w:p>
            <w:pPr>
              <w:ind w:left="80"/>
              <w:spacing w:after="0" w:line="149" w:lineRule="exact"/>
              <w:rPr>
                <w:sz w:val="20"/>
                <w:szCs w:val="20"/>
                <w:color w:val="auto"/>
              </w:rPr>
            </w:pPr>
            <w:r>
              <w:rPr>
                <w:rFonts w:ascii="Arial" w:cs="Arial" w:eastAsia="Arial" w:hAnsi="Arial"/>
                <w:sz w:val="14"/>
                <w:szCs w:val="14"/>
                <w:color w:val="auto"/>
              </w:rPr>
              <w:t>Automotive</w:t>
            </w:r>
          </w:p>
        </w:tc>
        <w:tc>
          <w:tcPr>
            <w:tcW w:w="2280" w:type="dxa"/>
            <w:vAlign w:val="bottom"/>
          </w:tcPr>
          <w:p>
            <w:pPr>
              <w:ind w:left="200"/>
              <w:spacing w:after="0" w:line="149" w:lineRule="exact"/>
              <w:rPr>
                <w:sz w:val="20"/>
                <w:szCs w:val="20"/>
                <w:color w:val="auto"/>
              </w:rPr>
            </w:pPr>
            <w:r>
              <w:rPr>
                <w:rFonts w:ascii="Arial" w:cs="Arial" w:eastAsia="Arial" w:hAnsi="Arial"/>
                <w:sz w:val="14"/>
                <w:szCs w:val="14"/>
                <w:color w:val="auto"/>
              </w:rPr>
              <w:t>Tranche C Term Loan</w:t>
            </w:r>
          </w:p>
        </w:tc>
        <w:tc>
          <w:tcPr>
            <w:tcW w:w="600" w:type="dxa"/>
            <w:vAlign w:val="bottom"/>
          </w:tcPr>
          <w:p>
            <w:pPr>
              <w:ind w:left="80"/>
              <w:spacing w:after="0" w:line="149" w:lineRule="exact"/>
              <w:rPr>
                <w:sz w:val="20"/>
                <w:szCs w:val="20"/>
                <w:color w:val="auto"/>
              </w:rPr>
            </w:pPr>
            <w:r>
              <w:rPr>
                <w:rFonts w:ascii="Arial" w:cs="Arial" w:eastAsia="Arial" w:hAnsi="Arial"/>
                <w:sz w:val="14"/>
                <w:szCs w:val="14"/>
                <w:color w:val="auto"/>
              </w:rPr>
              <w:t>Loan</w:t>
            </w:r>
          </w:p>
        </w:tc>
        <w:tc>
          <w:tcPr>
            <w:tcW w:w="680" w:type="dxa"/>
            <w:vAlign w:val="bottom"/>
          </w:tcPr>
          <w:p>
            <w:pPr>
              <w:jc w:val="right"/>
              <w:ind w:right="32"/>
              <w:spacing w:after="0" w:line="149" w:lineRule="exact"/>
              <w:rPr>
                <w:sz w:val="20"/>
                <w:szCs w:val="20"/>
                <w:color w:val="auto"/>
              </w:rPr>
            </w:pPr>
            <w:r>
              <w:rPr>
                <w:rFonts w:ascii="Arial" w:cs="Arial" w:eastAsia="Arial" w:hAnsi="Arial"/>
                <w:sz w:val="14"/>
                <w:szCs w:val="14"/>
                <w:color w:val="auto"/>
              </w:rPr>
              <w:t>4.75%</w:t>
            </w:r>
          </w:p>
        </w:tc>
        <w:tc>
          <w:tcPr>
            <w:tcW w:w="8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4/15/2021</w:t>
            </w:r>
          </w:p>
        </w:tc>
        <w:tc>
          <w:tcPr>
            <w:tcW w:w="1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112"/>
              <w:spacing w:after="0" w:line="149" w:lineRule="exact"/>
              <w:rPr>
                <w:sz w:val="20"/>
                <w:szCs w:val="20"/>
                <w:color w:val="auto"/>
              </w:rPr>
            </w:pPr>
            <w:r>
              <w:rPr>
                <w:rFonts w:ascii="Arial" w:cs="Arial" w:eastAsia="Arial" w:hAnsi="Arial"/>
                <w:sz w:val="14"/>
                <w:szCs w:val="14"/>
                <w:color w:val="auto"/>
                <w:w w:val="83"/>
              </w:rPr>
              <w:t>2,962,500</w:t>
            </w:r>
          </w:p>
        </w:tc>
        <w:tc>
          <w:tcPr>
            <w:tcW w:w="9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2,950,621</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2,631,678</w:t>
            </w:r>
          </w:p>
        </w:tc>
      </w:tr>
      <w:tr>
        <w:trPr>
          <w:trHeight w:val="138"/>
        </w:trPr>
        <w:tc>
          <w:tcPr>
            <w:tcW w:w="22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First Data Corporation</w:t>
            </w:r>
          </w:p>
        </w:tc>
        <w:tc>
          <w:tcPr>
            <w:tcW w:w="2240" w:type="dxa"/>
            <w:vAlign w:val="bottom"/>
            <w:shd w:val="clear" w:color="auto" w:fill="CCEEFF"/>
          </w:tcPr>
          <w:p>
            <w:pPr>
              <w:ind w:left="80"/>
              <w:spacing w:after="0" w:line="138" w:lineRule="exact"/>
              <w:rPr>
                <w:sz w:val="20"/>
                <w:szCs w:val="20"/>
                <w:color w:val="auto"/>
              </w:rPr>
            </w:pPr>
            <w:r>
              <w:rPr>
                <w:rFonts w:ascii="Arial" w:cs="Arial" w:eastAsia="Arial" w:hAnsi="Arial"/>
                <w:sz w:val="14"/>
                <w:szCs w:val="14"/>
                <w:color w:val="auto"/>
              </w:rPr>
              <w:t>Financial Intermediaries</w:t>
            </w:r>
          </w:p>
        </w:tc>
        <w:tc>
          <w:tcPr>
            <w:tcW w:w="2280" w:type="dxa"/>
            <w:vAlign w:val="bottom"/>
            <w:shd w:val="clear" w:color="auto" w:fill="CCEEFF"/>
          </w:tcPr>
          <w:p>
            <w:pPr>
              <w:ind w:left="200"/>
              <w:spacing w:after="0" w:line="138" w:lineRule="exact"/>
              <w:rPr>
                <w:sz w:val="20"/>
                <w:szCs w:val="20"/>
                <w:color w:val="auto"/>
              </w:rPr>
            </w:pPr>
            <w:r>
              <w:rPr>
                <w:rFonts w:ascii="Arial" w:cs="Arial" w:eastAsia="Arial" w:hAnsi="Arial"/>
                <w:sz w:val="14"/>
                <w:szCs w:val="14"/>
                <w:color w:val="auto"/>
              </w:rPr>
              <w:t>First Data Corp T/L (2018 New</w:t>
            </w:r>
          </w:p>
        </w:tc>
        <w:tc>
          <w:tcPr>
            <w:tcW w:w="600" w:type="dxa"/>
            <w:vAlign w:val="bottom"/>
            <w:shd w:val="clear" w:color="auto" w:fill="CCEEFF"/>
          </w:tcPr>
          <w:p>
            <w:pPr>
              <w:ind w:left="80"/>
              <w:spacing w:after="0" w:line="138" w:lineRule="exact"/>
              <w:rPr>
                <w:sz w:val="20"/>
                <w:szCs w:val="20"/>
                <w:color w:val="auto"/>
              </w:rPr>
            </w:pPr>
            <w:r>
              <w:rPr>
                <w:rFonts w:ascii="Arial" w:cs="Arial" w:eastAsia="Arial" w:hAnsi="Arial"/>
                <w:sz w:val="14"/>
                <w:szCs w:val="14"/>
                <w:color w:val="auto"/>
              </w:rPr>
              <w:t>Loan</w:t>
            </w:r>
          </w:p>
        </w:tc>
        <w:tc>
          <w:tcPr>
            <w:tcW w:w="6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r>
      <w:tr>
        <w:trPr>
          <w:trHeight w:val="159"/>
        </w:trPr>
        <w:tc>
          <w:tcPr>
            <w:tcW w:w="2220" w:type="dxa"/>
            <w:vAlign w:val="bottom"/>
            <w:shd w:val="clear" w:color="auto" w:fill="CCEEFF"/>
          </w:tcPr>
          <w:p>
            <w:pPr>
              <w:spacing w:after="0"/>
              <w:rPr>
                <w:sz w:val="13"/>
                <w:szCs w:val="13"/>
                <w:color w:val="auto"/>
              </w:rPr>
            </w:pPr>
          </w:p>
        </w:tc>
        <w:tc>
          <w:tcPr>
            <w:tcW w:w="2240" w:type="dxa"/>
            <w:vAlign w:val="bottom"/>
            <w:shd w:val="clear" w:color="auto" w:fill="CCEEFF"/>
          </w:tcPr>
          <w:p>
            <w:pPr>
              <w:spacing w:after="0"/>
              <w:rPr>
                <w:sz w:val="13"/>
                <w:szCs w:val="13"/>
                <w:color w:val="auto"/>
              </w:rPr>
            </w:pPr>
          </w:p>
        </w:tc>
        <w:tc>
          <w:tcPr>
            <w:tcW w:w="228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Dollar)</w:t>
            </w:r>
          </w:p>
        </w:tc>
        <w:tc>
          <w:tcPr>
            <w:tcW w:w="600" w:type="dxa"/>
            <w:vAlign w:val="bottom"/>
            <w:shd w:val="clear" w:color="auto" w:fill="CCEEFF"/>
          </w:tcPr>
          <w:p>
            <w:pPr>
              <w:spacing w:after="0"/>
              <w:rPr>
                <w:sz w:val="13"/>
                <w:szCs w:val="13"/>
                <w:color w:val="auto"/>
              </w:rPr>
            </w:pPr>
          </w:p>
        </w:tc>
        <w:tc>
          <w:tcPr>
            <w:tcW w:w="680" w:type="dxa"/>
            <w:vAlign w:val="bottom"/>
            <w:shd w:val="clear" w:color="auto" w:fill="CCEEFF"/>
          </w:tcPr>
          <w:p>
            <w:pPr>
              <w:jc w:val="right"/>
              <w:ind w:right="32"/>
              <w:spacing w:after="0" w:line="159" w:lineRule="exact"/>
              <w:rPr>
                <w:sz w:val="20"/>
                <w:szCs w:val="20"/>
                <w:color w:val="auto"/>
              </w:rPr>
            </w:pPr>
            <w:r>
              <w:rPr>
                <w:rFonts w:ascii="Arial" w:cs="Arial" w:eastAsia="Arial" w:hAnsi="Arial"/>
                <w:sz w:val="14"/>
                <w:szCs w:val="14"/>
                <w:color w:val="auto"/>
              </w:rPr>
              <w:t>3.70%</w:t>
            </w:r>
          </w:p>
        </w:tc>
        <w:tc>
          <w:tcPr>
            <w:tcW w:w="800" w:type="dxa"/>
            <w:vAlign w:val="bottom"/>
            <w:shd w:val="clear" w:color="auto" w:fill="CCEEFF"/>
          </w:tcPr>
          <w:p>
            <w:pPr>
              <w:jc w:val="right"/>
              <w:ind w:right="12"/>
              <w:spacing w:after="0" w:line="159" w:lineRule="exact"/>
              <w:rPr>
                <w:sz w:val="20"/>
                <w:szCs w:val="20"/>
                <w:color w:val="auto"/>
              </w:rPr>
            </w:pPr>
            <w:r>
              <w:rPr>
                <w:rFonts w:ascii="Arial" w:cs="Arial" w:eastAsia="Arial" w:hAnsi="Arial"/>
                <w:sz w:val="14"/>
                <w:szCs w:val="14"/>
                <w:color w:val="auto"/>
              </w:rPr>
              <w:t>3/23/2018</w:t>
            </w:r>
          </w:p>
        </w:tc>
        <w:tc>
          <w:tcPr>
            <w:tcW w:w="1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112"/>
              <w:spacing w:after="0" w:line="159" w:lineRule="exact"/>
              <w:rPr>
                <w:sz w:val="20"/>
                <w:szCs w:val="20"/>
                <w:color w:val="auto"/>
              </w:rPr>
            </w:pPr>
            <w:r>
              <w:rPr>
                <w:rFonts w:ascii="Arial" w:cs="Arial" w:eastAsia="Arial" w:hAnsi="Arial"/>
                <w:sz w:val="14"/>
                <w:szCs w:val="14"/>
                <w:color w:val="auto"/>
                <w:w w:val="83"/>
              </w:rPr>
              <w:t>2,790,451</w:t>
            </w:r>
          </w:p>
        </w:tc>
        <w:tc>
          <w:tcPr>
            <w:tcW w:w="920" w:type="dxa"/>
            <w:vAlign w:val="bottom"/>
            <w:shd w:val="clear" w:color="auto" w:fill="CCEEFF"/>
          </w:tcPr>
          <w:p>
            <w:pPr>
              <w:jc w:val="right"/>
              <w:ind w:right="112"/>
              <w:spacing w:after="0" w:line="159" w:lineRule="exact"/>
              <w:rPr>
                <w:sz w:val="20"/>
                <w:szCs w:val="20"/>
                <w:color w:val="auto"/>
              </w:rPr>
            </w:pPr>
            <w:r>
              <w:rPr>
                <w:rFonts w:ascii="Arial" w:cs="Arial" w:eastAsia="Arial" w:hAnsi="Arial"/>
                <w:sz w:val="14"/>
                <w:szCs w:val="14"/>
                <w:color w:val="auto"/>
              </w:rPr>
              <w:t>2,743,456</w:t>
            </w:r>
          </w:p>
        </w:tc>
        <w:tc>
          <w:tcPr>
            <w:tcW w:w="8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2,764,639</w:t>
            </w:r>
          </w:p>
        </w:tc>
      </w:tr>
      <w:tr>
        <w:trPr>
          <w:trHeight w:val="149"/>
        </w:trPr>
        <w:tc>
          <w:tcPr>
            <w:tcW w:w="2220" w:type="dxa"/>
            <w:vAlign w:val="bottom"/>
          </w:tcPr>
          <w:p>
            <w:pPr>
              <w:spacing w:after="0" w:line="149" w:lineRule="exact"/>
              <w:rPr>
                <w:sz w:val="20"/>
                <w:szCs w:val="20"/>
                <w:color w:val="auto"/>
              </w:rPr>
            </w:pPr>
            <w:r>
              <w:rPr>
                <w:rFonts w:ascii="Arial" w:cs="Arial" w:eastAsia="Arial" w:hAnsi="Arial"/>
                <w:sz w:val="14"/>
                <w:szCs w:val="14"/>
                <w:color w:val="auto"/>
              </w:rPr>
              <w:t>First Data Corporation</w:t>
            </w:r>
          </w:p>
        </w:tc>
        <w:tc>
          <w:tcPr>
            <w:tcW w:w="2240" w:type="dxa"/>
            <w:vAlign w:val="bottom"/>
          </w:tcPr>
          <w:p>
            <w:pPr>
              <w:ind w:left="80"/>
              <w:spacing w:after="0" w:line="149" w:lineRule="exact"/>
              <w:rPr>
                <w:sz w:val="20"/>
                <w:szCs w:val="20"/>
                <w:color w:val="auto"/>
              </w:rPr>
            </w:pPr>
            <w:r>
              <w:rPr>
                <w:rFonts w:ascii="Arial" w:cs="Arial" w:eastAsia="Arial" w:hAnsi="Arial"/>
                <w:sz w:val="14"/>
                <w:szCs w:val="14"/>
                <w:color w:val="auto"/>
              </w:rPr>
              <w:t>Financial Intermediaries</w:t>
            </w:r>
          </w:p>
        </w:tc>
        <w:tc>
          <w:tcPr>
            <w:tcW w:w="2280" w:type="dxa"/>
            <w:vAlign w:val="bottom"/>
          </w:tcPr>
          <w:p>
            <w:pPr>
              <w:ind w:left="200"/>
              <w:spacing w:after="0" w:line="149" w:lineRule="exact"/>
              <w:rPr>
                <w:sz w:val="20"/>
                <w:szCs w:val="20"/>
                <w:color w:val="auto"/>
              </w:rPr>
            </w:pPr>
            <w:r>
              <w:rPr>
                <w:rFonts w:ascii="Arial" w:cs="Arial" w:eastAsia="Arial" w:hAnsi="Arial"/>
                <w:sz w:val="14"/>
                <w:szCs w:val="14"/>
                <w:color w:val="auto"/>
              </w:rPr>
              <w:t>First Data T/L Ext (2021)</w:t>
            </w:r>
          </w:p>
        </w:tc>
        <w:tc>
          <w:tcPr>
            <w:tcW w:w="600" w:type="dxa"/>
            <w:vAlign w:val="bottom"/>
          </w:tcPr>
          <w:p>
            <w:pPr>
              <w:ind w:left="80"/>
              <w:spacing w:after="0" w:line="149" w:lineRule="exact"/>
              <w:rPr>
                <w:sz w:val="20"/>
                <w:szCs w:val="20"/>
                <w:color w:val="auto"/>
              </w:rPr>
            </w:pPr>
            <w:r>
              <w:rPr>
                <w:rFonts w:ascii="Arial" w:cs="Arial" w:eastAsia="Arial" w:hAnsi="Arial"/>
                <w:sz w:val="14"/>
                <w:szCs w:val="14"/>
                <w:color w:val="auto"/>
              </w:rPr>
              <w:t>Loan</w:t>
            </w:r>
          </w:p>
        </w:tc>
        <w:tc>
          <w:tcPr>
            <w:tcW w:w="680" w:type="dxa"/>
            <w:vAlign w:val="bottom"/>
          </w:tcPr>
          <w:p>
            <w:pPr>
              <w:jc w:val="right"/>
              <w:ind w:right="32"/>
              <w:spacing w:after="0" w:line="149" w:lineRule="exact"/>
              <w:rPr>
                <w:sz w:val="20"/>
                <w:szCs w:val="20"/>
                <w:color w:val="auto"/>
              </w:rPr>
            </w:pPr>
            <w:r>
              <w:rPr>
                <w:rFonts w:ascii="Arial" w:cs="Arial" w:eastAsia="Arial" w:hAnsi="Arial"/>
                <w:sz w:val="14"/>
                <w:szCs w:val="14"/>
                <w:color w:val="auto"/>
              </w:rPr>
              <w:t>4.20%</w:t>
            </w:r>
          </w:p>
        </w:tc>
        <w:tc>
          <w:tcPr>
            <w:tcW w:w="8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3/24/2021</w:t>
            </w:r>
          </w:p>
        </w:tc>
        <w:tc>
          <w:tcPr>
            <w:tcW w:w="1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112"/>
              <w:spacing w:after="0" w:line="149" w:lineRule="exact"/>
              <w:rPr>
                <w:sz w:val="20"/>
                <w:szCs w:val="20"/>
                <w:color w:val="auto"/>
              </w:rPr>
            </w:pPr>
            <w:r>
              <w:rPr>
                <w:rFonts w:ascii="Arial" w:cs="Arial" w:eastAsia="Arial" w:hAnsi="Arial"/>
                <w:sz w:val="14"/>
                <w:szCs w:val="14"/>
                <w:color w:val="auto"/>
                <w:w w:val="83"/>
              </w:rPr>
              <w:t>2,111,028</w:t>
            </w:r>
          </w:p>
        </w:tc>
        <w:tc>
          <w:tcPr>
            <w:tcW w:w="9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2,031,031</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2,104,441</w:t>
            </w:r>
          </w:p>
        </w:tc>
      </w:tr>
      <w:tr>
        <w:trPr>
          <w:trHeight w:val="138"/>
        </w:trPr>
        <w:tc>
          <w:tcPr>
            <w:tcW w:w="22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7"/>
              </w:rPr>
              <w:t>First Eagle Investment Management</w:t>
            </w:r>
          </w:p>
        </w:tc>
        <w:tc>
          <w:tcPr>
            <w:tcW w:w="2240" w:type="dxa"/>
            <w:vAlign w:val="bottom"/>
            <w:shd w:val="clear" w:color="auto" w:fill="CCEEFF"/>
          </w:tcPr>
          <w:p>
            <w:pPr>
              <w:ind w:left="80"/>
              <w:spacing w:after="0" w:line="138" w:lineRule="exact"/>
              <w:rPr>
                <w:sz w:val="20"/>
                <w:szCs w:val="20"/>
                <w:color w:val="auto"/>
              </w:rPr>
            </w:pPr>
            <w:r>
              <w:rPr>
                <w:rFonts w:ascii="Arial" w:cs="Arial" w:eastAsia="Arial" w:hAnsi="Arial"/>
                <w:sz w:val="14"/>
                <w:szCs w:val="14"/>
                <w:color w:val="auto"/>
                <w:w w:val="95"/>
              </w:rPr>
              <w:t>Banking, Finance, Insurance &amp; Real</w:t>
            </w:r>
          </w:p>
        </w:tc>
        <w:tc>
          <w:tcPr>
            <w:tcW w:w="2280" w:type="dxa"/>
            <w:vAlign w:val="bottom"/>
            <w:shd w:val="clear" w:color="auto" w:fill="CCEEFF"/>
          </w:tcPr>
          <w:p>
            <w:pPr>
              <w:ind w:left="200"/>
              <w:spacing w:after="0" w:line="138" w:lineRule="exact"/>
              <w:rPr>
                <w:sz w:val="20"/>
                <w:szCs w:val="20"/>
                <w:color w:val="auto"/>
              </w:rPr>
            </w:pPr>
            <w:r>
              <w:rPr>
                <w:rFonts w:ascii="Arial" w:cs="Arial" w:eastAsia="Arial" w:hAnsi="Arial"/>
                <w:sz w:val="14"/>
                <w:szCs w:val="14"/>
                <w:color w:val="auto"/>
              </w:rPr>
              <w:t>Term Loan</w:t>
            </w:r>
          </w:p>
        </w:tc>
        <w:tc>
          <w:tcPr>
            <w:tcW w:w="600" w:type="dxa"/>
            <w:vAlign w:val="bottom"/>
            <w:shd w:val="clear" w:color="auto" w:fill="CCEEFF"/>
          </w:tcPr>
          <w:p>
            <w:pPr>
              <w:ind w:left="80"/>
              <w:spacing w:after="0" w:line="138" w:lineRule="exact"/>
              <w:rPr>
                <w:sz w:val="20"/>
                <w:szCs w:val="20"/>
                <w:color w:val="auto"/>
              </w:rPr>
            </w:pPr>
            <w:r>
              <w:rPr>
                <w:rFonts w:ascii="Arial" w:cs="Arial" w:eastAsia="Arial" w:hAnsi="Arial"/>
                <w:sz w:val="14"/>
                <w:szCs w:val="14"/>
                <w:color w:val="auto"/>
              </w:rPr>
              <w:t>Loan</w:t>
            </w:r>
          </w:p>
        </w:tc>
        <w:tc>
          <w:tcPr>
            <w:tcW w:w="6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r>
      <w:tr>
        <w:trPr>
          <w:trHeight w:val="159"/>
        </w:trPr>
        <w:tc>
          <w:tcPr>
            <w:tcW w:w="2220" w:type="dxa"/>
            <w:vAlign w:val="bottom"/>
            <w:shd w:val="clear" w:color="auto" w:fill="CCEEFF"/>
          </w:tcPr>
          <w:p>
            <w:pPr>
              <w:spacing w:after="0"/>
              <w:rPr>
                <w:sz w:val="13"/>
                <w:szCs w:val="13"/>
                <w:color w:val="auto"/>
              </w:rPr>
            </w:pPr>
          </w:p>
        </w:tc>
        <w:tc>
          <w:tcPr>
            <w:tcW w:w="2240" w:type="dxa"/>
            <w:vAlign w:val="bottom"/>
            <w:shd w:val="clear" w:color="auto" w:fill="CCEEFF"/>
          </w:tcPr>
          <w:p>
            <w:pPr>
              <w:ind w:left="80"/>
              <w:spacing w:after="0" w:line="159" w:lineRule="exact"/>
              <w:rPr>
                <w:sz w:val="20"/>
                <w:szCs w:val="20"/>
                <w:color w:val="auto"/>
              </w:rPr>
            </w:pPr>
            <w:r>
              <w:rPr>
                <w:rFonts w:ascii="Arial" w:cs="Arial" w:eastAsia="Arial" w:hAnsi="Arial"/>
                <w:sz w:val="14"/>
                <w:szCs w:val="14"/>
                <w:color w:val="auto"/>
              </w:rPr>
              <w:t>Estate</w:t>
            </w:r>
          </w:p>
        </w:tc>
        <w:tc>
          <w:tcPr>
            <w:tcW w:w="22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680" w:type="dxa"/>
            <w:vAlign w:val="bottom"/>
            <w:shd w:val="clear" w:color="auto" w:fill="CCEEFF"/>
          </w:tcPr>
          <w:p>
            <w:pPr>
              <w:jc w:val="right"/>
              <w:ind w:right="32"/>
              <w:spacing w:after="0" w:line="159" w:lineRule="exact"/>
              <w:rPr>
                <w:sz w:val="20"/>
                <w:szCs w:val="20"/>
                <w:color w:val="auto"/>
              </w:rPr>
            </w:pPr>
            <w:r>
              <w:rPr>
                <w:rFonts w:ascii="Arial" w:cs="Arial" w:eastAsia="Arial" w:hAnsi="Arial"/>
                <w:sz w:val="14"/>
                <w:szCs w:val="14"/>
                <w:color w:val="auto"/>
              </w:rPr>
              <w:t>4.75%</w:t>
            </w:r>
          </w:p>
        </w:tc>
        <w:tc>
          <w:tcPr>
            <w:tcW w:w="800" w:type="dxa"/>
            <w:vAlign w:val="bottom"/>
            <w:shd w:val="clear" w:color="auto" w:fill="CCEEFF"/>
          </w:tcPr>
          <w:p>
            <w:pPr>
              <w:jc w:val="right"/>
              <w:ind w:right="12"/>
              <w:spacing w:after="0" w:line="159" w:lineRule="exact"/>
              <w:rPr>
                <w:sz w:val="20"/>
                <w:szCs w:val="20"/>
                <w:color w:val="auto"/>
              </w:rPr>
            </w:pPr>
            <w:r>
              <w:rPr>
                <w:rFonts w:ascii="Arial" w:cs="Arial" w:eastAsia="Arial" w:hAnsi="Arial"/>
                <w:sz w:val="14"/>
                <w:szCs w:val="14"/>
                <w:color w:val="auto"/>
                <w:w w:val="99"/>
              </w:rPr>
              <w:t>10/31/2022</w:t>
            </w:r>
          </w:p>
        </w:tc>
        <w:tc>
          <w:tcPr>
            <w:tcW w:w="1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112"/>
              <w:spacing w:after="0" w:line="159" w:lineRule="exact"/>
              <w:rPr>
                <w:sz w:val="20"/>
                <w:szCs w:val="20"/>
                <w:color w:val="auto"/>
              </w:rPr>
            </w:pPr>
            <w:r>
              <w:rPr>
                <w:rFonts w:ascii="Arial" w:cs="Arial" w:eastAsia="Arial" w:hAnsi="Arial"/>
                <w:sz w:val="14"/>
                <w:szCs w:val="14"/>
                <w:color w:val="auto"/>
                <w:w w:val="83"/>
              </w:rPr>
              <w:t>1,500,000</w:t>
            </w:r>
          </w:p>
        </w:tc>
        <w:tc>
          <w:tcPr>
            <w:tcW w:w="920" w:type="dxa"/>
            <w:vAlign w:val="bottom"/>
            <w:shd w:val="clear" w:color="auto" w:fill="CCEEFF"/>
          </w:tcPr>
          <w:p>
            <w:pPr>
              <w:jc w:val="right"/>
              <w:ind w:right="112"/>
              <w:spacing w:after="0" w:line="159" w:lineRule="exact"/>
              <w:rPr>
                <w:sz w:val="20"/>
                <w:szCs w:val="20"/>
                <w:color w:val="auto"/>
              </w:rPr>
            </w:pPr>
            <w:r>
              <w:rPr>
                <w:rFonts w:ascii="Arial" w:cs="Arial" w:eastAsia="Arial" w:hAnsi="Arial"/>
                <w:sz w:val="14"/>
                <w:szCs w:val="14"/>
                <w:color w:val="auto"/>
              </w:rPr>
              <w:t>1,470,000</w:t>
            </w:r>
          </w:p>
        </w:tc>
        <w:tc>
          <w:tcPr>
            <w:tcW w:w="8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1,470,000</w:t>
            </w:r>
          </w:p>
        </w:tc>
      </w:tr>
      <w:tr>
        <w:trPr>
          <w:trHeight w:val="149"/>
        </w:trPr>
        <w:tc>
          <w:tcPr>
            <w:tcW w:w="2220" w:type="dxa"/>
            <w:vAlign w:val="bottom"/>
          </w:tcPr>
          <w:p>
            <w:pPr>
              <w:spacing w:after="0" w:line="149" w:lineRule="exact"/>
              <w:rPr>
                <w:sz w:val="20"/>
                <w:szCs w:val="20"/>
                <w:color w:val="auto"/>
              </w:rPr>
            </w:pPr>
            <w:r>
              <w:rPr>
                <w:rFonts w:ascii="Arial" w:cs="Arial" w:eastAsia="Arial" w:hAnsi="Arial"/>
                <w:sz w:val="14"/>
                <w:szCs w:val="14"/>
                <w:color w:val="auto"/>
              </w:rPr>
              <w:t>Fitness International, LLC</w:t>
            </w:r>
          </w:p>
        </w:tc>
        <w:tc>
          <w:tcPr>
            <w:tcW w:w="2240" w:type="dxa"/>
            <w:vAlign w:val="bottom"/>
          </w:tcPr>
          <w:p>
            <w:pPr>
              <w:ind w:left="80"/>
              <w:spacing w:after="0" w:line="149" w:lineRule="exact"/>
              <w:rPr>
                <w:sz w:val="20"/>
                <w:szCs w:val="20"/>
                <w:color w:val="auto"/>
              </w:rPr>
            </w:pPr>
            <w:r>
              <w:rPr>
                <w:rFonts w:ascii="Arial" w:cs="Arial" w:eastAsia="Arial" w:hAnsi="Arial"/>
                <w:sz w:val="14"/>
                <w:szCs w:val="14"/>
                <w:color w:val="auto"/>
              </w:rPr>
              <w:t>Leisure Goods/Activities/Movies</w:t>
            </w:r>
          </w:p>
        </w:tc>
        <w:tc>
          <w:tcPr>
            <w:tcW w:w="2280" w:type="dxa"/>
            <w:vAlign w:val="bottom"/>
          </w:tcPr>
          <w:p>
            <w:pPr>
              <w:ind w:left="200"/>
              <w:spacing w:after="0" w:line="149" w:lineRule="exact"/>
              <w:rPr>
                <w:sz w:val="20"/>
                <w:szCs w:val="20"/>
                <w:color w:val="auto"/>
              </w:rPr>
            </w:pPr>
            <w:r>
              <w:rPr>
                <w:rFonts w:ascii="Arial" w:cs="Arial" w:eastAsia="Arial" w:hAnsi="Arial"/>
                <w:sz w:val="14"/>
                <w:szCs w:val="14"/>
                <w:color w:val="auto"/>
              </w:rPr>
              <w:t>Term Loan B</w:t>
            </w:r>
          </w:p>
        </w:tc>
        <w:tc>
          <w:tcPr>
            <w:tcW w:w="600" w:type="dxa"/>
            <w:vAlign w:val="bottom"/>
          </w:tcPr>
          <w:p>
            <w:pPr>
              <w:ind w:left="80"/>
              <w:spacing w:after="0" w:line="149" w:lineRule="exact"/>
              <w:rPr>
                <w:sz w:val="20"/>
                <w:szCs w:val="20"/>
                <w:color w:val="auto"/>
              </w:rPr>
            </w:pPr>
            <w:r>
              <w:rPr>
                <w:rFonts w:ascii="Arial" w:cs="Arial" w:eastAsia="Arial" w:hAnsi="Arial"/>
                <w:sz w:val="14"/>
                <w:szCs w:val="14"/>
                <w:color w:val="auto"/>
              </w:rPr>
              <w:t>Loan</w:t>
            </w:r>
          </w:p>
        </w:tc>
        <w:tc>
          <w:tcPr>
            <w:tcW w:w="680" w:type="dxa"/>
            <w:vAlign w:val="bottom"/>
          </w:tcPr>
          <w:p>
            <w:pPr>
              <w:jc w:val="right"/>
              <w:ind w:right="32"/>
              <w:spacing w:after="0" w:line="149" w:lineRule="exact"/>
              <w:rPr>
                <w:sz w:val="20"/>
                <w:szCs w:val="20"/>
                <w:color w:val="auto"/>
              </w:rPr>
            </w:pPr>
            <w:r>
              <w:rPr>
                <w:rFonts w:ascii="Arial" w:cs="Arial" w:eastAsia="Arial" w:hAnsi="Arial"/>
                <w:sz w:val="14"/>
                <w:szCs w:val="14"/>
                <w:color w:val="auto"/>
              </w:rPr>
              <w:t>5.50%</w:t>
            </w:r>
          </w:p>
        </w:tc>
        <w:tc>
          <w:tcPr>
            <w:tcW w:w="8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7/1/2020</w:t>
            </w:r>
          </w:p>
        </w:tc>
        <w:tc>
          <w:tcPr>
            <w:tcW w:w="1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112"/>
              <w:spacing w:after="0" w:line="149" w:lineRule="exact"/>
              <w:rPr>
                <w:sz w:val="20"/>
                <w:szCs w:val="20"/>
                <w:color w:val="auto"/>
              </w:rPr>
            </w:pPr>
            <w:r>
              <w:rPr>
                <w:rFonts w:ascii="Arial" w:cs="Arial" w:eastAsia="Arial" w:hAnsi="Arial"/>
                <w:sz w:val="14"/>
                <w:szCs w:val="14"/>
                <w:color w:val="auto"/>
                <w:w w:val="83"/>
              </w:rPr>
              <w:t>1,481,250</w:t>
            </w:r>
          </w:p>
        </w:tc>
        <w:tc>
          <w:tcPr>
            <w:tcW w:w="9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1,472,294</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1,403,484</w:t>
            </w:r>
          </w:p>
        </w:tc>
      </w:tr>
      <w:tr>
        <w:trPr>
          <w:trHeight w:val="138"/>
        </w:trPr>
        <w:tc>
          <w:tcPr>
            <w:tcW w:w="22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FMG Resources (August 2006) Pty</w:t>
            </w:r>
          </w:p>
        </w:tc>
        <w:tc>
          <w:tcPr>
            <w:tcW w:w="2240" w:type="dxa"/>
            <w:vAlign w:val="bottom"/>
            <w:shd w:val="clear" w:color="auto" w:fill="CCEEFF"/>
          </w:tcPr>
          <w:p>
            <w:pPr>
              <w:ind w:left="80"/>
              <w:spacing w:after="0" w:line="138" w:lineRule="exact"/>
              <w:rPr>
                <w:sz w:val="20"/>
                <w:szCs w:val="20"/>
                <w:color w:val="auto"/>
              </w:rPr>
            </w:pPr>
            <w:r>
              <w:rPr>
                <w:rFonts w:ascii="Arial" w:cs="Arial" w:eastAsia="Arial" w:hAnsi="Arial"/>
                <w:sz w:val="14"/>
                <w:szCs w:val="14"/>
                <w:color w:val="auto"/>
              </w:rPr>
              <w:t>Nonferrous Metals/Minerals</w:t>
            </w:r>
          </w:p>
        </w:tc>
        <w:tc>
          <w:tcPr>
            <w:tcW w:w="2280" w:type="dxa"/>
            <w:vAlign w:val="bottom"/>
            <w:shd w:val="clear" w:color="auto" w:fill="CCEEFF"/>
          </w:tcPr>
          <w:p>
            <w:pPr>
              <w:ind w:left="200"/>
              <w:spacing w:after="0" w:line="138" w:lineRule="exact"/>
              <w:rPr>
                <w:sz w:val="20"/>
                <w:szCs w:val="20"/>
                <w:color w:val="auto"/>
              </w:rPr>
            </w:pPr>
            <w:r>
              <w:rPr>
                <w:rFonts w:ascii="Arial" w:cs="Arial" w:eastAsia="Arial" w:hAnsi="Arial"/>
                <w:sz w:val="14"/>
                <w:szCs w:val="14"/>
                <w:color w:val="auto"/>
              </w:rPr>
              <w:t>Loan</w:t>
            </w:r>
          </w:p>
        </w:tc>
        <w:tc>
          <w:tcPr>
            <w:tcW w:w="600" w:type="dxa"/>
            <w:vAlign w:val="bottom"/>
            <w:shd w:val="clear" w:color="auto" w:fill="CCEEFF"/>
          </w:tcPr>
          <w:p>
            <w:pPr>
              <w:ind w:left="80"/>
              <w:spacing w:after="0" w:line="138" w:lineRule="exact"/>
              <w:rPr>
                <w:sz w:val="20"/>
                <w:szCs w:val="20"/>
                <w:color w:val="auto"/>
              </w:rPr>
            </w:pPr>
            <w:r>
              <w:rPr>
                <w:rFonts w:ascii="Arial" w:cs="Arial" w:eastAsia="Arial" w:hAnsi="Arial"/>
                <w:sz w:val="14"/>
                <w:szCs w:val="14"/>
                <w:color w:val="auto"/>
              </w:rPr>
              <w:t>Loan</w:t>
            </w:r>
          </w:p>
        </w:tc>
        <w:tc>
          <w:tcPr>
            <w:tcW w:w="6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r>
      <w:tr>
        <w:trPr>
          <w:trHeight w:val="159"/>
        </w:trPr>
        <w:tc>
          <w:tcPr>
            <w:tcW w:w="2220" w:type="dxa"/>
            <w:vAlign w:val="bottom"/>
            <w:shd w:val="clear" w:color="auto" w:fill="CCEEFF"/>
          </w:tcPr>
          <w:p>
            <w:pPr>
              <w:ind w:left="140"/>
              <w:spacing w:after="0" w:line="159" w:lineRule="exact"/>
              <w:rPr>
                <w:sz w:val="20"/>
                <w:szCs w:val="20"/>
                <w:color w:val="auto"/>
              </w:rPr>
            </w:pPr>
            <w:r>
              <w:rPr>
                <w:rFonts w:ascii="Arial" w:cs="Arial" w:eastAsia="Arial" w:hAnsi="Arial"/>
                <w:sz w:val="14"/>
                <w:szCs w:val="14"/>
                <w:color w:val="auto"/>
                <w:w w:val="98"/>
              </w:rPr>
              <w:t>LTD (FMG America Finance, Inc.)</w:t>
            </w:r>
          </w:p>
        </w:tc>
        <w:tc>
          <w:tcPr>
            <w:tcW w:w="2240" w:type="dxa"/>
            <w:vAlign w:val="bottom"/>
            <w:shd w:val="clear" w:color="auto" w:fill="CCEEFF"/>
          </w:tcPr>
          <w:p>
            <w:pPr>
              <w:spacing w:after="0"/>
              <w:rPr>
                <w:sz w:val="13"/>
                <w:szCs w:val="13"/>
                <w:color w:val="auto"/>
              </w:rPr>
            </w:pPr>
          </w:p>
        </w:tc>
        <w:tc>
          <w:tcPr>
            <w:tcW w:w="22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680" w:type="dxa"/>
            <w:vAlign w:val="bottom"/>
            <w:shd w:val="clear" w:color="auto" w:fill="CCEEFF"/>
          </w:tcPr>
          <w:p>
            <w:pPr>
              <w:jc w:val="right"/>
              <w:ind w:right="32"/>
              <w:spacing w:after="0" w:line="159" w:lineRule="exact"/>
              <w:rPr>
                <w:sz w:val="20"/>
                <w:szCs w:val="20"/>
                <w:color w:val="auto"/>
              </w:rPr>
            </w:pPr>
            <w:r>
              <w:rPr>
                <w:rFonts w:ascii="Arial" w:cs="Arial" w:eastAsia="Arial" w:hAnsi="Arial"/>
                <w:sz w:val="14"/>
                <w:szCs w:val="14"/>
                <w:color w:val="auto"/>
              </w:rPr>
              <w:t>4.25%</w:t>
            </w:r>
          </w:p>
        </w:tc>
        <w:tc>
          <w:tcPr>
            <w:tcW w:w="800" w:type="dxa"/>
            <w:vAlign w:val="bottom"/>
            <w:shd w:val="clear" w:color="auto" w:fill="CCEEFF"/>
          </w:tcPr>
          <w:p>
            <w:pPr>
              <w:jc w:val="right"/>
              <w:ind w:right="12"/>
              <w:spacing w:after="0" w:line="159" w:lineRule="exact"/>
              <w:rPr>
                <w:sz w:val="20"/>
                <w:szCs w:val="20"/>
                <w:color w:val="auto"/>
              </w:rPr>
            </w:pPr>
            <w:r>
              <w:rPr>
                <w:rFonts w:ascii="Arial" w:cs="Arial" w:eastAsia="Arial" w:hAnsi="Arial"/>
                <w:sz w:val="14"/>
                <w:szCs w:val="14"/>
                <w:color w:val="auto"/>
              </w:rPr>
              <w:t>6/28/2019</w:t>
            </w:r>
          </w:p>
        </w:tc>
        <w:tc>
          <w:tcPr>
            <w:tcW w:w="1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112"/>
              <w:spacing w:after="0" w:line="159" w:lineRule="exact"/>
              <w:rPr>
                <w:sz w:val="20"/>
                <w:szCs w:val="20"/>
                <w:color w:val="auto"/>
              </w:rPr>
            </w:pPr>
            <w:r>
              <w:rPr>
                <w:rFonts w:ascii="Arial" w:cs="Arial" w:eastAsia="Arial" w:hAnsi="Arial"/>
                <w:sz w:val="14"/>
                <w:szCs w:val="14"/>
                <w:color w:val="auto"/>
                <w:w w:val="83"/>
              </w:rPr>
              <w:t>1,967,406</w:t>
            </w:r>
          </w:p>
        </w:tc>
        <w:tc>
          <w:tcPr>
            <w:tcW w:w="920" w:type="dxa"/>
            <w:vAlign w:val="bottom"/>
            <w:shd w:val="clear" w:color="auto" w:fill="CCEEFF"/>
          </w:tcPr>
          <w:p>
            <w:pPr>
              <w:jc w:val="right"/>
              <w:ind w:right="112"/>
              <w:spacing w:after="0" w:line="159" w:lineRule="exact"/>
              <w:rPr>
                <w:sz w:val="20"/>
                <w:szCs w:val="20"/>
                <w:color w:val="auto"/>
              </w:rPr>
            </w:pPr>
            <w:r>
              <w:rPr>
                <w:rFonts w:ascii="Arial" w:cs="Arial" w:eastAsia="Arial" w:hAnsi="Arial"/>
                <w:sz w:val="14"/>
                <w:szCs w:val="14"/>
                <w:color w:val="auto"/>
              </w:rPr>
              <w:t>1,967,426</w:t>
            </w:r>
          </w:p>
        </w:tc>
        <w:tc>
          <w:tcPr>
            <w:tcW w:w="8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1,600,307</w:t>
            </w:r>
          </w:p>
        </w:tc>
      </w:tr>
      <w:tr>
        <w:trPr>
          <w:trHeight w:val="149"/>
        </w:trPr>
        <w:tc>
          <w:tcPr>
            <w:tcW w:w="2220" w:type="dxa"/>
            <w:vAlign w:val="bottom"/>
          </w:tcPr>
          <w:p>
            <w:pPr>
              <w:spacing w:after="0" w:line="149" w:lineRule="exact"/>
              <w:rPr>
                <w:sz w:val="20"/>
                <w:szCs w:val="20"/>
                <w:color w:val="auto"/>
              </w:rPr>
            </w:pPr>
            <w:r>
              <w:rPr>
                <w:rFonts w:ascii="Arial" w:cs="Arial" w:eastAsia="Arial" w:hAnsi="Arial"/>
                <w:sz w:val="14"/>
                <w:szCs w:val="14"/>
                <w:color w:val="auto"/>
              </w:rPr>
              <w:t>Garda World Security Corporation</w:t>
            </w:r>
          </w:p>
        </w:tc>
        <w:tc>
          <w:tcPr>
            <w:tcW w:w="2240" w:type="dxa"/>
            <w:vAlign w:val="bottom"/>
          </w:tcPr>
          <w:p>
            <w:pPr>
              <w:ind w:left="80"/>
              <w:spacing w:after="0" w:line="149" w:lineRule="exact"/>
              <w:rPr>
                <w:sz w:val="20"/>
                <w:szCs w:val="20"/>
                <w:color w:val="auto"/>
              </w:rPr>
            </w:pPr>
            <w:r>
              <w:rPr>
                <w:rFonts w:ascii="Arial" w:cs="Arial" w:eastAsia="Arial" w:hAnsi="Arial"/>
                <w:sz w:val="14"/>
                <w:szCs w:val="14"/>
                <w:color w:val="auto"/>
              </w:rPr>
              <w:t>Services: Business</w:t>
            </w:r>
          </w:p>
        </w:tc>
        <w:tc>
          <w:tcPr>
            <w:tcW w:w="2280" w:type="dxa"/>
            <w:vAlign w:val="bottom"/>
          </w:tcPr>
          <w:p>
            <w:pPr>
              <w:ind w:left="200"/>
              <w:spacing w:after="0" w:line="149" w:lineRule="exact"/>
              <w:rPr>
                <w:sz w:val="20"/>
                <w:szCs w:val="20"/>
                <w:color w:val="auto"/>
              </w:rPr>
            </w:pPr>
            <w:r>
              <w:rPr>
                <w:rFonts w:ascii="Arial" w:cs="Arial" w:eastAsia="Arial" w:hAnsi="Arial"/>
                <w:sz w:val="14"/>
                <w:szCs w:val="14"/>
                <w:color w:val="auto"/>
              </w:rPr>
              <w:t>Term B Delayed Draw Loan</w:t>
            </w:r>
          </w:p>
        </w:tc>
        <w:tc>
          <w:tcPr>
            <w:tcW w:w="600" w:type="dxa"/>
            <w:vAlign w:val="bottom"/>
          </w:tcPr>
          <w:p>
            <w:pPr>
              <w:ind w:left="80"/>
              <w:spacing w:after="0" w:line="149" w:lineRule="exact"/>
              <w:rPr>
                <w:sz w:val="20"/>
                <w:szCs w:val="20"/>
                <w:color w:val="auto"/>
              </w:rPr>
            </w:pPr>
            <w:r>
              <w:rPr>
                <w:rFonts w:ascii="Arial" w:cs="Arial" w:eastAsia="Arial" w:hAnsi="Arial"/>
                <w:sz w:val="14"/>
                <w:szCs w:val="14"/>
                <w:color w:val="auto"/>
              </w:rPr>
              <w:t>Loan</w:t>
            </w:r>
          </w:p>
        </w:tc>
        <w:tc>
          <w:tcPr>
            <w:tcW w:w="680" w:type="dxa"/>
            <w:vAlign w:val="bottom"/>
          </w:tcPr>
          <w:p>
            <w:pPr>
              <w:jc w:val="right"/>
              <w:ind w:right="32"/>
              <w:spacing w:after="0" w:line="149" w:lineRule="exact"/>
              <w:rPr>
                <w:sz w:val="20"/>
                <w:szCs w:val="20"/>
                <w:color w:val="auto"/>
              </w:rPr>
            </w:pPr>
            <w:r>
              <w:rPr>
                <w:rFonts w:ascii="Arial" w:cs="Arial" w:eastAsia="Arial" w:hAnsi="Arial"/>
                <w:sz w:val="14"/>
                <w:szCs w:val="14"/>
                <w:color w:val="auto"/>
              </w:rPr>
              <w:t>4.00%</w:t>
            </w:r>
          </w:p>
        </w:tc>
        <w:tc>
          <w:tcPr>
            <w:tcW w:w="8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11/6/2020</w:t>
            </w:r>
          </w:p>
        </w:tc>
        <w:tc>
          <w:tcPr>
            <w:tcW w:w="1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199,630</w:t>
            </w:r>
          </w:p>
        </w:tc>
        <w:tc>
          <w:tcPr>
            <w:tcW w:w="9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198,865</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193,391</w:t>
            </w:r>
          </w:p>
        </w:tc>
      </w:tr>
      <w:tr>
        <w:trPr>
          <w:trHeight w:val="149"/>
        </w:trPr>
        <w:tc>
          <w:tcPr>
            <w:tcW w:w="2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Garda World Security Corporation</w:t>
            </w:r>
          </w:p>
        </w:tc>
        <w:tc>
          <w:tcPr>
            <w:tcW w:w="224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Services: Business</w:t>
            </w:r>
          </w:p>
        </w:tc>
        <w:tc>
          <w:tcPr>
            <w:tcW w:w="22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Term B Loan</w:t>
            </w:r>
          </w:p>
        </w:tc>
        <w:tc>
          <w:tcPr>
            <w:tcW w:w="60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Loan</w:t>
            </w:r>
          </w:p>
        </w:tc>
        <w:tc>
          <w:tcPr>
            <w:tcW w:w="68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4.00%</w:t>
            </w:r>
          </w:p>
        </w:tc>
        <w:tc>
          <w:tcPr>
            <w:tcW w:w="8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11/6/2020</w:t>
            </w:r>
          </w:p>
        </w:tc>
        <w:tc>
          <w:tcPr>
            <w:tcW w:w="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780,370</w:t>
            </w:r>
          </w:p>
        </w:tc>
        <w:tc>
          <w:tcPr>
            <w:tcW w:w="9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777,436</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755,984</w:t>
            </w:r>
          </w:p>
        </w:tc>
      </w:tr>
      <w:tr>
        <w:trPr>
          <w:trHeight w:val="149"/>
        </w:trPr>
        <w:tc>
          <w:tcPr>
            <w:tcW w:w="2220" w:type="dxa"/>
            <w:vAlign w:val="bottom"/>
          </w:tcPr>
          <w:p>
            <w:pPr>
              <w:spacing w:after="0" w:line="149" w:lineRule="exact"/>
              <w:rPr>
                <w:sz w:val="20"/>
                <w:szCs w:val="20"/>
                <w:color w:val="auto"/>
              </w:rPr>
            </w:pPr>
            <w:r>
              <w:rPr>
                <w:rFonts w:ascii="Arial" w:cs="Arial" w:eastAsia="Arial" w:hAnsi="Arial"/>
                <w:sz w:val="14"/>
                <w:szCs w:val="14"/>
                <w:color w:val="auto"/>
              </w:rPr>
              <w:t>Gardner Denver, Inc.</w:t>
            </w:r>
          </w:p>
        </w:tc>
        <w:tc>
          <w:tcPr>
            <w:tcW w:w="2240" w:type="dxa"/>
            <w:vAlign w:val="bottom"/>
          </w:tcPr>
          <w:p>
            <w:pPr>
              <w:ind w:left="80"/>
              <w:spacing w:after="0" w:line="149" w:lineRule="exact"/>
              <w:rPr>
                <w:sz w:val="20"/>
                <w:szCs w:val="20"/>
                <w:color w:val="auto"/>
              </w:rPr>
            </w:pPr>
            <w:r>
              <w:rPr>
                <w:rFonts w:ascii="Arial" w:cs="Arial" w:eastAsia="Arial" w:hAnsi="Arial"/>
                <w:sz w:val="14"/>
                <w:szCs w:val="14"/>
                <w:color w:val="auto"/>
              </w:rPr>
              <w:t>High Tech Industries</w:t>
            </w:r>
          </w:p>
        </w:tc>
        <w:tc>
          <w:tcPr>
            <w:tcW w:w="2280" w:type="dxa"/>
            <w:vAlign w:val="bottom"/>
          </w:tcPr>
          <w:p>
            <w:pPr>
              <w:ind w:left="200"/>
              <w:spacing w:after="0" w:line="149" w:lineRule="exact"/>
              <w:rPr>
                <w:sz w:val="20"/>
                <w:szCs w:val="20"/>
                <w:color w:val="auto"/>
              </w:rPr>
            </w:pPr>
            <w:r>
              <w:rPr>
                <w:rFonts w:ascii="Arial" w:cs="Arial" w:eastAsia="Arial" w:hAnsi="Arial"/>
                <w:sz w:val="14"/>
                <w:szCs w:val="14"/>
                <w:color w:val="auto"/>
              </w:rPr>
              <w:t>Initial Dollar Term Loan</w:t>
            </w:r>
          </w:p>
        </w:tc>
        <w:tc>
          <w:tcPr>
            <w:tcW w:w="600" w:type="dxa"/>
            <w:vAlign w:val="bottom"/>
          </w:tcPr>
          <w:p>
            <w:pPr>
              <w:ind w:left="80"/>
              <w:spacing w:after="0" w:line="149" w:lineRule="exact"/>
              <w:rPr>
                <w:sz w:val="20"/>
                <w:szCs w:val="20"/>
                <w:color w:val="auto"/>
              </w:rPr>
            </w:pPr>
            <w:r>
              <w:rPr>
                <w:rFonts w:ascii="Arial" w:cs="Arial" w:eastAsia="Arial" w:hAnsi="Arial"/>
                <w:sz w:val="14"/>
                <w:szCs w:val="14"/>
                <w:color w:val="auto"/>
              </w:rPr>
              <w:t>Loan</w:t>
            </w:r>
          </w:p>
        </w:tc>
        <w:tc>
          <w:tcPr>
            <w:tcW w:w="680" w:type="dxa"/>
            <w:vAlign w:val="bottom"/>
          </w:tcPr>
          <w:p>
            <w:pPr>
              <w:jc w:val="right"/>
              <w:ind w:right="32"/>
              <w:spacing w:after="0" w:line="149" w:lineRule="exact"/>
              <w:rPr>
                <w:sz w:val="20"/>
                <w:szCs w:val="20"/>
                <w:color w:val="auto"/>
              </w:rPr>
            </w:pPr>
            <w:r>
              <w:rPr>
                <w:rFonts w:ascii="Arial" w:cs="Arial" w:eastAsia="Arial" w:hAnsi="Arial"/>
                <w:sz w:val="14"/>
                <w:szCs w:val="14"/>
                <w:color w:val="auto"/>
              </w:rPr>
              <w:t>4.25%</w:t>
            </w:r>
          </w:p>
        </w:tc>
        <w:tc>
          <w:tcPr>
            <w:tcW w:w="8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7/30/2020</w:t>
            </w:r>
          </w:p>
        </w:tc>
        <w:tc>
          <w:tcPr>
            <w:tcW w:w="1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112"/>
              <w:spacing w:after="0" w:line="149" w:lineRule="exact"/>
              <w:rPr>
                <w:sz w:val="20"/>
                <w:szCs w:val="20"/>
                <w:color w:val="auto"/>
              </w:rPr>
            </w:pPr>
            <w:r>
              <w:rPr>
                <w:rFonts w:ascii="Arial" w:cs="Arial" w:eastAsia="Arial" w:hAnsi="Arial"/>
                <w:sz w:val="14"/>
                <w:szCs w:val="14"/>
                <w:color w:val="auto"/>
                <w:w w:val="83"/>
              </w:rPr>
              <w:t>2,457,406</w:t>
            </w:r>
          </w:p>
        </w:tc>
        <w:tc>
          <w:tcPr>
            <w:tcW w:w="9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2,449,912</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2,252,532</w:t>
            </w:r>
          </w:p>
        </w:tc>
      </w:tr>
      <w:tr>
        <w:trPr>
          <w:trHeight w:val="149"/>
        </w:trPr>
        <w:tc>
          <w:tcPr>
            <w:tcW w:w="2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Gates Global LLC</w:t>
            </w:r>
          </w:p>
        </w:tc>
        <w:tc>
          <w:tcPr>
            <w:tcW w:w="224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Leisure Goods/Activities/Movies</w:t>
            </w:r>
          </w:p>
        </w:tc>
        <w:tc>
          <w:tcPr>
            <w:tcW w:w="22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Term Loan (First Lien)</w:t>
            </w:r>
          </w:p>
        </w:tc>
        <w:tc>
          <w:tcPr>
            <w:tcW w:w="60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Loan</w:t>
            </w:r>
          </w:p>
        </w:tc>
        <w:tc>
          <w:tcPr>
            <w:tcW w:w="68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4.25%</w:t>
            </w:r>
          </w:p>
        </w:tc>
        <w:tc>
          <w:tcPr>
            <w:tcW w:w="8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7/3/2021</w:t>
            </w:r>
          </w:p>
        </w:tc>
        <w:tc>
          <w:tcPr>
            <w:tcW w:w="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495,000</w:t>
            </w:r>
          </w:p>
        </w:tc>
        <w:tc>
          <w:tcPr>
            <w:tcW w:w="9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490,050</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462,295</w:t>
            </w:r>
          </w:p>
        </w:tc>
      </w:tr>
      <w:tr>
        <w:trPr>
          <w:trHeight w:val="149"/>
        </w:trPr>
        <w:tc>
          <w:tcPr>
            <w:tcW w:w="2220" w:type="dxa"/>
            <w:vAlign w:val="bottom"/>
          </w:tcPr>
          <w:p>
            <w:pPr>
              <w:spacing w:after="0" w:line="149" w:lineRule="exact"/>
              <w:rPr>
                <w:sz w:val="20"/>
                <w:szCs w:val="20"/>
                <w:color w:val="auto"/>
              </w:rPr>
            </w:pPr>
            <w:r>
              <w:rPr>
                <w:rFonts w:ascii="Arial" w:cs="Arial" w:eastAsia="Arial" w:hAnsi="Arial"/>
                <w:sz w:val="14"/>
                <w:szCs w:val="14"/>
                <w:color w:val="auto"/>
              </w:rPr>
              <w:t>Generac Power Systems, Inc.</w:t>
            </w:r>
          </w:p>
        </w:tc>
        <w:tc>
          <w:tcPr>
            <w:tcW w:w="2240" w:type="dxa"/>
            <w:vAlign w:val="bottom"/>
          </w:tcPr>
          <w:p>
            <w:pPr>
              <w:ind w:left="80"/>
              <w:spacing w:after="0" w:line="149" w:lineRule="exact"/>
              <w:rPr>
                <w:sz w:val="20"/>
                <w:szCs w:val="20"/>
                <w:color w:val="auto"/>
              </w:rPr>
            </w:pPr>
            <w:r>
              <w:rPr>
                <w:rFonts w:ascii="Arial" w:cs="Arial" w:eastAsia="Arial" w:hAnsi="Arial"/>
                <w:sz w:val="14"/>
                <w:szCs w:val="14"/>
                <w:color w:val="auto"/>
              </w:rPr>
              <w:t>Industrial Equipment</w:t>
            </w:r>
          </w:p>
        </w:tc>
        <w:tc>
          <w:tcPr>
            <w:tcW w:w="2280" w:type="dxa"/>
            <w:vAlign w:val="bottom"/>
          </w:tcPr>
          <w:p>
            <w:pPr>
              <w:ind w:left="200"/>
              <w:spacing w:after="0" w:line="149" w:lineRule="exact"/>
              <w:rPr>
                <w:sz w:val="20"/>
                <w:szCs w:val="20"/>
                <w:color w:val="auto"/>
              </w:rPr>
            </w:pPr>
            <w:r>
              <w:rPr>
                <w:rFonts w:ascii="Arial" w:cs="Arial" w:eastAsia="Arial" w:hAnsi="Arial"/>
                <w:sz w:val="14"/>
                <w:szCs w:val="14"/>
                <w:color w:val="auto"/>
              </w:rPr>
              <w:t>Term Loan B</w:t>
            </w:r>
          </w:p>
        </w:tc>
        <w:tc>
          <w:tcPr>
            <w:tcW w:w="600" w:type="dxa"/>
            <w:vAlign w:val="bottom"/>
          </w:tcPr>
          <w:p>
            <w:pPr>
              <w:ind w:left="80"/>
              <w:spacing w:after="0" w:line="149" w:lineRule="exact"/>
              <w:rPr>
                <w:sz w:val="20"/>
                <w:szCs w:val="20"/>
                <w:color w:val="auto"/>
              </w:rPr>
            </w:pPr>
            <w:r>
              <w:rPr>
                <w:rFonts w:ascii="Arial" w:cs="Arial" w:eastAsia="Arial" w:hAnsi="Arial"/>
                <w:sz w:val="14"/>
                <w:szCs w:val="14"/>
                <w:color w:val="auto"/>
              </w:rPr>
              <w:t>Loan</w:t>
            </w:r>
          </w:p>
        </w:tc>
        <w:tc>
          <w:tcPr>
            <w:tcW w:w="680" w:type="dxa"/>
            <w:vAlign w:val="bottom"/>
          </w:tcPr>
          <w:p>
            <w:pPr>
              <w:jc w:val="right"/>
              <w:ind w:right="32"/>
              <w:spacing w:after="0" w:line="149" w:lineRule="exact"/>
              <w:rPr>
                <w:sz w:val="20"/>
                <w:szCs w:val="20"/>
                <w:color w:val="auto"/>
              </w:rPr>
            </w:pPr>
            <w:r>
              <w:rPr>
                <w:rFonts w:ascii="Arial" w:cs="Arial" w:eastAsia="Arial" w:hAnsi="Arial"/>
                <w:sz w:val="14"/>
                <w:szCs w:val="14"/>
                <w:color w:val="auto"/>
              </w:rPr>
              <w:t>3.50%</w:t>
            </w:r>
          </w:p>
        </w:tc>
        <w:tc>
          <w:tcPr>
            <w:tcW w:w="8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5/29/2020</w:t>
            </w:r>
          </w:p>
        </w:tc>
        <w:tc>
          <w:tcPr>
            <w:tcW w:w="1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693,858</w:t>
            </w:r>
          </w:p>
        </w:tc>
        <w:tc>
          <w:tcPr>
            <w:tcW w:w="9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684,047</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677,671</w:t>
            </w:r>
          </w:p>
        </w:tc>
      </w:tr>
      <w:tr>
        <w:trPr>
          <w:trHeight w:val="149"/>
        </w:trPr>
        <w:tc>
          <w:tcPr>
            <w:tcW w:w="2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General Nutrition Centers, Inc.</w:t>
            </w:r>
          </w:p>
        </w:tc>
        <w:tc>
          <w:tcPr>
            <w:tcW w:w="224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w w:val="99"/>
              </w:rPr>
              <w:t>Retailers (Except Food and Drugs)</w:t>
            </w:r>
          </w:p>
        </w:tc>
        <w:tc>
          <w:tcPr>
            <w:tcW w:w="22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Amended Tranche B Term Loan</w:t>
            </w:r>
          </w:p>
        </w:tc>
        <w:tc>
          <w:tcPr>
            <w:tcW w:w="60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Loan</w:t>
            </w:r>
          </w:p>
        </w:tc>
        <w:tc>
          <w:tcPr>
            <w:tcW w:w="68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3.25%</w:t>
            </w:r>
          </w:p>
        </w:tc>
        <w:tc>
          <w:tcPr>
            <w:tcW w:w="8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3/4/2019</w:t>
            </w:r>
          </w:p>
        </w:tc>
        <w:tc>
          <w:tcPr>
            <w:tcW w:w="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w w:val="83"/>
              </w:rPr>
              <w:t>4,135,265</w:t>
            </w:r>
          </w:p>
        </w:tc>
        <w:tc>
          <w:tcPr>
            <w:tcW w:w="9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4,124,509</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4,011,207</w:t>
            </w:r>
          </w:p>
        </w:tc>
      </w:tr>
      <w:tr>
        <w:trPr>
          <w:trHeight w:val="149"/>
        </w:trPr>
        <w:tc>
          <w:tcPr>
            <w:tcW w:w="2220" w:type="dxa"/>
            <w:vAlign w:val="bottom"/>
          </w:tcPr>
          <w:p>
            <w:pPr>
              <w:spacing w:after="0" w:line="149" w:lineRule="exact"/>
              <w:rPr>
                <w:sz w:val="20"/>
                <w:szCs w:val="20"/>
                <w:color w:val="auto"/>
              </w:rPr>
            </w:pPr>
            <w:r>
              <w:rPr>
                <w:rFonts w:ascii="Arial" w:cs="Arial" w:eastAsia="Arial" w:hAnsi="Arial"/>
                <w:sz w:val="14"/>
                <w:szCs w:val="14"/>
                <w:color w:val="auto"/>
              </w:rPr>
              <w:t>Global Tel*Link Corporation</w:t>
            </w:r>
          </w:p>
        </w:tc>
        <w:tc>
          <w:tcPr>
            <w:tcW w:w="2240" w:type="dxa"/>
            <w:vAlign w:val="bottom"/>
          </w:tcPr>
          <w:p>
            <w:pPr>
              <w:ind w:left="80"/>
              <w:spacing w:after="0" w:line="149" w:lineRule="exact"/>
              <w:rPr>
                <w:sz w:val="20"/>
                <w:szCs w:val="20"/>
                <w:color w:val="auto"/>
              </w:rPr>
            </w:pPr>
            <w:r>
              <w:rPr>
                <w:rFonts w:ascii="Arial" w:cs="Arial" w:eastAsia="Arial" w:hAnsi="Arial"/>
                <w:sz w:val="14"/>
                <w:szCs w:val="14"/>
                <w:color w:val="auto"/>
              </w:rPr>
              <w:t>Services: Business</w:t>
            </w:r>
          </w:p>
        </w:tc>
        <w:tc>
          <w:tcPr>
            <w:tcW w:w="2280" w:type="dxa"/>
            <w:vAlign w:val="bottom"/>
          </w:tcPr>
          <w:p>
            <w:pPr>
              <w:ind w:left="200"/>
              <w:spacing w:after="0" w:line="149" w:lineRule="exact"/>
              <w:rPr>
                <w:sz w:val="20"/>
                <w:szCs w:val="20"/>
                <w:color w:val="auto"/>
              </w:rPr>
            </w:pPr>
            <w:r>
              <w:rPr>
                <w:rFonts w:ascii="Arial" w:cs="Arial" w:eastAsia="Arial" w:hAnsi="Arial"/>
                <w:sz w:val="14"/>
                <w:szCs w:val="14"/>
                <w:color w:val="auto"/>
              </w:rPr>
              <w:t>Term Loan (First Lien)</w:t>
            </w:r>
          </w:p>
        </w:tc>
        <w:tc>
          <w:tcPr>
            <w:tcW w:w="600" w:type="dxa"/>
            <w:vAlign w:val="bottom"/>
          </w:tcPr>
          <w:p>
            <w:pPr>
              <w:ind w:left="80"/>
              <w:spacing w:after="0" w:line="149" w:lineRule="exact"/>
              <w:rPr>
                <w:sz w:val="20"/>
                <w:szCs w:val="20"/>
                <w:color w:val="auto"/>
              </w:rPr>
            </w:pPr>
            <w:r>
              <w:rPr>
                <w:rFonts w:ascii="Arial" w:cs="Arial" w:eastAsia="Arial" w:hAnsi="Arial"/>
                <w:sz w:val="14"/>
                <w:szCs w:val="14"/>
                <w:color w:val="auto"/>
              </w:rPr>
              <w:t>Loan</w:t>
            </w:r>
          </w:p>
        </w:tc>
        <w:tc>
          <w:tcPr>
            <w:tcW w:w="680" w:type="dxa"/>
            <w:vAlign w:val="bottom"/>
          </w:tcPr>
          <w:p>
            <w:pPr>
              <w:jc w:val="right"/>
              <w:ind w:right="32"/>
              <w:spacing w:after="0" w:line="149" w:lineRule="exact"/>
              <w:rPr>
                <w:sz w:val="20"/>
                <w:szCs w:val="20"/>
                <w:color w:val="auto"/>
              </w:rPr>
            </w:pPr>
            <w:r>
              <w:rPr>
                <w:rFonts w:ascii="Arial" w:cs="Arial" w:eastAsia="Arial" w:hAnsi="Arial"/>
                <w:sz w:val="14"/>
                <w:szCs w:val="14"/>
                <w:color w:val="auto"/>
              </w:rPr>
              <w:t>5.00%</w:t>
            </w:r>
          </w:p>
        </w:tc>
        <w:tc>
          <w:tcPr>
            <w:tcW w:w="8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5/26/2020</w:t>
            </w:r>
          </w:p>
        </w:tc>
        <w:tc>
          <w:tcPr>
            <w:tcW w:w="1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112"/>
              <w:spacing w:after="0" w:line="149" w:lineRule="exact"/>
              <w:rPr>
                <w:sz w:val="20"/>
                <w:szCs w:val="20"/>
                <w:color w:val="auto"/>
              </w:rPr>
            </w:pPr>
            <w:r>
              <w:rPr>
                <w:rFonts w:ascii="Arial" w:cs="Arial" w:eastAsia="Arial" w:hAnsi="Arial"/>
                <w:sz w:val="14"/>
                <w:szCs w:val="14"/>
                <w:color w:val="auto"/>
                <w:w w:val="83"/>
              </w:rPr>
              <w:t>2,732,867</w:t>
            </w:r>
          </w:p>
        </w:tc>
        <w:tc>
          <w:tcPr>
            <w:tcW w:w="9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2,725,029</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2,138,469</w:t>
            </w:r>
          </w:p>
        </w:tc>
      </w:tr>
      <w:tr>
        <w:trPr>
          <w:trHeight w:val="138"/>
        </w:trPr>
        <w:tc>
          <w:tcPr>
            <w:tcW w:w="22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9"/>
              </w:rPr>
              <w:t>Goodyear Tire &amp; Rubber Company,</w:t>
            </w:r>
          </w:p>
        </w:tc>
        <w:tc>
          <w:tcPr>
            <w:tcW w:w="2240" w:type="dxa"/>
            <w:vAlign w:val="bottom"/>
            <w:shd w:val="clear" w:color="auto" w:fill="CCEEFF"/>
          </w:tcPr>
          <w:p>
            <w:pPr>
              <w:ind w:left="80"/>
              <w:spacing w:after="0" w:line="138" w:lineRule="exact"/>
              <w:rPr>
                <w:sz w:val="20"/>
                <w:szCs w:val="20"/>
                <w:color w:val="auto"/>
              </w:rPr>
            </w:pPr>
            <w:r>
              <w:rPr>
                <w:rFonts w:ascii="Arial" w:cs="Arial" w:eastAsia="Arial" w:hAnsi="Arial"/>
                <w:sz w:val="14"/>
                <w:szCs w:val="14"/>
                <w:color w:val="auto"/>
              </w:rPr>
              <w:t>Chemicals/Plastics</w:t>
            </w:r>
          </w:p>
        </w:tc>
        <w:tc>
          <w:tcPr>
            <w:tcW w:w="2280" w:type="dxa"/>
            <w:vAlign w:val="bottom"/>
            <w:shd w:val="clear" w:color="auto" w:fill="CCEEFF"/>
          </w:tcPr>
          <w:p>
            <w:pPr>
              <w:ind w:left="200"/>
              <w:spacing w:after="0" w:line="138" w:lineRule="exact"/>
              <w:rPr>
                <w:sz w:val="20"/>
                <w:szCs w:val="20"/>
                <w:color w:val="auto"/>
              </w:rPr>
            </w:pPr>
            <w:r>
              <w:rPr>
                <w:rFonts w:ascii="Arial" w:cs="Arial" w:eastAsia="Arial" w:hAnsi="Arial"/>
                <w:sz w:val="14"/>
                <w:szCs w:val="14"/>
                <w:color w:val="auto"/>
              </w:rPr>
              <w:t>Loan (Second Lien)</w:t>
            </w:r>
          </w:p>
        </w:tc>
        <w:tc>
          <w:tcPr>
            <w:tcW w:w="600" w:type="dxa"/>
            <w:vAlign w:val="bottom"/>
            <w:shd w:val="clear" w:color="auto" w:fill="CCEEFF"/>
          </w:tcPr>
          <w:p>
            <w:pPr>
              <w:ind w:left="80"/>
              <w:spacing w:after="0" w:line="138" w:lineRule="exact"/>
              <w:rPr>
                <w:sz w:val="20"/>
                <w:szCs w:val="20"/>
                <w:color w:val="auto"/>
              </w:rPr>
            </w:pPr>
            <w:r>
              <w:rPr>
                <w:rFonts w:ascii="Arial" w:cs="Arial" w:eastAsia="Arial" w:hAnsi="Arial"/>
                <w:sz w:val="14"/>
                <w:szCs w:val="14"/>
                <w:color w:val="auto"/>
              </w:rPr>
              <w:t>Loan</w:t>
            </w:r>
          </w:p>
        </w:tc>
        <w:tc>
          <w:tcPr>
            <w:tcW w:w="6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r>
      <w:tr>
        <w:trPr>
          <w:trHeight w:val="159"/>
        </w:trPr>
        <w:tc>
          <w:tcPr>
            <w:tcW w:w="2220" w:type="dxa"/>
            <w:vAlign w:val="bottom"/>
            <w:shd w:val="clear" w:color="auto" w:fill="CCEEFF"/>
          </w:tcPr>
          <w:p>
            <w:pPr>
              <w:ind w:left="140"/>
              <w:spacing w:after="0" w:line="159" w:lineRule="exact"/>
              <w:rPr>
                <w:sz w:val="20"/>
                <w:szCs w:val="20"/>
                <w:color w:val="auto"/>
              </w:rPr>
            </w:pPr>
            <w:r>
              <w:rPr>
                <w:rFonts w:ascii="Arial" w:cs="Arial" w:eastAsia="Arial" w:hAnsi="Arial"/>
                <w:sz w:val="14"/>
                <w:szCs w:val="14"/>
                <w:color w:val="auto"/>
              </w:rPr>
              <w:t>The</w:t>
            </w:r>
          </w:p>
        </w:tc>
        <w:tc>
          <w:tcPr>
            <w:tcW w:w="2240" w:type="dxa"/>
            <w:vAlign w:val="bottom"/>
            <w:shd w:val="clear" w:color="auto" w:fill="CCEEFF"/>
          </w:tcPr>
          <w:p>
            <w:pPr>
              <w:spacing w:after="0"/>
              <w:rPr>
                <w:sz w:val="13"/>
                <w:szCs w:val="13"/>
                <w:color w:val="auto"/>
              </w:rPr>
            </w:pPr>
          </w:p>
        </w:tc>
        <w:tc>
          <w:tcPr>
            <w:tcW w:w="22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680" w:type="dxa"/>
            <w:vAlign w:val="bottom"/>
            <w:shd w:val="clear" w:color="auto" w:fill="CCEEFF"/>
          </w:tcPr>
          <w:p>
            <w:pPr>
              <w:jc w:val="right"/>
              <w:ind w:right="32"/>
              <w:spacing w:after="0" w:line="159" w:lineRule="exact"/>
              <w:rPr>
                <w:sz w:val="20"/>
                <w:szCs w:val="20"/>
                <w:color w:val="auto"/>
              </w:rPr>
            </w:pPr>
            <w:r>
              <w:rPr>
                <w:rFonts w:ascii="Arial" w:cs="Arial" w:eastAsia="Arial" w:hAnsi="Arial"/>
                <w:sz w:val="14"/>
                <w:szCs w:val="14"/>
                <w:color w:val="auto"/>
              </w:rPr>
              <w:t>3.75%</w:t>
            </w:r>
          </w:p>
        </w:tc>
        <w:tc>
          <w:tcPr>
            <w:tcW w:w="800" w:type="dxa"/>
            <w:vAlign w:val="bottom"/>
            <w:shd w:val="clear" w:color="auto" w:fill="CCEEFF"/>
          </w:tcPr>
          <w:p>
            <w:pPr>
              <w:jc w:val="right"/>
              <w:ind w:right="12"/>
              <w:spacing w:after="0" w:line="159" w:lineRule="exact"/>
              <w:rPr>
                <w:sz w:val="20"/>
                <w:szCs w:val="20"/>
                <w:color w:val="auto"/>
              </w:rPr>
            </w:pPr>
            <w:r>
              <w:rPr>
                <w:rFonts w:ascii="Arial" w:cs="Arial" w:eastAsia="Arial" w:hAnsi="Arial"/>
                <w:sz w:val="14"/>
                <w:szCs w:val="14"/>
                <w:color w:val="auto"/>
              </w:rPr>
              <w:t>4/30/2019</w:t>
            </w:r>
          </w:p>
        </w:tc>
        <w:tc>
          <w:tcPr>
            <w:tcW w:w="1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112"/>
              <w:spacing w:after="0" w:line="159" w:lineRule="exact"/>
              <w:rPr>
                <w:sz w:val="20"/>
                <w:szCs w:val="20"/>
                <w:color w:val="auto"/>
              </w:rPr>
            </w:pPr>
            <w:r>
              <w:rPr>
                <w:rFonts w:ascii="Arial" w:cs="Arial" w:eastAsia="Arial" w:hAnsi="Arial"/>
                <w:sz w:val="14"/>
                <w:szCs w:val="14"/>
                <w:color w:val="auto"/>
                <w:w w:val="83"/>
              </w:rPr>
              <w:t>3,333,333</w:t>
            </w:r>
          </w:p>
        </w:tc>
        <w:tc>
          <w:tcPr>
            <w:tcW w:w="920" w:type="dxa"/>
            <w:vAlign w:val="bottom"/>
            <w:shd w:val="clear" w:color="auto" w:fill="CCEEFF"/>
          </w:tcPr>
          <w:p>
            <w:pPr>
              <w:jc w:val="right"/>
              <w:ind w:right="112"/>
              <w:spacing w:after="0" w:line="159" w:lineRule="exact"/>
              <w:rPr>
                <w:sz w:val="20"/>
                <w:szCs w:val="20"/>
                <w:color w:val="auto"/>
              </w:rPr>
            </w:pPr>
            <w:r>
              <w:rPr>
                <w:rFonts w:ascii="Arial" w:cs="Arial" w:eastAsia="Arial" w:hAnsi="Arial"/>
                <w:sz w:val="14"/>
                <w:szCs w:val="14"/>
                <w:color w:val="auto"/>
              </w:rPr>
              <w:t>3,302,675</w:t>
            </w:r>
          </w:p>
        </w:tc>
        <w:tc>
          <w:tcPr>
            <w:tcW w:w="8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3,330,567</w:t>
            </w:r>
          </w:p>
        </w:tc>
      </w:tr>
      <w:tr>
        <w:trPr>
          <w:trHeight w:val="138"/>
        </w:trPr>
        <w:tc>
          <w:tcPr>
            <w:tcW w:w="2220" w:type="dxa"/>
            <w:vAlign w:val="bottom"/>
          </w:tcPr>
          <w:p>
            <w:pPr>
              <w:spacing w:after="0" w:line="138" w:lineRule="exact"/>
              <w:rPr>
                <w:sz w:val="20"/>
                <w:szCs w:val="20"/>
                <w:color w:val="auto"/>
              </w:rPr>
            </w:pPr>
            <w:r>
              <w:rPr>
                <w:rFonts w:ascii="Arial" w:cs="Arial" w:eastAsia="Arial" w:hAnsi="Arial"/>
                <w:sz w:val="14"/>
                <w:szCs w:val="14"/>
                <w:color w:val="auto"/>
              </w:rPr>
              <w:t>Grosvenor Capital Management</w:t>
            </w:r>
          </w:p>
        </w:tc>
        <w:tc>
          <w:tcPr>
            <w:tcW w:w="2240" w:type="dxa"/>
            <w:vAlign w:val="bottom"/>
          </w:tcPr>
          <w:p>
            <w:pPr>
              <w:ind w:left="80"/>
              <w:spacing w:after="0" w:line="138" w:lineRule="exact"/>
              <w:rPr>
                <w:sz w:val="20"/>
                <w:szCs w:val="20"/>
                <w:color w:val="auto"/>
              </w:rPr>
            </w:pPr>
            <w:r>
              <w:rPr>
                <w:rFonts w:ascii="Arial" w:cs="Arial" w:eastAsia="Arial" w:hAnsi="Arial"/>
                <w:sz w:val="14"/>
                <w:szCs w:val="14"/>
                <w:color w:val="auto"/>
                <w:w w:val="95"/>
              </w:rPr>
              <w:t>Brokers/Dealers/Investment Houses</w:t>
            </w:r>
          </w:p>
        </w:tc>
        <w:tc>
          <w:tcPr>
            <w:tcW w:w="2280" w:type="dxa"/>
            <w:vAlign w:val="bottom"/>
          </w:tcPr>
          <w:p>
            <w:pPr>
              <w:ind w:left="200"/>
              <w:spacing w:after="0" w:line="138" w:lineRule="exact"/>
              <w:rPr>
                <w:sz w:val="20"/>
                <w:szCs w:val="20"/>
                <w:color w:val="auto"/>
              </w:rPr>
            </w:pPr>
            <w:r>
              <w:rPr>
                <w:rFonts w:ascii="Arial" w:cs="Arial" w:eastAsia="Arial" w:hAnsi="Arial"/>
                <w:sz w:val="14"/>
                <w:szCs w:val="14"/>
                <w:color w:val="auto"/>
              </w:rPr>
              <w:t>Initial Term Loan</w:t>
            </w:r>
          </w:p>
        </w:tc>
        <w:tc>
          <w:tcPr>
            <w:tcW w:w="600" w:type="dxa"/>
            <w:vAlign w:val="bottom"/>
          </w:tcPr>
          <w:p>
            <w:pPr>
              <w:ind w:left="80"/>
              <w:spacing w:after="0" w:line="138" w:lineRule="exact"/>
              <w:rPr>
                <w:sz w:val="20"/>
                <w:szCs w:val="20"/>
                <w:color w:val="auto"/>
              </w:rPr>
            </w:pPr>
            <w:r>
              <w:rPr>
                <w:rFonts w:ascii="Arial" w:cs="Arial" w:eastAsia="Arial" w:hAnsi="Arial"/>
                <w:sz w:val="14"/>
                <w:szCs w:val="14"/>
                <w:color w:val="auto"/>
              </w:rPr>
              <w:t>Loan</w:t>
            </w: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59"/>
        </w:trPr>
        <w:tc>
          <w:tcPr>
            <w:tcW w:w="2220" w:type="dxa"/>
            <w:vAlign w:val="bottom"/>
          </w:tcPr>
          <w:p>
            <w:pPr>
              <w:ind w:left="140"/>
              <w:spacing w:after="0" w:line="159" w:lineRule="exact"/>
              <w:rPr>
                <w:sz w:val="20"/>
                <w:szCs w:val="20"/>
                <w:color w:val="auto"/>
              </w:rPr>
            </w:pPr>
            <w:r>
              <w:rPr>
                <w:rFonts w:ascii="Arial" w:cs="Arial" w:eastAsia="Arial" w:hAnsi="Arial"/>
                <w:sz w:val="14"/>
                <w:szCs w:val="14"/>
                <w:color w:val="auto"/>
              </w:rPr>
              <w:t>Holdings, LP</w:t>
            </w:r>
          </w:p>
        </w:tc>
        <w:tc>
          <w:tcPr>
            <w:tcW w:w="224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80" w:type="dxa"/>
            <w:vAlign w:val="bottom"/>
          </w:tcPr>
          <w:p>
            <w:pPr>
              <w:jc w:val="right"/>
              <w:ind w:right="32"/>
              <w:spacing w:after="0" w:line="159" w:lineRule="exact"/>
              <w:rPr>
                <w:sz w:val="20"/>
                <w:szCs w:val="20"/>
                <w:color w:val="auto"/>
              </w:rPr>
            </w:pPr>
            <w:r>
              <w:rPr>
                <w:rFonts w:ascii="Arial" w:cs="Arial" w:eastAsia="Arial" w:hAnsi="Arial"/>
                <w:sz w:val="14"/>
                <w:szCs w:val="14"/>
                <w:color w:val="auto"/>
              </w:rPr>
              <w:t>3.75%</w:t>
            </w:r>
          </w:p>
        </w:tc>
        <w:tc>
          <w:tcPr>
            <w:tcW w:w="800" w:type="dxa"/>
            <w:vAlign w:val="bottom"/>
          </w:tcPr>
          <w:p>
            <w:pPr>
              <w:jc w:val="right"/>
              <w:ind w:right="12"/>
              <w:spacing w:after="0" w:line="159" w:lineRule="exact"/>
              <w:rPr>
                <w:sz w:val="20"/>
                <w:szCs w:val="20"/>
                <w:color w:val="auto"/>
              </w:rPr>
            </w:pPr>
            <w:r>
              <w:rPr>
                <w:rFonts w:ascii="Arial" w:cs="Arial" w:eastAsia="Arial" w:hAnsi="Arial"/>
                <w:sz w:val="14"/>
                <w:szCs w:val="14"/>
                <w:color w:val="auto"/>
              </w:rPr>
              <w:t>1/4/2021</w:t>
            </w:r>
          </w:p>
        </w:tc>
        <w:tc>
          <w:tcPr>
            <w:tcW w:w="16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112"/>
              <w:spacing w:after="0" w:line="159" w:lineRule="exact"/>
              <w:rPr>
                <w:sz w:val="20"/>
                <w:szCs w:val="20"/>
                <w:color w:val="auto"/>
              </w:rPr>
            </w:pPr>
            <w:r>
              <w:rPr>
                <w:rFonts w:ascii="Arial" w:cs="Arial" w:eastAsia="Arial" w:hAnsi="Arial"/>
                <w:sz w:val="14"/>
                <w:szCs w:val="14"/>
                <w:color w:val="auto"/>
                <w:w w:val="83"/>
              </w:rPr>
              <w:t>1,307,462</w:t>
            </w:r>
          </w:p>
        </w:tc>
        <w:tc>
          <w:tcPr>
            <w:tcW w:w="920" w:type="dxa"/>
            <w:vAlign w:val="bottom"/>
          </w:tcPr>
          <w:p>
            <w:pPr>
              <w:jc w:val="right"/>
              <w:ind w:right="112"/>
              <w:spacing w:after="0" w:line="159" w:lineRule="exact"/>
              <w:rPr>
                <w:sz w:val="20"/>
                <w:szCs w:val="20"/>
                <w:color w:val="auto"/>
              </w:rPr>
            </w:pPr>
            <w:r>
              <w:rPr>
                <w:rFonts w:ascii="Arial" w:cs="Arial" w:eastAsia="Arial" w:hAnsi="Arial"/>
                <w:sz w:val="14"/>
                <w:szCs w:val="14"/>
                <w:color w:val="auto"/>
              </w:rPr>
              <w:t>1,302,474</w:t>
            </w:r>
          </w:p>
        </w:tc>
        <w:tc>
          <w:tcPr>
            <w:tcW w:w="800" w:type="dxa"/>
            <w:vAlign w:val="bottom"/>
          </w:tcPr>
          <w:p>
            <w:pPr>
              <w:jc w:val="right"/>
              <w:spacing w:after="0" w:line="159" w:lineRule="exact"/>
              <w:rPr>
                <w:sz w:val="20"/>
                <w:szCs w:val="20"/>
                <w:color w:val="auto"/>
              </w:rPr>
            </w:pPr>
            <w:r>
              <w:rPr>
                <w:rFonts w:ascii="Arial" w:cs="Arial" w:eastAsia="Arial" w:hAnsi="Arial"/>
                <w:sz w:val="14"/>
                <w:szCs w:val="14"/>
                <w:color w:val="auto"/>
              </w:rPr>
              <w:t>1,264,969</w:t>
            </w:r>
          </w:p>
        </w:tc>
      </w:tr>
      <w:tr>
        <w:trPr>
          <w:trHeight w:val="149"/>
        </w:trPr>
        <w:tc>
          <w:tcPr>
            <w:tcW w:w="2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GTCR Valor Companies, Inc.</w:t>
            </w:r>
          </w:p>
        </w:tc>
        <w:tc>
          <w:tcPr>
            <w:tcW w:w="224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Services: Business</w:t>
            </w:r>
          </w:p>
        </w:tc>
        <w:tc>
          <w:tcPr>
            <w:tcW w:w="22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Term Loan (First Lien)</w:t>
            </w:r>
          </w:p>
        </w:tc>
        <w:tc>
          <w:tcPr>
            <w:tcW w:w="60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Loan</w:t>
            </w:r>
          </w:p>
        </w:tc>
        <w:tc>
          <w:tcPr>
            <w:tcW w:w="68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6.00%</w:t>
            </w:r>
          </w:p>
        </w:tc>
        <w:tc>
          <w:tcPr>
            <w:tcW w:w="8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6/1/2021</w:t>
            </w:r>
          </w:p>
        </w:tc>
        <w:tc>
          <w:tcPr>
            <w:tcW w:w="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w w:val="83"/>
              </w:rPr>
              <w:t>1,979,986</w:t>
            </w:r>
          </w:p>
        </w:tc>
        <w:tc>
          <w:tcPr>
            <w:tcW w:w="9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1,945,046</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1,930,487</w:t>
            </w:r>
          </w:p>
        </w:tc>
      </w:tr>
      <w:tr>
        <w:trPr>
          <w:trHeight w:val="138"/>
        </w:trPr>
        <w:tc>
          <w:tcPr>
            <w:tcW w:w="2220" w:type="dxa"/>
            <w:vAlign w:val="bottom"/>
          </w:tcPr>
          <w:p>
            <w:pPr>
              <w:spacing w:after="0" w:line="138" w:lineRule="exact"/>
              <w:rPr>
                <w:sz w:val="20"/>
                <w:szCs w:val="20"/>
                <w:color w:val="auto"/>
              </w:rPr>
            </w:pPr>
            <w:r>
              <w:rPr>
                <w:rFonts w:ascii="Arial" w:cs="Arial" w:eastAsia="Arial" w:hAnsi="Arial"/>
                <w:sz w:val="14"/>
                <w:szCs w:val="14"/>
                <w:color w:val="auto"/>
              </w:rPr>
              <w:t>Harland Clarke Holdings Corp. (fka</w:t>
            </w:r>
          </w:p>
        </w:tc>
        <w:tc>
          <w:tcPr>
            <w:tcW w:w="2240" w:type="dxa"/>
            <w:vAlign w:val="bottom"/>
          </w:tcPr>
          <w:p>
            <w:pPr>
              <w:ind w:left="80"/>
              <w:spacing w:after="0" w:line="138" w:lineRule="exact"/>
              <w:rPr>
                <w:sz w:val="20"/>
                <w:szCs w:val="20"/>
                <w:color w:val="auto"/>
              </w:rPr>
            </w:pPr>
            <w:r>
              <w:rPr>
                <w:rFonts w:ascii="Arial" w:cs="Arial" w:eastAsia="Arial" w:hAnsi="Arial"/>
                <w:sz w:val="14"/>
                <w:szCs w:val="14"/>
                <w:color w:val="auto"/>
              </w:rPr>
              <w:t>Publishing</w:t>
            </w:r>
          </w:p>
        </w:tc>
        <w:tc>
          <w:tcPr>
            <w:tcW w:w="2280" w:type="dxa"/>
            <w:vAlign w:val="bottom"/>
          </w:tcPr>
          <w:p>
            <w:pPr>
              <w:ind w:left="200"/>
              <w:spacing w:after="0" w:line="138" w:lineRule="exact"/>
              <w:rPr>
                <w:sz w:val="20"/>
                <w:szCs w:val="20"/>
                <w:color w:val="auto"/>
              </w:rPr>
            </w:pPr>
            <w:r>
              <w:rPr>
                <w:rFonts w:ascii="Arial" w:cs="Arial" w:eastAsia="Arial" w:hAnsi="Arial"/>
                <w:sz w:val="14"/>
                <w:szCs w:val="14"/>
                <w:color w:val="auto"/>
              </w:rPr>
              <w:t>Tranche B-4 Term Loan</w:t>
            </w:r>
          </w:p>
        </w:tc>
        <w:tc>
          <w:tcPr>
            <w:tcW w:w="600" w:type="dxa"/>
            <w:vAlign w:val="bottom"/>
          </w:tcPr>
          <w:p>
            <w:pPr>
              <w:ind w:left="80"/>
              <w:spacing w:after="0" w:line="138" w:lineRule="exact"/>
              <w:rPr>
                <w:sz w:val="20"/>
                <w:szCs w:val="20"/>
                <w:color w:val="auto"/>
              </w:rPr>
            </w:pPr>
            <w:r>
              <w:rPr>
                <w:rFonts w:ascii="Arial" w:cs="Arial" w:eastAsia="Arial" w:hAnsi="Arial"/>
                <w:sz w:val="14"/>
                <w:szCs w:val="14"/>
                <w:color w:val="auto"/>
              </w:rPr>
              <w:t>Loan</w:t>
            </w: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59"/>
        </w:trPr>
        <w:tc>
          <w:tcPr>
            <w:tcW w:w="2220" w:type="dxa"/>
            <w:vAlign w:val="bottom"/>
          </w:tcPr>
          <w:p>
            <w:pPr>
              <w:ind w:left="140"/>
              <w:spacing w:after="0" w:line="159" w:lineRule="exact"/>
              <w:rPr>
                <w:sz w:val="20"/>
                <w:szCs w:val="20"/>
                <w:color w:val="auto"/>
              </w:rPr>
            </w:pPr>
            <w:r>
              <w:rPr>
                <w:rFonts w:ascii="Arial" w:cs="Arial" w:eastAsia="Arial" w:hAnsi="Arial"/>
                <w:sz w:val="14"/>
                <w:szCs w:val="14"/>
                <w:color w:val="auto"/>
              </w:rPr>
              <w:t>Clarke American Corp.)</w:t>
            </w:r>
          </w:p>
        </w:tc>
        <w:tc>
          <w:tcPr>
            <w:tcW w:w="224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80" w:type="dxa"/>
            <w:vAlign w:val="bottom"/>
          </w:tcPr>
          <w:p>
            <w:pPr>
              <w:jc w:val="right"/>
              <w:ind w:right="32"/>
              <w:spacing w:after="0" w:line="159" w:lineRule="exact"/>
              <w:rPr>
                <w:sz w:val="20"/>
                <w:szCs w:val="20"/>
                <w:color w:val="auto"/>
              </w:rPr>
            </w:pPr>
            <w:r>
              <w:rPr>
                <w:rFonts w:ascii="Arial" w:cs="Arial" w:eastAsia="Arial" w:hAnsi="Arial"/>
                <w:sz w:val="14"/>
                <w:szCs w:val="14"/>
                <w:color w:val="auto"/>
              </w:rPr>
              <w:t>6.00%</w:t>
            </w:r>
          </w:p>
        </w:tc>
        <w:tc>
          <w:tcPr>
            <w:tcW w:w="800" w:type="dxa"/>
            <w:vAlign w:val="bottom"/>
          </w:tcPr>
          <w:p>
            <w:pPr>
              <w:jc w:val="right"/>
              <w:ind w:right="12"/>
              <w:spacing w:after="0" w:line="159" w:lineRule="exact"/>
              <w:rPr>
                <w:sz w:val="20"/>
                <w:szCs w:val="20"/>
                <w:color w:val="auto"/>
              </w:rPr>
            </w:pPr>
            <w:r>
              <w:rPr>
                <w:rFonts w:ascii="Arial" w:cs="Arial" w:eastAsia="Arial" w:hAnsi="Arial"/>
                <w:sz w:val="14"/>
                <w:szCs w:val="14"/>
                <w:color w:val="auto"/>
              </w:rPr>
              <w:t>8/2/2019</w:t>
            </w:r>
          </w:p>
        </w:tc>
        <w:tc>
          <w:tcPr>
            <w:tcW w:w="16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112"/>
              <w:spacing w:after="0" w:line="159" w:lineRule="exact"/>
              <w:rPr>
                <w:sz w:val="20"/>
                <w:szCs w:val="20"/>
                <w:color w:val="auto"/>
              </w:rPr>
            </w:pPr>
            <w:r>
              <w:rPr>
                <w:rFonts w:ascii="Arial" w:cs="Arial" w:eastAsia="Arial" w:hAnsi="Arial"/>
                <w:sz w:val="14"/>
                <w:szCs w:val="14"/>
                <w:color w:val="auto"/>
              </w:rPr>
              <w:t>478,125</w:t>
            </w:r>
          </w:p>
        </w:tc>
        <w:tc>
          <w:tcPr>
            <w:tcW w:w="920" w:type="dxa"/>
            <w:vAlign w:val="bottom"/>
          </w:tcPr>
          <w:p>
            <w:pPr>
              <w:jc w:val="right"/>
              <w:ind w:right="112"/>
              <w:spacing w:after="0" w:line="159" w:lineRule="exact"/>
              <w:rPr>
                <w:sz w:val="20"/>
                <w:szCs w:val="20"/>
                <w:color w:val="auto"/>
              </w:rPr>
            </w:pPr>
            <w:r>
              <w:rPr>
                <w:rFonts w:ascii="Arial" w:cs="Arial" w:eastAsia="Arial" w:hAnsi="Arial"/>
                <w:sz w:val="14"/>
                <w:szCs w:val="14"/>
                <w:color w:val="auto"/>
              </w:rPr>
              <w:t>476,402</w:t>
            </w:r>
          </w:p>
        </w:tc>
        <w:tc>
          <w:tcPr>
            <w:tcW w:w="800" w:type="dxa"/>
            <w:vAlign w:val="bottom"/>
          </w:tcPr>
          <w:p>
            <w:pPr>
              <w:jc w:val="right"/>
              <w:spacing w:after="0" w:line="159" w:lineRule="exact"/>
              <w:rPr>
                <w:sz w:val="20"/>
                <w:szCs w:val="20"/>
                <w:color w:val="auto"/>
              </w:rPr>
            </w:pPr>
            <w:r>
              <w:rPr>
                <w:rFonts w:ascii="Arial" w:cs="Arial" w:eastAsia="Arial" w:hAnsi="Arial"/>
                <w:sz w:val="14"/>
                <w:szCs w:val="14"/>
                <w:color w:val="auto"/>
              </w:rPr>
              <w:t>466,970</w:t>
            </w:r>
          </w:p>
        </w:tc>
      </w:tr>
      <w:tr>
        <w:trPr>
          <w:trHeight w:val="149"/>
        </w:trPr>
        <w:tc>
          <w:tcPr>
            <w:tcW w:w="2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HCA Inc.</w:t>
            </w:r>
          </w:p>
        </w:tc>
        <w:tc>
          <w:tcPr>
            <w:tcW w:w="224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Healthcare &amp; Pharmaceuticals</w:t>
            </w:r>
          </w:p>
        </w:tc>
        <w:tc>
          <w:tcPr>
            <w:tcW w:w="22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Tranche B-4 Term Loan</w:t>
            </w:r>
          </w:p>
        </w:tc>
        <w:tc>
          <w:tcPr>
            <w:tcW w:w="60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Loan</w:t>
            </w:r>
          </w:p>
        </w:tc>
        <w:tc>
          <w:tcPr>
            <w:tcW w:w="68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3.03%</w:t>
            </w:r>
          </w:p>
        </w:tc>
        <w:tc>
          <w:tcPr>
            <w:tcW w:w="8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5/1/2018</w:t>
            </w:r>
          </w:p>
        </w:tc>
        <w:tc>
          <w:tcPr>
            <w:tcW w:w="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w w:val="83"/>
              </w:rPr>
              <w:t>3,625,085</w:t>
            </w:r>
          </w:p>
        </w:tc>
        <w:tc>
          <w:tcPr>
            <w:tcW w:w="9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3,499,013</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3,619,213</w:t>
            </w:r>
          </w:p>
        </w:tc>
      </w:tr>
      <w:tr>
        <w:trPr>
          <w:trHeight w:val="149"/>
        </w:trPr>
        <w:tc>
          <w:tcPr>
            <w:tcW w:w="2220" w:type="dxa"/>
            <w:vAlign w:val="bottom"/>
          </w:tcPr>
          <w:p>
            <w:pPr>
              <w:spacing w:after="0" w:line="149" w:lineRule="exact"/>
              <w:rPr>
                <w:sz w:val="20"/>
                <w:szCs w:val="20"/>
                <w:color w:val="auto"/>
              </w:rPr>
            </w:pPr>
            <w:r>
              <w:rPr>
                <w:rFonts w:ascii="Arial" w:cs="Arial" w:eastAsia="Arial" w:hAnsi="Arial"/>
                <w:sz w:val="14"/>
                <w:szCs w:val="14"/>
                <w:color w:val="auto"/>
              </w:rPr>
              <w:t>Headwaters Incorporated</w:t>
            </w:r>
          </w:p>
        </w:tc>
        <w:tc>
          <w:tcPr>
            <w:tcW w:w="2240" w:type="dxa"/>
            <w:vAlign w:val="bottom"/>
          </w:tcPr>
          <w:p>
            <w:pPr>
              <w:ind w:left="80"/>
              <w:spacing w:after="0" w:line="149" w:lineRule="exact"/>
              <w:rPr>
                <w:sz w:val="20"/>
                <w:szCs w:val="20"/>
                <w:color w:val="auto"/>
              </w:rPr>
            </w:pPr>
            <w:r>
              <w:rPr>
                <w:rFonts w:ascii="Arial" w:cs="Arial" w:eastAsia="Arial" w:hAnsi="Arial"/>
                <w:sz w:val="14"/>
                <w:szCs w:val="14"/>
                <w:color w:val="auto"/>
              </w:rPr>
              <w:t>Building &amp; Development</w:t>
            </w:r>
          </w:p>
        </w:tc>
        <w:tc>
          <w:tcPr>
            <w:tcW w:w="2280" w:type="dxa"/>
            <w:vAlign w:val="bottom"/>
          </w:tcPr>
          <w:p>
            <w:pPr>
              <w:ind w:left="200"/>
              <w:spacing w:after="0" w:line="149" w:lineRule="exact"/>
              <w:rPr>
                <w:sz w:val="20"/>
                <w:szCs w:val="20"/>
                <w:color w:val="auto"/>
              </w:rPr>
            </w:pPr>
            <w:r>
              <w:rPr>
                <w:rFonts w:ascii="Arial" w:cs="Arial" w:eastAsia="Arial" w:hAnsi="Arial"/>
                <w:sz w:val="14"/>
                <w:szCs w:val="14"/>
                <w:color w:val="auto"/>
              </w:rPr>
              <w:t>Term Loan</w:t>
            </w:r>
          </w:p>
        </w:tc>
        <w:tc>
          <w:tcPr>
            <w:tcW w:w="600" w:type="dxa"/>
            <w:vAlign w:val="bottom"/>
          </w:tcPr>
          <w:p>
            <w:pPr>
              <w:ind w:left="80"/>
              <w:spacing w:after="0" w:line="149" w:lineRule="exact"/>
              <w:rPr>
                <w:sz w:val="20"/>
                <w:szCs w:val="20"/>
                <w:color w:val="auto"/>
              </w:rPr>
            </w:pPr>
            <w:r>
              <w:rPr>
                <w:rFonts w:ascii="Arial" w:cs="Arial" w:eastAsia="Arial" w:hAnsi="Arial"/>
                <w:sz w:val="14"/>
                <w:szCs w:val="14"/>
                <w:color w:val="auto"/>
              </w:rPr>
              <w:t>Loan</w:t>
            </w:r>
          </w:p>
        </w:tc>
        <w:tc>
          <w:tcPr>
            <w:tcW w:w="680" w:type="dxa"/>
            <w:vAlign w:val="bottom"/>
          </w:tcPr>
          <w:p>
            <w:pPr>
              <w:jc w:val="right"/>
              <w:ind w:right="32"/>
              <w:spacing w:after="0" w:line="149" w:lineRule="exact"/>
              <w:rPr>
                <w:sz w:val="20"/>
                <w:szCs w:val="20"/>
                <w:color w:val="auto"/>
              </w:rPr>
            </w:pPr>
            <w:r>
              <w:rPr>
                <w:rFonts w:ascii="Arial" w:cs="Arial" w:eastAsia="Arial" w:hAnsi="Arial"/>
                <w:sz w:val="14"/>
                <w:szCs w:val="14"/>
                <w:color w:val="auto"/>
              </w:rPr>
              <w:t>4.50%</w:t>
            </w:r>
          </w:p>
        </w:tc>
        <w:tc>
          <w:tcPr>
            <w:tcW w:w="8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3/24/2022</w:t>
            </w:r>
          </w:p>
        </w:tc>
        <w:tc>
          <w:tcPr>
            <w:tcW w:w="1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249,375</w:t>
            </w:r>
          </w:p>
        </w:tc>
        <w:tc>
          <w:tcPr>
            <w:tcW w:w="9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248,209</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249,063</w:t>
            </w:r>
          </w:p>
        </w:tc>
      </w:tr>
      <w:tr>
        <w:trPr>
          <w:trHeight w:val="149"/>
        </w:trPr>
        <w:tc>
          <w:tcPr>
            <w:tcW w:w="2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Hertz Corporation, The</w:t>
            </w:r>
          </w:p>
        </w:tc>
        <w:tc>
          <w:tcPr>
            <w:tcW w:w="224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Automotive</w:t>
            </w:r>
          </w:p>
        </w:tc>
        <w:tc>
          <w:tcPr>
            <w:tcW w:w="22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Tranche B-1 Term Loan</w:t>
            </w:r>
          </w:p>
        </w:tc>
        <w:tc>
          <w:tcPr>
            <w:tcW w:w="60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Loan</w:t>
            </w:r>
          </w:p>
        </w:tc>
        <w:tc>
          <w:tcPr>
            <w:tcW w:w="68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3.75%</w:t>
            </w:r>
          </w:p>
        </w:tc>
        <w:tc>
          <w:tcPr>
            <w:tcW w:w="8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3/12/2018</w:t>
            </w:r>
          </w:p>
        </w:tc>
        <w:tc>
          <w:tcPr>
            <w:tcW w:w="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w w:val="83"/>
              </w:rPr>
              <w:t>2,917,500</w:t>
            </w:r>
          </w:p>
        </w:tc>
        <w:tc>
          <w:tcPr>
            <w:tcW w:w="9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2,943,662</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2,910,819</w:t>
            </w:r>
          </w:p>
        </w:tc>
      </w:tr>
      <w:tr>
        <w:trPr>
          <w:trHeight w:val="149"/>
        </w:trPr>
        <w:tc>
          <w:tcPr>
            <w:tcW w:w="2220" w:type="dxa"/>
            <w:vAlign w:val="bottom"/>
          </w:tcPr>
          <w:p>
            <w:pPr>
              <w:spacing w:after="0" w:line="149" w:lineRule="exact"/>
              <w:rPr>
                <w:sz w:val="20"/>
                <w:szCs w:val="20"/>
                <w:color w:val="auto"/>
              </w:rPr>
            </w:pPr>
            <w:r>
              <w:rPr>
                <w:rFonts w:ascii="Arial" w:cs="Arial" w:eastAsia="Arial" w:hAnsi="Arial"/>
                <w:sz w:val="14"/>
                <w:szCs w:val="14"/>
                <w:color w:val="auto"/>
              </w:rPr>
              <w:t>Hoffmaster Group, Inc.</w:t>
            </w:r>
          </w:p>
        </w:tc>
        <w:tc>
          <w:tcPr>
            <w:tcW w:w="2240" w:type="dxa"/>
            <w:vAlign w:val="bottom"/>
          </w:tcPr>
          <w:p>
            <w:pPr>
              <w:ind w:left="80"/>
              <w:spacing w:after="0" w:line="149" w:lineRule="exact"/>
              <w:rPr>
                <w:sz w:val="20"/>
                <w:szCs w:val="20"/>
                <w:color w:val="auto"/>
              </w:rPr>
            </w:pPr>
            <w:r>
              <w:rPr>
                <w:rFonts w:ascii="Arial" w:cs="Arial" w:eastAsia="Arial" w:hAnsi="Arial"/>
                <w:sz w:val="14"/>
                <w:szCs w:val="14"/>
                <w:color w:val="auto"/>
              </w:rPr>
              <w:t>Containers/Glass Products</w:t>
            </w:r>
          </w:p>
        </w:tc>
        <w:tc>
          <w:tcPr>
            <w:tcW w:w="2280" w:type="dxa"/>
            <w:vAlign w:val="bottom"/>
          </w:tcPr>
          <w:p>
            <w:pPr>
              <w:ind w:left="200"/>
              <w:spacing w:after="0" w:line="149" w:lineRule="exact"/>
              <w:rPr>
                <w:sz w:val="20"/>
                <w:szCs w:val="20"/>
                <w:color w:val="auto"/>
              </w:rPr>
            </w:pPr>
            <w:r>
              <w:rPr>
                <w:rFonts w:ascii="Arial" w:cs="Arial" w:eastAsia="Arial" w:hAnsi="Arial"/>
                <w:sz w:val="14"/>
                <w:szCs w:val="14"/>
                <w:color w:val="auto"/>
              </w:rPr>
              <w:t>Term Loan</w:t>
            </w:r>
          </w:p>
        </w:tc>
        <w:tc>
          <w:tcPr>
            <w:tcW w:w="600" w:type="dxa"/>
            <w:vAlign w:val="bottom"/>
          </w:tcPr>
          <w:p>
            <w:pPr>
              <w:ind w:left="80"/>
              <w:spacing w:after="0" w:line="149" w:lineRule="exact"/>
              <w:rPr>
                <w:sz w:val="20"/>
                <w:szCs w:val="20"/>
                <w:color w:val="auto"/>
              </w:rPr>
            </w:pPr>
            <w:r>
              <w:rPr>
                <w:rFonts w:ascii="Arial" w:cs="Arial" w:eastAsia="Arial" w:hAnsi="Arial"/>
                <w:sz w:val="14"/>
                <w:szCs w:val="14"/>
                <w:color w:val="auto"/>
              </w:rPr>
              <w:t>Loan</w:t>
            </w:r>
          </w:p>
        </w:tc>
        <w:tc>
          <w:tcPr>
            <w:tcW w:w="680" w:type="dxa"/>
            <w:vAlign w:val="bottom"/>
          </w:tcPr>
          <w:p>
            <w:pPr>
              <w:jc w:val="right"/>
              <w:ind w:right="32"/>
              <w:spacing w:after="0" w:line="149" w:lineRule="exact"/>
              <w:rPr>
                <w:sz w:val="20"/>
                <w:szCs w:val="20"/>
                <w:color w:val="auto"/>
              </w:rPr>
            </w:pPr>
            <w:r>
              <w:rPr>
                <w:rFonts w:ascii="Arial" w:cs="Arial" w:eastAsia="Arial" w:hAnsi="Arial"/>
                <w:sz w:val="14"/>
                <w:szCs w:val="14"/>
                <w:color w:val="auto"/>
              </w:rPr>
              <w:t>5.25%</w:t>
            </w:r>
          </w:p>
        </w:tc>
        <w:tc>
          <w:tcPr>
            <w:tcW w:w="8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5/8/2020</w:t>
            </w:r>
          </w:p>
        </w:tc>
        <w:tc>
          <w:tcPr>
            <w:tcW w:w="1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112"/>
              <w:spacing w:after="0" w:line="149" w:lineRule="exact"/>
              <w:rPr>
                <w:sz w:val="20"/>
                <w:szCs w:val="20"/>
                <w:color w:val="auto"/>
              </w:rPr>
            </w:pPr>
            <w:r>
              <w:rPr>
                <w:rFonts w:ascii="Arial" w:cs="Arial" w:eastAsia="Arial" w:hAnsi="Arial"/>
                <w:sz w:val="14"/>
                <w:szCs w:val="14"/>
                <w:color w:val="auto"/>
                <w:w w:val="83"/>
              </w:rPr>
              <w:t>1,975,000</w:t>
            </w:r>
          </w:p>
        </w:tc>
        <w:tc>
          <w:tcPr>
            <w:tcW w:w="9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1,959,329</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1,950,313</w:t>
            </w:r>
          </w:p>
        </w:tc>
      </w:tr>
      <w:tr>
        <w:trPr>
          <w:trHeight w:val="149"/>
        </w:trPr>
        <w:tc>
          <w:tcPr>
            <w:tcW w:w="2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Hostess Brand, LLC</w:t>
            </w:r>
          </w:p>
        </w:tc>
        <w:tc>
          <w:tcPr>
            <w:tcW w:w="224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Beverage, Food &amp; Tobacco</w:t>
            </w:r>
          </w:p>
        </w:tc>
        <w:tc>
          <w:tcPr>
            <w:tcW w:w="22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Term Loan B (First Lien)</w:t>
            </w:r>
          </w:p>
        </w:tc>
        <w:tc>
          <w:tcPr>
            <w:tcW w:w="60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Loan</w:t>
            </w:r>
          </w:p>
        </w:tc>
        <w:tc>
          <w:tcPr>
            <w:tcW w:w="68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4.50%</w:t>
            </w:r>
          </w:p>
        </w:tc>
        <w:tc>
          <w:tcPr>
            <w:tcW w:w="8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8/3/2022</w:t>
            </w:r>
          </w:p>
        </w:tc>
        <w:tc>
          <w:tcPr>
            <w:tcW w:w="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w w:val="83"/>
              </w:rPr>
              <w:t>1,000,000</w:t>
            </w:r>
          </w:p>
        </w:tc>
        <w:tc>
          <w:tcPr>
            <w:tcW w:w="9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997,620</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995,420</w:t>
            </w:r>
          </w:p>
        </w:tc>
      </w:tr>
      <w:tr>
        <w:trPr>
          <w:trHeight w:val="149"/>
        </w:trPr>
        <w:tc>
          <w:tcPr>
            <w:tcW w:w="2220" w:type="dxa"/>
            <w:vAlign w:val="bottom"/>
          </w:tcPr>
          <w:p>
            <w:pPr>
              <w:spacing w:after="0" w:line="149" w:lineRule="exact"/>
              <w:rPr>
                <w:sz w:val="20"/>
                <w:szCs w:val="20"/>
                <w:color w:val="auto"/>
              </w:rPr>
            </w:pPr>
            <w:r>
              <w:rPr>
                <w:rFonts w:ascii="Arial" w:cs="Arial" w:eastAsia="Arial" w:hAnsi="Arial"/>
                <w:sz w:val="14"/>
                <w:szCs w:val="14"/>
                <w:color w:val="auto"/>
              </w:rPr>
              <w:t>Huntsman International LLC</w:t>
            </w:r>
          </w:p>
        </w:tc>
        <w:tc>
          <w:tcPr>
            <w:tcW w:w="2240" w:type="dxa"/>
            <w:vAlign w:val="bottom"/>
          </w:tcPr>
          <w:p>
            <w:pPr>
              <w:ind w:left="80"/>
              <w:spacing w:after="0" w:line="149" w:lineRule="exact"/>
              <w:rPr>
                <w:sz w:val="20"/>
                <w:szCs w:val="20"/>
                <w:color w:val="auto"/>
              </w:rPr>
            </w:pPr>
            <w:r>
              <w:rPr>
                <w:rFonts w:ascii="Arial" w:cs="Arial" w:eastAsia="Arial" w:hAnsi="Arial"/>
                <w:sz w:val="14"/>
                <w:szCs w:val="14"/>
                <w:color w:val="auto"/>
              </w:rPr>
              <w:t>Chemicals/Plastics</w:t>
            </w:r>
          </w:p>
        </w:tc>
        <w:tc>
          <w:tcPr>
            <w:tcW w:w="2280" w:type="dxa"/>
            <w:vAlign w:val="bottom"/>
          </w:tcPr>
          <w:p>
            <w:pPr>
              <w:ind w:left="200"/>
              <w:spacing w:after="0" w:line="149" w:lineRule="exact"/>
              <w:rPr>
                <w:sz w:val="20"/>
                <w:szCs w:val="20"/>
                <w:color w:val="auto"/>
              </w:rPr>
            </w:pPr>
            <w:r>
              <w:rPr>
                <w:rFonts w:ascii="Arial" w:cs="Arial" w:eastAsia="Arial" w:hAnsi="Arial"/>
                <w:sz w:val="14"/>
                <w:szCs w:val="14"/>
                <w:color w:val="auto"/>
              </w:rPr>
              <w:t>Term Loan B (First Lien)</w:t>
            </w:r>
          </w:p>
        </w:tc>
        <w:tc>
          <w:tcPr>
            <w:tcW w:w="600" w:type="dxa"/>
            <w:vAlign w:val="bottom"/>
          </w:tcPr>
          <w:p>
            <w:pPr>
              <w:ind w:left="80"/>
              <w:spacing w:after="0" w:line="149" w:lineRule="exact"/>
              <w:rPr>
                <w:sz w:val="20"/>
                <w:szCs w:val="20"/>
                <w:color w:val="auto"/>
              </w:rPr>
            </w:pPr>
            <w:r>
              <w:rPr>
                <w:rFonts w:ascii="Arial" w:cs="Arial" w:eastAsia="Arial" w:hAnsi="Arial"/>
                <w:sz w:val="14"/>
                <w:szCs w:val="14"/>
                <w:color w:val="auto"/>
              </w:rPr>
              <w:t>Loan</w:t>
            </w:r>
          </w:p>
        </w:tc>
        <w:tc>
          <w:tcPr>
            <w:tcW w:w="680" w:type="dxa"/>
            <w:vAlign w:val="bottom"/>
          </w:tcPr>
          <w:p>
            <w:pPr>
              <w:jc w:val="right"/>
              <w:ind w:right="32"/>
              <w:spacing w:after="0" w:line="149" w:lineRule="exact"/>
              <w:rPr>
                <w:sz w:val="20"/>
                <w:szCs w:val="20"/>
                <w:color w:val="auto"/>
              </w:rPr>
            </w:pPr>
            <w:r>
              <w:rPr>
                <w:rFonts w:ascii="Arial" w:cs="Arial" w:eastAsia="Arial" w:hAnsi="Arial"/>
                <w:sz w:val="14"/>
                <w:szCs w:val="14"/>
                <w:color w:val="auto"/>
              </w:rPr>
              <w:t>3.24%</w:t>
            </w:r>
          </w:p>
        </w:tc>
        <w:tc>
          <w:tcPr>
            <w:tcW w:w="8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4/19/2019</w:t>
            </w:r>
          </w:p>
        </w:tc>
        <w:tc>
          <w:tcPr>
            <w:tcW w:w="1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112"/>
              <w:spacing w:after="0" w:line="149" w:lineRule="exact"/>
              <w:rPr>
                <w:sz w:val="20"/>
                <w:szCs w:val="20"/>
                <w:color w:val="auto"/>
              </w:rPr>
            </w:pPr>
            <w:r>
              <w:rPr>
                <w:rFonts w:ascii="Arial" w:cs="Arial" w:eastAsia="Arial" w:hAnsi="Arial"/>
                <w:sz w:val="14"/>
                <w:szCs w:val="14"/>
                <w:color w:val="auto"/>
                <w:w w:val="83"/>
              </w:rPr>
              <w:t>3,840,541</w:t>
            </w:r>
          </w:p>
        </w:tc>
        <w:tc>
          <w:tcPr>
            <w:tcW w:w="9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3,818,148</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3,787,733</w:t>
            </w:r>
          </w:p>
        </w:tc>
      </w:tr>
      <w:tr>
        <w:trPr>
          <w:trHeight w:val="149"/>
        </w:trPr>
        <w:tc>
          <w:tcPr>
            <w:tcW w:w="2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4"/>
              </w:rPr>
              <w:t>Husky Injection Molding Systems Ltd.</w:t>
            </w:r>
          </w:p>
        </w:tc>
        <w:tc>
          <w:tcPr>
            <w:tcW w:w="224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Services: Business</w:t>
            </w:r>
          </w:p>
        </w:tc>
        <w:tc>
          <w:tcPr>
            <w:tcW w:w="22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Term Loan B</w:t>
            </w:r>
          </w:p>
        </w:tc>
        <w:tc>
          <w:tcPr>
            <w:tcW w:w="60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Loan</w:t>
            </w:r>
          </w:p>
        </w:tc>
        <w:tc>
          <w:tcPr>
            <w:tcW w:w="68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4.25%</w:t>
            </w:r>
          </w:p>
        </w:tc>
        <w:tc>
          <w:tcPr>
            <w:tcW w:w="8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6/30/2021</w:t>
            </w:r>
          </w:p>
        </w:tc>
        <w:tc>
          <w:tcPr>
            <w:tcW w:w="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491,797</w:t>
            </w:r>
          </w:p>
        </w:tc>
        <w:tc>
          <w:tcPr>
            <w:tcW w:w="9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489,804</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477,353</w:t>
            </w:r>
          </w:p>
        </w:tc>
      </w:tr>
      <w:tr>
        <w:trPr>
          <w:trHeight w:val="138"/>
        </w:trPr>
        <w:tc>
          <w:tcPr>
            <w:tcW w:w="2220" w:type="dxa"/>
            <w:vAlign w:val="bottom"/>
          </w:tcPr>
          <w:p>
            <w:pPr>
              <w:spacing w:after="0" w:line="138" w:lineRule="exact"/>
              <w:rPr>
                <w:sz w:val="20"/>
                <w:szCs w:val="20"/>
                <w:color w:val="auto"/>
              </w:rPr>
            </w:pPr>
            <w:r>
              <w:rPr>
                <w:rFonts w:ascii="Arial" w:cs="Arial" w:eastAsia="Arial" w:hAnsi="Arial"/>
                <w:sz w:val="14"/>
                <w:szCs w:val="14"/>
                <w:color w:val="auto"/>
                <w:w w:val="95"/>
              </w:rPr>
              <w:t>Infor (US), Inc. (fka Lawson Software</w:t>
            </w:r>
          </w:p>
        </w:tc>
        <w:tc>
          <w:tcPr>
            <w:tcW w:w="2240" w:type="dxa"/>
            <w:vAlign w:val="bottom"/>
          </w:tcPr>
          <w:p>
            <w:pPr>
              <w:ind w:left="80"/>
              <w:spacing w:after="0" w:line="138" w:lineRule="exact"/>
              <w:rPr>
                <w:sz w:val="20"/>
                <w:szCs w:val="20"/>
                <w:color w:val="auto"/>
              </w:rPr>
            </w:pPr>
            <w:r>
              <w:rPr>
                <w:rFonts w:ascii="Arial" w:cs="Arial" w:eastAsia="Arial" w:hAnsi="Arial"/>
                <w:sz w:val="14"/>
                <w:szCs w:val="14"/>
                <w:color w:val="auto"/>
              </w:rPr>
              <w:t>Services: Business</w:t>
            </w:r>
          </w:p>
        </w:tc>
        <w:tc>
          <w:tcPr>
            <w:tcW w:w="2280" w:type="dxa"/>
            <w:vAlign w:val="bottom"/>
          </w:tcPr>
          <w:p>
            <w:pPr>
              <w:ind w:left="200"/>
              <w:spacing w:after="0" w:line="138" w:lineRule="exact"/>
              <w:rPr>
                <w:sz w:val="20"/>
                <w:szCs w:val="20"/>
                <w:color w:val="auto"/>
              </w:rPr>
            </w:pPr>
            <w:r>
              <w:rPr>
                <w:rFonts w:ascii="Arial" w:cs="Arial" w:eastAsia="Arial" w:hAnsi="Arial"/>
                <w:sz w:val="14"/>
                <w:szCs w:val="14"/>
                <w:color w:val="auto"/>
              </w:rPr>
              <w:t>Tranche B-5 Term Loan</w:t>
            </w:r>
          </w:p>
        </w:tc>
        <w:tc>
          <w:tcPr>
            <w:tcW w:w="600" w:type="dxa"/>
            <w:vAlign w:val="bottom"/>
          </w:tcPr>
          <w:p>
            <w:pPr>
              <w:ind w:left="80"/>
              <w:spacing w:after="0" w:line="138" w:lineRule="exact"/>
              <w:rPr>
                <w:sz w:val="20"/>
                <w:szCs w:val="20"/>
                <w:color w:val="auto"/>
              </w:rPr>
            </w:pPr>
            <w:r>
              <w:rPr>
                <w:rFonts w:ascii="Arial" w:cs="Arial" w:eastAsia="Arial" w:hAnsi="Arial"/>
                <w:sz w:val="14"/>
                <w:szCs w:val="14"/>
                <w:color w:val="auto"/>
              </w:rPr>
              <w:t>Loan</w:t>
            </w: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59"/>
        </w:trPr>
        <w:tc>
          <w:tcPr>
            <w:tcW w:w="2220" w:type="dxa"/>
            <w:vAlign w:val="bottom"/>
          </w:tcPr>
          <w:p>
            <w:pPr>
              <w:ind w:left="140"/>
              <w:spacing w:after="0" w:line="159" w:lineRule="exact"/>
              <w:rPr>
                <w:sz w:val="20"/>
                <w:szCs w:val="20"/>
                <w:color w:val="auto"/>
              </w:rPr>
            </w:pPr>
            <w:r>
              <w:rPr>
                <w:rFonts w:ascii="Arial" w:cs="Arial" w:eastAsia="Arial" w:hAnsi="Arial"/>
                <w:sz w:val="14"/>
                <w:szCs w:val="14"/>
                <w:color w:val="auto"/>
              </w:rPr>
              <w:t>Inc.)</w:t>
            </w:r>
          </w:p>
        </w:tc>
        <w:tc>
          <w:tcPr>
            <w:tcW w:w="224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80" w:type="dxa"/>
            <w:vAlign w:val="bottom"/>
          </w:tcPr>
          <w:p>
            <w:pPr>
              <w:jc w:val="right"/>
              <w:ind w:right="32"/>
              <w:spacing w:after="0" w:line="159" w:lineRule="exact"/>
              <w:rPr>
                <w:sz w:val="20"/>
                <w:szCs w:val="20"/>
                <w:color w:val="auto"/>
              </w:rPr>
            </w:pPr>
            <w:r>
              <w:rPr>
                <w:rFonts w:ascii="Arial" w:cs="Arial" w:eastAsia="Arial" w:hAnsi="Arial"/>
                <w:sz w:val="14"/>
                <w:szCs w:val="14"/>
                <w:color w:val="auto"/>
              </w:rPr>
              <w:t>3.75%</w:t>
            </w:r>
          </w:p>
        </w:tc>
        <w:tc>
          <w:tcPr>
            <w:tcW w:w="800" w:type="dxa"/>
            <w:vAlign w:val="bottom"/>
          </w:tcPr>
          <w:p>
            <w:pPr>
              <w:jc w:val="right"/>
              <w:ind w:right="12"/>
              <w:spacing w:after="0" w:line="159" w:lineRule="exact"/>
              <w:rPr>
                <w:sz w:val="20"/>
                <w:szCs w:val="20"/>
                <w:color w:val="auto"/>
              </w:rPr>
            </w:pPr>
            <w:r>
              <w:rPr>
                <w:rFonts w:ascii="Arial" w:cs="Arial" w:eastAsia="Arial" w:hAnsi="Arial"/>
                <w:sz w:val="14"/>
                <w:szCs w:val="14"/>
                <w:color w:val="auto"/>
              </w:rPr>
              <w:t>6/3/2020</w:t>
            </w:r>
          </w:p>
        </w:tc>
        <w:tc>
          <w:tcPr>
            <w:tcW w:w="16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112"/>
              <w:spacing w:after="0" w:line="159" w:lineRule="exact"/>
              <w:rPr>
                <w:sz w:val="20"/>
                <w:szCs w:val="20"/>
                <w:color w:val="auto"/>
              </w:rPr>
            </w:pPr>
            <w:r>
              <w:rPr>
                <w:rFonts w:ascii="Arial" w:cs="Arial" w:eastAsia="Arial" w:hAnsi="Arial"/>
                <w:sz w:val="14"/>
                <w:szCs w:val="14"/>
                <w:color w:val="auto"/>
                <w:w w:val="83"/>
              </w:rPr>
              <w:t>2,193,981</w:t>
            </w:r>
          </w:p>
        </w:tc>
        <w:tc>
          <w:tcPr>
            <w:tcW w:w="920" w:type="dxa"/>
            <w:vAlign w:val="bottom"/>
          </w:tcPr>
          <w:p>
            <w:pPr>
              <w:jc w:val="right"/>
              <w:ind w:right="112"/>
              <w:spacing w:after="0" w:line="159" w:lineRule="exact"/>
              <w:rPr>
                <w:sz w:val="20"/>
                <w:szCs w:val="20"/>
                <w:color w:val="auto"/>
              </w:rPr>
            </w:pPr>
            <w:r>
              <w:rPr>
                <w:rFonts w:ascii="Arial" w:cs="Arial" w:eastAsia="Arial" w:hAnsi="Arial"/>
                <w:sz w:val="14"/>
                <w:szCs w:val="14"/>
                <w:color w:val="auto"/>
              </w:rPr>
              <w:t>2,179,213</w:t>
            </w:r>
          </w:p>
        </w:tc>
        <w:tc>
          <w:tcPr>
            <w:tcW w:w="800" w:type="dxa"/>
            <w:vAlign w:val="bottom"/>
          </w:tcPr>
          <w:p>
            <w:pPr>
              <w:jc w:val="right"/>
              <w:spacing w:after="0" w:line="159" w:lineRule="exact"/>
              <w:rPr>
                <w:sz w:val="20"/>
                <w:szCs w:val="20"/>
                <w:color w:val="auto"/>
              </w:rPr>
            </w:pPr>
            <w:r>
              <w:rPr>
                <w:rFonts w:ascii="Arial" w:cs="Arial" w:eastAsia="Arial" w:hAnsi="Arial"/>
                <w:sz w:val="14"/>
                <w:szCs w:val="14"/>
                <w:color w:val="auto"/>
              </w:rPr>
              <w:t>2,085,928</w:t>
            </w:r>
          </w:p>
        </w:tc>
      </w:tr>
      <w:tr>
        <w:trPr>
          <w:trHeight w:val="149"/>
        </w:trPr>
        <w:tc>
          <w:tcPr>
            <w:tcW w:w="2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Insight Global</w:t>
            </w:r>
          </w:p>
        </w:tc>
        <w:tc>
          <w:tcPr>
            <w:tcW w:w="224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Services: Business</w:t>
            </w:r>
          </w:p>
        </w:tc>
        <w:tc>
          <w:tcPr>
            <w:tcW w:w="22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Term Loan</w:t>
            </w:r>
          </w:p>
        </w:tc>
        <w:tc>
          <w:tcPr>
            <w:tcW w:w="60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Loan</w:t>
            </w:r>
          </w:p>
        </w:tc>
        <w:tc>
          <w:tcPr>
            <w:tcW w:w="68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6.00%</w:t>
            </w:r>
          </w:p>
        </w:tc>
        <w:tc>
          <w:tcPr>
            <w:tcW w:w="8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w w:val="99"/>
              </w:rPr>
              <w:t>10/29/2021</w:t>
            </w:r>
          </w:p>
        </w:tc>
        <w:tc>
          <w:tcPr>
            <w:tcW w:w="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w w:val="83"/>
              </w:rPr>
              <w:t>1,984,694</w:t>
            </w:r>
          </w:p>
        </w:tc>
        <w:tc>
          <w:tcPr>
            <w:tcW w:w="9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1,976,851</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1,974,155</w:t>
            </w:r>
          </w:p>
        </w:tc>
      </w:tr>
      <w:tr>
        <w:trPr>
          <w:trHeight w:val="149"/>
        </w:trPr>
        <w:tc>
          <w:tcPr>
            <w:tcW w:w="2220" w:type="dxa"/>
            <w:vAlign w:val="bottom"/>
          </w:tcPr>
          <w:p>
            <w:pPr>
              <w:spacing w:after="0" w:line="149" w:lineRule="exact"/>
              <w:rPr>
                <w:sz w:val="20"/>
                <w:szCs w:val="20"/>
                <w:color w:val="auto"/>
              </w:rPr>
            </w:pPr>
            <w:r>
              <w:rPr>
                <w:rFonts w:ascii="Arial" w:cs="Arial" w:eastAsia="Arial" w:hAnsi="Arial"/>
                <w:sz w:val="14"/>
                <w:szCs w:val="14"/>
                <w:color w:val="auto"/>
              </w:rPr>
              <w:t>Informatica Corporation</w:t>
            </w:r>
          </w:p>
        </w:tc>
        <w:tc>
          <w:tcPr>
            <w:tcW w:w="2240" w:type="dxa"/>
            <w:vAlign w:val="bottom"/>
          </w:tcPr>
          <w:p>
            <w:pPr>
              <w:ind w:left="80"/>
              <w:spacing w:after="0" w:line="149" w:lineRule="exact"/>
              <w:rPr>
                <w:sz w:val="20"/>
                <w:szCs w:val="20"/>
                <w:color w:val="auto"/>
              </w:rPr>
            </w:pPr>
            <w:r>
              <w:rPr>
                <w:rFonts w:ascii="Arial" w:cs="Arial" w:eastAsia="Arial" w:hAnsi="Arial"/>
                <w:sz w:val="14"/>
                <w:szCs w:val="14"/>
                <w:color w:val="auto"/>
              </w:rPr>
              <w:t>High Tech Industries</w:t>
            </w:r>
          </w:p>
        </w:tc>
        <w:tc>
          <w:tcPr>
            <w:tcW w:w="2280" w:type="dxa"/>
            <w:vAlign w:val="bottom"/>
          </w:tcPr>
          <w:p>
            <w:pPr>
              <w:ind w:left="200"/>
              <w:spacing w:after="0" w:line="149" w:lineRule="exact"/>
              <w:rPr>
                <w:sz w:val="20"/>
                <w:szCs w:val="20"/>
                <w:color w:val="auto"/>
              </w:rPr>
            </w:pPr>
            <w:r>
              <w:rPr>
                <w:rFonts w:ascii="Arial" w:cs="Arial" w:eastAsia="Arial" w:hAnsi="Arial"/>
                <w:sz w:val="14"/>
                <w:szCs w:val="14"/>
                <w:color w:val="auto"/>
              </w:rPr>
              <w:t>Term Loan B</w:t>
            </w:r>
          </w:p>
        </w:tc>
        <w:tc>
          <w:tcPr>
            <w:tcW w:w="600" w:type="dxa"/>
            <w:vAlign w:val="bottom"/>
          </w:tcPr>
          <w:p>
            <w:pPr>
              <w:ind w:left="80"/>
              <w:spacing w:after="0" w:line="149" w:lineRule="exact"/>
              <w:rPr>
                <w:sz w:val="20"/>
                <w:szCs w:val="20"/>
                <w:color w:val="auto"/>
              </w:rPr>
            </w:pPr>
            <w:r>
              <w:rPr>
                <w:rFonts w:ascii="Arial" w:cs="Arial" w:eastAsia="Arial" w:hAnsi="Arial"/>
                <w:sz w:val="14"/>
                <w:szCs w:val="14"/>
                <w:color w:val="auto"/>
              </w:rPr>
              <w:t>Loan</w:t>
            </w:r>
          </w:p>
        </w:tc>
        <w:tc>
          <w:tcPr>
            <w:tcW w:w="680" w:type="dxa"/>
            <w:vAlign w:val="bottom"/>
          </w:tcPr>
          <w:p>
            <w:pPr>
              <w:jc w:val="right"/>
              <w:ind w:right="32"/>
              <w:spacing w:after="0" w:line="149" w:lineRule="exact"/>
              <w:rPr>
                <w:sz w:val="20"/>
                <w:szCs w:val="20"/>
                <w:color w:val="auto"/>
              </w:rPr>
            </w:pPr>
            <w:r>
              <w:rPr>
                <w:rFonts w:ascii="Arial" w:cs="Arial" w:eastAsia="Arial" w:hAnsi="Arial"/>
                <w:sz w:val="14"/>
                <w:szCs w:val="14"/>
                <w:color w:val="auto"/>
              </w:rPr>
              <w:t>4.50%</w:t>
            </w:r>
          </w:p>
        </w:tc>
        <w:tc>
          <w:tcPr>
            <w:tcW w:w="8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8/5/2022</w:t>
            </w:r>
          </w:p>
        </w:tc>
        <w:tc>
          <w:tcPr>
            <w:tcW w:w="1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500,000</w:t>
            </w:r>
          </w:p>
        </w:tc>
        <w:tc>
          <w:tcPr>
            <w:tcW w:w="9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498,785</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485,705</w:t>
            </w:r>
          </w:p>
        </w:tc>
      </w:tr>
      <w:tr>
        <w:trPr>
          <w:trHeight w:val="149"/>
        </w:trPr>
        <w:tc>
          <w:tcPr>
            <w:tcW w:w="2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J. Crew Group, Inc.</w:t>
            </w:r>
          </w:p>
        </w:tc>
        <w:tc>
          <w:tcPr>
            <w:tcW w:w="224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w w:val="99"/>
              </w:rPr>
              <w:t>Retailers (Except Food and Drugs)</w:t>
            </w:r>
          </w:p>
        </w:tc>
        <w:tc>
          <w:tcPr>
            <w:tcW w:w="22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w w:val="95"/>
              </w:rPr>
              <w:t>Term B-1 Loan Retired 03/05/2014</w:t>
            </w:r>
          </w:p>
        </w:tc>
        <w:tc>
          <w:tcPr>
            <w:tcW w:w="60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Loan</w:t>
            </w:r>
          </w:p>
        </w:tc>
        <w:tc>
          <w:tcPr>
            <w:tcW w:w="68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4.00%</w:t>
            </w:r>
          </w:p>
        </w:tc>
        <w:tc>
          <w:tcPr>
            <w:tcW w:w="8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3/5/2021</w:t>
            </w:r>
          </w:p>
        </w:tc>
        <w:tc>
          <w:tcPr>
            <w:tcW w:w="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957,913</w:t>
            </w:r>
          </w:p>
        </w:tc>
        <w:tc>
          <w:tcPr>
            <w:tcW w:w="9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957,913</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598,695</w:t>
            </w:r>
          </w:p>
        </w:tc>
      </w:tr>
      <w:tr>
        <w:trPr>
          <w:trHeight w:val="149"/>
        </w:trPr>
        <w:tc>
          <w:tcPr>
            <w:tcW w:w="2220" w:type="dxa"/>
            <w:vAlign w:val="bottom"/>
          </w:tcPr>
          <w:p>
            <w:pPr>
              <w:spacing w:after="0" w:line="149" w:lineRule="exact"/>
              <w:rPr>
                <w:sz w:val="20"/>
                <w:szCs w:val="20"/>
                <w:color w:val="auto"/>
              </w:rPr>
            </w:pPr>
            <w:r>
              <w:rPr>
                <w:rFonts w:ascii="Arial" w:cs="Arial" w:eastAsia="Arial" w:hAnsi="Arial"/>
                <w:sz w:val="14"/>
                <w:szCs w:val="14"/>
                <w:color w:val="auto"/>
              </w:rPr>
              <w:t>Jazz Acquisition, Inc</w:t>
            </w:r>
          </w:p>
        </w:tc>
        <w:tc>
          <w:tcPr>
            <w:tcW w:w="2240" w:type="dxa"/>
            <w:vAlign w:val="bottom"/>
          </w:tcPr>
          <w:p>
            <w:pPr>
              <w:ind w:left="80"/>
              <w:spacing w:after="0" w:line="149" w:lineRule="exact"/>
              <w:rPr>
                <w:sz w:val="20"/>
                <w:szCs w:val="20"/>
                <w:color w:val="auto"/>
              </w:rPr>
            </w:pPr>
            <w:r>
              <w:rPr>
                <w:rFonts w:ascii="Arial" w:cs="Arial" w:eastAsia="Arial" w:hAnsi="Arial"/>
                <w:sz w:val="14"/>
                <w:szCs w:val="14"/>
                <w:color w:val="auto"/>
              </w:rPr>
              <w:t>Aerospace and Defense</w:t>
            </w:r>
          </w:p>
        </w:tc>
        <w:tc>
          <w:tcPr>
            <w:tcW w:w="2280" w:type="dxa"/>
            <w:vAlign w:val="bottom"/>
          </w:tcPr>
          <w:p>
            <w:pPr>
              <w:ind w:left="200"/>
              <w:spacing w:after="0" w:line="149" w:lineRule="exact"/>
              <w:rPr>
                <w:sz w:val="20"/>
                <w:szCs w:val="20"/>
                <w:color w:val="auto"/>
              </w:rPr>
            </w:pPr>
            <w:r>
              <w:rPr>
                <w:rFonts w:ascii="Arial" w:cs="Arial" w:eastAsia="Arial" w:hAnsi="Arial"/>
                <w:sz w:val="14"/>
                <w:szCs w:val="14"/>
                <w:color w:val="auto"/>
              </w:rPr>
              <w:t>First Lien 6/14</w:t>
            </w:r>
          </w:p>
        </w:tc>
        <w:tc>
          <w:tcPr>
            <w:tcW w:w="600" w:type="dxa"/>
            <w:vAlign w:val="bottom"/>
          </w:tcPr>
          <w:p>
            <w:pPr>
              <w:ind w:left="80"/>
              <w:spacing w:after="0" w:line="149" w:lineRule="exact"/>
              <w:rPr>
                <w:sz w:val="20"/>
                <w:szCs w:val="20"/>
                <w:color w:val="auto"/>
              </w:rPr>
            </w:pPr>
            <w:r>
              <w:rPr>
                <w:rFonts w:ascii="Arial" w:cs="Arial" w:eastAsia="Arial" w:hAnsi="Arial"/>
                <w:sz w:val="14"/>
                <w:szCs w:val="14"/>
                <w:color w:val="auto"/>
              </w:rPr>
              <w:t>Loan</w:t>
            </w:r>
          </w:p>
        </w:tc>
        <w:tc>
          <w:tcPr>
            <w:tcW w:w="680" w:type="dxa"/>
            <w:vAlign w:val="bottom"/>
          </w:tcPr>
          <w:p>
            <w:pPr>
              <w:jc w:val="right"/>
              <w:ind w:right="32"/>
              <w:spacing w:after="0" w:line="149" w:lineRule="exact"/>
              <w:rPr>
                <w:sz w:val="20"/>
                <w:szCs w:val="20"/>
                <w:color w:val="auto"/>
              </w:rPr>
            </w:pPr>
            <w:r>
              <w:rPr>
                <w:rFonts w:ascii="Arial" w:cs="Arial" w:eastAsia="Arial" w:hAnsi="Arial"/>
                <w:sz w:val="14"/>
                <w:szCs w:val="14"/>
                <w:color w:val="auto"/>
              </w:rPr>
              <w:t>4.50%</w:t>
            </w:r>
          </w:p>
        </w:tc>
        <w:tc>
          <w:tcPr>
            <w:tcW w:w="8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6/19/2021</w:t>
            </w:r>
          </w:p>
        </w:tc>
        <w:tc>
          <w:tcPr>
            <w:tcW w:w="1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493,939</w:t>
            </w:r>
          </w:p>
        </w:tc>
        <w:tc>
          <w:tcPr>
            <w:tcW w:w="9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492,908</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464,614</w:t>
            </w:r>
          </w:p>
        </w:tc>
      </w:tr>
      <w:tr>
        <w:trPr>
          <w:trHeight w:val="149"/>
        </w:trPr>
        <w:tc>
          <w:tcPr>
            <w:tcW w:w="2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J.Jill Group, Inc.</w:t>
            </w:r>
          </w:p>
        </w:tc>
        <w:tc>
          <w:tcPr>
            <w:tcW w:w="224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w w:val="99"/>
              </w:rPr>
              <w:t>Retailers (Except Food and Drugs)</w:t>
            </w:r>
          </w:p>
        </w:tc>
        <w:tc>
          <w:tcPr>
            <w:tcW w:w="22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Term Loan (First Lien)</w:t>
            </w:r>
          </w:p>
        </w:tc>
        <w:tc>
          <w:tcPr>
            <w:tcW w:w="60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Loan</w:t>
            </w:r>
          </w:p>
        </w:tc>
        <w:tc>
          <w:tcPr>
            <w:tcW w:w="68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6.00%</w:t>
            </w:r>
          </w:p>
        </w:tc>
        <w:tc>
          <w:tcPr>
            <w:tcW w:w="8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5/9/2022</w:t>
            </w:r>
          </w:p>
        </w:tc>
        <w:tc>
          <w:tcPr>
            <w:tcW w:w="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997,500</w:t>
            </w:r>
          </w:p>
        </w:tc>
        <w:tc>
          <w:tcPr>
            <w:tcW w:w="9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992,723</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977,550</w:t>
            </w:r>
          </w:p>
        </w:tc>
      </w:tr>
      <w:tr>
        <w:trPr>
          <w:trHeight w:val="149"/>
        </w:trPr>
        <w:tc>
          <w:tcPr>
            <w:tcW w:w="2220" w:type="dxa"/>
            <w:vAlign w:val="bottom"/>
          </w:tcPr>
          <w:p>
            <w:pPr>
              <w:spacing w:after="0" w:line="149" w:lineRule="exact"/>
              <w:rPr>
                <w:sz w:val="20"/>
                <w:szCs w:val="20"/>
                <w:color w:val="auto"/>
              </w:rPr>
            </w:pPr>
            <w:r>
              <w:rPr>
                <w:rFonts w:ascii="Arial" w:cs="Arial" w:eastAsia="Arial" w:hAnsi="Arial"/>
                <w:sz w:val="14"/>
                <w:szCs w:val="14"/>
                <w:color w:val="auto"/>
              </w:rPr>
              <w:t>Kinetic Concepts, Inc.</w:t>
            </w:r>
          </w:p>
        </w:tc>
        <w:tc>
          <w:tcPr>
            <w:tcW w:w="2240" w:type="dxa"/>
            <w:vAlign w:val="bottom"/>
          </w:tcPr>
          <w:p>
            <w:pPr>
              <w:ind w:left="80"/>
              <w:spacing w:after="0" w:line="149" w:lineRule="exact"/>
              <w:rPr>
                <w:sz w:val="20"/>
                <w:szCs w:val="20"/>
                <w:color w:val="auto"/>
              </w:rPr>
            </w:pPr>
            <w:r>
              <w:rPr>
                <w:rFonts w:ascii="Arial" w:cs="Arial" w:eastAsia="Arial" w:hAnsi="Arial"/>
                <w:sz w:val="14"/>
                <w:szCs w:val="14"/>
                <w:color w:val="auto"/>
              </w:rPr>
              <w:t>Healthcare &amp; Pharmaceuticals</w:t>
            </w:r>
          </w:p>
        </w:tc>
        <w:tc>
          <w:tcPr>
            <w:tcW w:w="2280" w:type="dxa"/>
            <w:vAlign w:val="bottom"/>
          </w:tcPr>
          <w:p>
            <w:pPr>
              <w:ind w:left="200"/>
              <w:spacing w:after="0" w:line="149" w:lineRule="exact"/>
              <w:rPr>
                <w:sz w:val="20"/>
                <w:szCs w:val="20"/>
                <w:color w:val="auto"/>
              </w:rPr>
            </w:pPr>
            <w:r>
              <w:rPr>
                <w:rFonts w:ascii="Arial" w:cs="Arial" w:eastAsia="Arial" w:hAnsi="Arial"/>
                <w:sz w:val="14"/>
                <w:szCs w:val="14"/>
                <w:color w:val="auto"/>
              </w:rPr>
              <w:t>Dollar Term D-1 Loan</w:t>
            </w:r>
          </w:p>
        </w:tc>
        <w:tc>
          <w:tcPr>
            <w:tcW w:w="600" w:type="dxa"/>
            <w:vAlign w:val="bottom"/>
          </w:tcPr>
          <w:p>
            <w:pPr>
              <w:ind w:left="80"/>
              <w:spacing w:after="0" w:line="149" w:lineRule="exact"/>
              <w:rPr>
                <w:sz w:val="20"/>
                <w:szCs w:val="20"/>
                <w:color w:val="auto"/>
              </w:rPr>
            </w:pPr>
            <w:r>
              <w:rPr>
                <w:rFonts w:ascii="Arial" w:cs="Arial" w:eastAsia="Arial" w:hAnsi="Arial"/>
                <w:sz w:val="14"/>
                <w:szCs w:val="14"/>
                <w:color w:val="auto"/>
              </w:rPr>
              <w:t>Loan</w:t>
            </w:r>
          </w:p>
        </w:tc>
        <w:tc>
          <w:tcPr>
            <w:tcW w:w="680" w:type="dxa"/>
            <w:vAlign w:val="bottom"/>
          </w:tcPr>
          <w:p>
            <w:pPr>
              <w:jc w:val="right"/>
              <w:ind w:right="32"/>
              <w:spacing w:after="0" w:line="149" w:lineRule="exact"/>
              <w:rPr>
                <w:sz w:val="20"/>
                <w:szCs w:val="20"/>
                <w:color w:val="auto"/>
              </w:rPr>
            </w:pPr>
            <w:r>
              <w:rPr>
                <w:rFonts w:ascii="Arial" w:cs="Arial" w:eastAsia="Arial" w:hAnsi="Arial"/>
                <w:sz w:val="14"/>
                <w:szCs w:val="14"/>
                <w:color w:val="auto"/>
              </w:rPr>
              <w:t>4.50%</w:t>
            </w:r>
          </w:p>
        </w:tc>
        <w:tc>
          <w:tcPr>
            <w:tcW w:w="8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5/4/2018</w:t>
            </w:r>
          </w:p>
        </w:tc>
        <w:tc>
          <w:tcPr>
            <w:tcW w:w="1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112"/>
              <w:spacing w:after="0" w:line="149" w:lineRule="exact"/>
              <w:rPr>
                <w:sz w:val="20"/>
                <w:szCs w:val="20"/>
                <w:color w:val="auto"/>
              </w:rPr>
            </w:pPr>
            <w:r>
              <w:rPr>
                <w:rFonts w:ascii="Arial" w:cs="Arial" w:eastAsia="Arial" w:hAnsi="Arial"/>
                <w:sz w:val="14"/>
                <w:szCs w:val="14"/>
                <w:color w:val="auto"/>
                <w:w w:val="83"/>
              </w:rPr>
              <w:t>2,458,843</w:t>
            </w:r>
          </w:p>
        </w:tc>
        <w:tc>
          <w:tcPr>
            <w:tcW w:w="9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2,440,368</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2,392,774</w:t>
            </w:r>
          </w:p>
        </w:tc>
      </w:tr>
      <w:tr>
        <w:trPr>
          <w:trHeight w:val="149"/>
        </w:trPr>
        <w:tc>
          <w:tcPr>
            <w:tcW w:w="2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Koosharem, LLC</w:t>
            </w:r>
          </w:p>
        </w:tc>
        <w:tc>
          <w:tcPr>
            <w:tcW w:w="224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Services: Business</w:t>
            </w:r>
          </w:p>
        </w:tc>
        <w:tc>
          <w:tcPr>
            <w:tcW w:w="22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Term Loan</w:t>
            </w:r>
          </w:p>
        </w:tc>
        <w:tc>
          <w:tcPr>
            <w:tcW w:w="60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Loan</w:t>
            </w:r>
          </w:p>
        </w:tc>
        <w:tc>
          <w:tcPr>
            <w:tcW w:w="68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7.50%</w:t>
            </w:r>
          </w:p>
        </w:tc>
        <w:tc>
          <w:tcPr>
            <w:tcW w:w="8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5/15/2020</w:t>
            </w:r>
          </w:p>
        </w:tc>
        <w:tc>
          <w:tcPr>
            <w:tcW w:w="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w w:val="83"/>
              </w:rPr>
              <w:t>2,972,538</w:t>
            </w:r>
          </w:p>
        </w:tc>
        <w:tc>
          <w:tcPr>
            <w:tcW w:w="9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2,949,120</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2,903,812</w:t>
            </w:r>
          </w:p>
        </w:tc>
      </w:tr>
      <w:tr>
        <w:trPr>
          <w:trHeight w:val="138"/>
        </w:trPr>
        <w:tc>
          <w:tcPr>
            <w:tcW w:w="2220" w:type="dxa"/>
            <w:vAlign w:val="bottom"/>
          </w:tcPr>
          <w:p>
            <w:pPr>
              <w:spacing w:after="0" w:line="138" w:lineRule="exact"/>
              <w:rPr>
                <w:sz w:val="20"/>
                <w:szCs w:val="20"/>
                <w:color w:val="auto"/>
              </w:rPr>
            </w:pPr>
            <w:r>
              <w:rPr>
                <w:rFonts w:ascii="Arial" w:cs="Arial" w:eastAsia="Arial" w:hAnsi="Arial"/>
                <w:sz w:val="14"/>
                <w:szCs w:val="14"/>
                <w:color w:val="auto"/>
              </w:rPr>
              <w:t>LPL Holdings</w:t>
            </w:r>
          </w:p>
        </w:tc>
        <w:tc>
          <w:tcPr>
            <w:tcW w:w="2240" w:type="dxa"/>
            <w:vAlign w:val="bottom"/>
          </w:tcPr>
          <w:p>
            <w:pPr>
              <w:ind w:left="80"/>
              <w:spacing w:after="0" w:line="138" w:lineRule="exact"/>
              <w:rPr>
                <w:sz w:val="20"/>
                <w:szCs w:val="20"/>
                <w:color w:val="auto"/>
              </w:rPr>
            </w:pPr>
            <w:r>
              <w:rPr>
                <w:rFonts w:ascii="Arial" w:cs="Arial" w:eastAsia="Arial" w:hAnsi="Arial"/>
                <w:sz w:val="14"/>
                <w:szCs w:val="14"/>
                <w:color w:val="auto"/>
                <w:w w:val="95"/>
              </w:rPr>
              <w:t>Banking, Finance, Insurance &amp; Real</w:t>
            </w:r>
          </w:p>
        </w:tc>
        <w:tc>
          <w:tcPr>
            <w:tcW w:w="2280" w:type="dxa"/>
            <w:vAlign w:val="bottom"/>
          </w:tcPr>
          <w:p>
            <w:pPr>
              <w:ind w:left="200"/>
              <w:spacing w:after="0" w:line="138" w:lineRule="exact"/>
              <w:rPr>
                <w:sz w:val="20"/>
                <w:szCs w:val="20"/>
                <w:color w:val="auto"/>
              </w:rPr>
            </w:pPr>
            <w:r>
              <w:rPr>
                <w:rFonts w:ascii="Arial" w:cs="Arial" w:eastAsia="Arial" w:hAnsi="Arial"/>
                <w:sz w:val="14"/>
                <w:szCs w:val="14"/>
                <w:color w:val="auto"/>
              </w:rPr>
              <w:t>Term Loan B (2022)</w:t>
            </w:r>
          </w:p>
        </w:tc>
        <w:tc>
          <w:tcPr>
            <w:tcW w:w="600" w:type="dxa"/>
            <w:vAlign w:val="bottom"/>
          </w:tcPr>
          <w:p>
            <w:pPr>
              <w:ind w:left="80"/>
              <w:spacing w:after="0" w:line="138" w:lineRule="exact"/>
              <w:rPr>
                <w:sz w:val="20"/>
                <w:szCs w:val="20"/>
                <w:color w:val="auto"/>
              </w:rPr>
            </w:pPr>
            <w:r>
              <w:rPr>
                <w:rFonts w:ascii="Arial" w:cs="Arial" w:eastAsia="Arial" w:hAnsi="Arial"/>
                <w:sz w:val="14"/>
                <w:szCs w:val="14"/>
                <w:color w:val="auto"/>
              </w:rPr>
              <w:t>Loan</w:t>
            </w: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59"/>
        </w:trPr>
        <w:tc>
          <w:tcPr>
            <w:tcW w:w="2220" w:type="dxa"/>
            <w:vAlign w:val="bottom"/>
          </w:tcPr>
          <w:p>
            <w:pPr>
              <w:spacing w:after="0"/>
              <w:rPr>
                <w:sz w:val="13"/>
                <w:szCs w:val="13"/>
                <w:color w:val="auto"/>
              </w:rPr>
            </w:pPr>
          </w:p>
        </w:tc>
        <w:tc>
          <w:tcPr>
            <w:tcW w:w="2240" w:type="dxa"/>
            <w:vAlign w:val="bottom"/>
          </w:tcPr>
          <w:p>
            <w:pPr>
              <w:ind w:left="80"/>
              <w:spacing w:after="0" w:line="159" w:lineRule="exact"/>
              <w:rPr>
                <w:sz w:val="20"/>
                <w:szCs w:val="20"/>
                <w:color w:val="auto"/>
              </w:rPr>
            </w:pPr>
            <w:r>
              <w:rPr>
                <w:rFonts w:ascii="Arial" w:cs="Arial" w:eastAsia="Arial" w:hAnsi="Arial"/>
                <w:sz w:val="14"/>
                <w:szCs w:val="14"/>
                <w:color w:val="auto"/>
              </w:rPr>
              <w:t>Estate</w:t>
            </w:r>
          </w:p>
        </w:tc>
        <w:tc>
          <w:tcPr>
            <w:tcW w:w="22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80" w:type="dxa"/>
            <w:vAlign w:val="bottom"/>
          </w:tcPr>
          <w:p>
            <w:pPr>
              <w:jc w:val="right"/>
              <w:ind w:right="32"/>
              <w:spacing w:after="0" w:line="159" w:lineRule="exact"/>
              <w:rPr>
                <w:sz w:val="20"/>
                <w:szCs w:val="20"/>
                <w:color w:val="auto"/>
              </w:rPr>
            </w:pPr>
            <w:r>
              <w:rPr>
                <w:rFonts w:ascii="Arial" w:cs="Arial" w:eastAsia="Arial" w:hAnsi="Arial"/>
                <w:sz w:val="14"/>
                <w:szCs w:val="14"/>
                <w:color w:val="auto"/>
              </w:rPr>
              <w:t>4.75%</w:t>
            </w:r>
          </w:p>
        </w:tc>
        <w:tc>
          <w:tcPr>
            <w:tcW w:w="800" w:type="dxa"/>
            <w:vAlign w:val="bottom"/>
          </w:tcPr>
          <w:p>
            <w:pPr>
              <w:jc w:val="right"/>
              <w:ind w:right="12"/>
              <w:spacing w:after="0" w:line="159" w:lineRule="exact"/>
              <w:rPr>
                <w:sz w:val="20"/>
                <w:szCs w:val="20"/>
                <w:color w:val="auto"/>
              </w:rPr>
            </w:pPr>
            <w:r>
              <w:rPr>
                <w:rFonts w:ascii="Arial" w:cs="Arial" w:eastAsia="Arial" w:hAnsi="Arial"/>
                <w:sz w:val="14"/>
                <w:szCs w:val="14"/>
                <w:color w:val="auto"/>
                <w:w w:val="99"/>
              </w:rPr>
              <w:t>11/21/2022</w:t>
            </w:r>
          </w:p>
        </w:tc>
        <w:tc>
          <w:tcPr>
            <w:tcW w:w="16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112"/>
              <w:spacing w:after="0" w:line="159" w:lineRule="exact"/>
              <w:rPr>
                <w:sz w:val="20"/>
                <w:szCs w:val="20"/>
                <w:color w:val="auto"/>
              </w:rPr>
            </w:pPr>
            <w:r>
              <w:rPr>
                <w:rFonts w:ascii="Arial" w:cs="Arial" w:eastAsia="Arial" w:hAnsi="Arial"/>
                <w:sz w:val="14"/>
                <w:szCs w:val="14"/>
                <w:color w:val="auto"/>
                <w:w w:val="83"/>
              </w:rPr>
              <w:t>2,000,000</w:t>
            </w:r>
          </w:p>
        </w:tc>
        <w:tc>
          <w:tcPr>
            <w:tcW w:w="920" w:type="dxa"/>
            <w:vAlign w:val="bottom"/>
          </w:tcPr>
          <w:p>
            <w:pPr>
              <w:jc w:val="right"/>
              <w:ind w:right="112"/>
              <w:spacing w:after="0" w:line="159" w:lineRule="exact"/>
              <w:rPr>
                <w:sz w:val="20"/>
                <w:szCs w:val="20"/>
                <w:color w:val="auto"/>
              </w:rPr>
            </w:pPr>
            <w:r>
              <w:rPr>
                <w:rFonts w:ascii="Arial" w:cs="Arial" w:eastAsia="Arial" w:hAnsi="Arial"/>
                <w:sz w:val="14"/>
                <w:szCs w:val="14"/>
                <w:color w:val="auto"/>
              </w:rPr>
              <w:t>1,980,032</w:t>
            </w:r>
          </w:p>
        </w:tc>
        <w:tc>
          <w:tcPr>
            <w:tcW w:w="800" w:type="dxa"/>
            <w:vAlign w:val="bottom"/>
          </w:tcPr>
          <w:p>
            <w:pPr>
              <w:jc w:val="right"/>
              <w:spacing w:after="0" w:line="159" w:lineRule="exact"/>
              <w:rPr>
                <w:sz w:val="20"/>
                <w:szCs w:val="20"/>
                <w:color w:val="auto"/>
              </w:rPr>
            </w:pPr>
            <w:r>
              <w:rPr>
                <w:rFonts w:ascii="Arial" w:cs="Arial" w:eastAsia="Arial" w:hAnsi="Arial"/>
                <w:sz w:val="14"/>
                <w:szCs w:val="14"/>
                <w:color w:val="auto"/>
              </w:rPr>
              <w:t>1,990,000</w:t>
            </w:r>
          </w:p>
        </w:tc>
      </w:tr>
      <w:tr>
        <w:trPr>
          <w:trHeight w:val="149"/>
        </w:trPr>
        <w:tc>
          <w:tcPr>
            <w:tcW w:w="2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Mauser Holdings, Inc.</w:t>
            </w:r>
          </w:p>
        </w:tc>
        <w:tc>
          <w:tcPr>
            <w:tcW w:w="224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Containers/Glass Products</w:t>
            </w:r>
          </w:p>
        </w:tc>
        <w:tc>
          <w:tcPr>
            <w:tcW w:w="22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Term Loan</w:t>
            </w:r>
          </w:p>
        </w:tc>
        <w:tc>
          <w:tcPr>
            <w:tcW w:w="60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Loan</w:t>
            </w:r>
          </w:p>
        </w:tc>
        <w:tc>
          <w:tcPr>
            <w:tcW w:w="68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4.50%</w:t>
            </w:r>
          </w:p>
        </w:tc>
        <w:tc>
          <w:tcPr>
            <w:tcW w:w="8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7/31/2021</w:t>
            </w:r>
          </w:p>
        </w:tc>
        <w:tc>
          <w:tcPr>
            <w:tcW w:w="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495,000</w:t>
            </w:r>
          </w:p>
        </w:tc>
        <w:tc>
          <w:tcPr>
            <w:tcW w:w="9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492,925</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483,452</w:t>
            </w:r>
          </w:p>
        </w:tc>
      </w:tr>
      <w:tr>
        <w:trPr>
          <w:trHeight w:val="149"/>
        </w:trPr>
        <w:tc>
          <w:tcPr>
            <w:tcW w:w="2220" w:type="dxa"/>
            <w:vAlign w:val="bottom"/>
          </w:tcPr>
          <w:p>
            <w:pPr>
              <w:spacing w:after="0" w:line="149" w:lineRule="exact"/>
              <w:rPr>
                <w:sz w:val="20"/>
                <w:szCs w:val="20"/>
                <w:color w:val="auto"/>
              </w:rPr>
            </w:pPr>
            <w:r>
              <w:rPr>
                <w:rFonts w:ascii="Arial" w:cs="Arial" w:eastAsia="Arial" w:hAnsi="Arial"/>
                <w:sz w:val="14"/>
                <w:szCs w:val="14"/>
                <w:color w:val="auto"/>
              </w:rPr>
              <w:t>Michaels Stores, Inc.</w:t>
            </w:r>
          </w:p>
        </w:tc>
        <w:tc>
          <w:tcPr>
            <w:tcW w:w="2240" w:type="dxa"/>
            <w:vAlign w:val="bottom"/>
          </w:tcPr>
          <w:p>
            <w:pPr>
              <w:ind w:left="80"/>
              <w:spacing w:after="0" w:line="149" w:lineRule="exact"/>
              <w:rPr>
                <w:sz w:val="20"/>
                <w:szCs w:val="20"/>
                <w:color w:val="auto"/>
              </w:rPr>
            </w:pPr>
            <w:r>
              <w:rPr>
                <w:rFonts w:ascii="Arial" w:cs="Arial" w:eastAsia="Arial" w:hAnsi="Arial"/>
                <w:sz w:val="14"/>
                <w:szCs w:val="14"/>
                <w:color w:val="auto"/>
                <w:w w:val="99"/>
              </w:rPr>
              <w:t>Retailers (Except Food and Drugs)</w:t>
            </w:r>
          </w:p>
        </w:tc>
        <w:tc>
          <w:tcPr>
            <w:tcW w:w="2280" w:type="dxa"/>
            <w:vAlign w:val="bottom"/>
          </w:tcPr>
          <w:p>
            <w:pPr>
              <w:ind w:left="200"/>
              <w:spacing w:after="0" w:line="149" w:lineRule="exact"/>
              <w:rPr>
                <w:sz w:val="20"/>
                <w:szCs w:val="20"/>
                <w:color w:val="auto"/>
              </w:rPr>
            </w:pPr>
            <w:r>
              <w:rPr>
                <w:rFonts w:ascii="Arial" w:cs="Arial" w:eastAsia="Arial" w:hAnsi="Arial"/>
                <w:sz w:val="14"/>
                <w:szCs w:val="14"/>
                <w:color w:val="auto"/>
              </w:rPr>
              <w:t>Term B Loan</w:t>
            </w:r>
          </w:p>
        </w:tc>
        <w:tc>
          <w:tcPr>
            <w:tcW w:w="600" w:type="dxa"/>
            <w:vAlign w:val="bottom"/>
          </w:tcPr>
          <w:p>
            <w:pPr>
              <w:ind w:left="80"/>
              <w:spacing w:after="0" w:line="149" w:lineRule="exact"/>
              <w:rPr>
                <w:sz w:val="20"/>
                <w:szCs w:val="20"/>
                <w:color w:val="auto"/>
              </w:rPr>
            </w:pPr>
            <w:r>
              <w:rPr>
                <w:rFonts w:ascii="Arial" w:cs="Arial" w:eastAsia="Arial" w:hAnsi="Arial"/>
                <w:sz w:val="14"/>
                <w:szCs w:val="14"/>
                <w:color w:val="auto"/>
              </w:rPr>
              <w:t>Loan</w:t>
            </w:r>
          </w:p>
        </w:tc>
        <w:tc>
          <w:tcPr>
            <w:tcW w:w="680" w:type="dxa"/>
            <w:vAlign w:val="bottom"/>
          </w:tcPr>
          <w:p>
            <w:pPr>
              <w:jc w:val="right"/>
              <w:ind w:right="32"/>
              <w:spacing w:after="0" w:line="149" w:lineRule="exact"/>
              <w:rPr>
                <w:sz w:val="20"/>
                <w:szCs w:val="20"/>
                <w:color w:val="auto"/>
              </w:rPr>
            </w:pPr>
            <w:r>
              <w:rPr>
                <w:rFonts w:ascii="Arial" w:cs="Arial" w:eastAsia="Arial" w:hAnsi="Arial"/>
                <w:sz w:val="14"/>
                <w:szCs w:val="14"/>
                <w:color w:val="auto"/>
              </w:rPr>
              <w:t>3.75%</w:t>
            </w:r>
          </w:p>
        </w:tc>
        <w:tc>
          <w:tcPr>
            <w:tcW w:w="8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1/28/2020</w:t>
            </w:r>
          </w:p>
        </w:tc>
        <w:tc>
          <w:tcPr>
            <w:tcW w:w="1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487,500</w:t>
            </w:r>
          </w:p>
        </w:tc>
        <w:tc>
          <w:tcPr>
            <w:tcW w:w="9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487,500</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482,279</w:t>
            </w:r>
          </w:p>
        </w:tc>
      </w:tr>
      <w:tr>
        <w:trPr>
          <w:trHeight w:val="149"/>
        </w:trPr>
        <w:tc>
          <w:tcPr>
            <w:tcW w:w="2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Michaels Stores, Inc.</w:t>
            </w:r>
          </w:p>
        </w:tc>
        <w:tc>
          <w:tcPr>
            <w:tcW w:w="224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w w:val="99"/>
              </w:rPr>
              <w:t>Retailers (Except Food and Drugs)</w:t>
            </w:r>
          </w:p>
        </w:tc>
        <w:tc>
          <w:tcPr>
            <w:tcW w:w="22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Term Loan B-2</w:t>
            </w:r>
          </w:p>
        </w:tc>
        <w:tc>
          <w:tcPr>
            <w:tcW w:w="60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Loan</w:t>
            </w:r>
          </w:p>
        </w:tc>
        <w:tc>
          <w:tcPr>
            <w:tcW w:w="68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4.00%</w:t>
            </w:r>
          </w:p>
        </w:tc>
        <w:tc>
          <w:tcPr>
            <w:tcW w:w="8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1/28/2020</w:t>
            </w:r>
          </w:p>
        </w:tc>
        <w:tc>
          <w:tcPr>
            <w:tcW w:w="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w w:val="83"/>
              </w:rPr>
              <w:t>1,481,250</w:t>
            </w:r>
          </w:p>
        </w:tc>
        <w:tc>
          <w:tcPr>
            <w:tcW w:w="9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1,475,374</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1,470,141</w:t>
            </w:r>
          </w:p>
        </w:tc>
      </w:tr>
      <w:tr>
        <w:trPr>
          <w:trHeight w:val="149"/>
        </w:trPr>
        <w:tc>
          <w:tcPr>
            <w:tcW w:w="2220" w:type="dxa"/>
            <w:vAlign w:val="bottom"/>
          </w:tcPr>
          <w:p>
            <w:pPr>
              <w:spacing w:after="0" w:line="149" w:lineRule="exact"/>
              <w:rPr>
                <w:sz w:val="20"/>
                <w:szCs w:val="20"/>
                <w:color w:val="auto"/>
              </w:rPr>
            </w:pPr>
            <w:r>
              <w:rPr>
                <w:rFonts w:ascii="Arial" w:cs="Arial" w:eastAsia="Arial" w:hAnsi="Arial"/>
                <w:sz w:val="14"/>
                <w:szCs w:val="14"/>
                <w:color w:val="auto"/>
              </w:rPr>
              <w:t>Micro Holding Corp.</w:t>
            </w:r>
          </w:p>
        </w:tc>
        <w:tc>
          <w:tcPr>
            <w:tcW w:w="2240" w:type="dxa"/>
            <w:vAlign w:val="bottom"/>
          </w:tcPr>
          <w:p>
            <w:pPr>
              <w:ind w:left="80"/>
              <w:spacing w:after="0" w:line="149" w:lineRule="exact"/>
              <w:rPr>
                <w:sz w:val="20"/>
                <w:szCs w:val="20"/>
                <w:color w:val="auto"/>
              </w:rPr>
            </w:pPr>
            <w:r>
              <w:rPr>
                <w:rFonts w:ascii="Arial" w:cs="Arial" w:eastAsia="Arial" w:hAnsi="Arial"/>
                <w:sz w:val="14"/>
                <w:szCs w:val="14"/>
                <w:color w:val="auto"/>
              </w:rPr>
              <w:t>High Tech Industries</w:t>
            </w:r>
          </w:p>
        </w:tc>
        <w:tc>
          <w:tcPr>
            <w:tcW w:w="2280" w:type="dxa"/>
            <w:vAlign w:val="bottom"/>
          </w:tcPr>
          <w:p>
            <w:pPr>
              <w:ind w:left="200"/>
              <w:spacing w:after="0" w:line="149" w:lineRule="exact"/>
              <w:rPr>
                <w:sz w:val="20"/>
                <w:szCs w:val="20"/>
                <w:color w:val="auto"/>
              </w:rPr>
            </w:pPr>
            <w:r>
              <w:rPr>
                <w:rFonts w:ascii="Arial" w:cs="Arial" w:eastAsia="Arial" w:hAnsi="Arial"/>
                <w:sz w:val="14"/>
                <w:szCs w:val="14"/>
                <w:color w:val="auto"/>
              </w:rPr>
              <w:t>Term Loan</w:t>
            </w:r>
          </w:p>
        </w:tc>
        <w:tc>
          <w:tcPr>
            <w:tcW w:w="600" w:type="dxa"/>
            <w:vAlign w:val="bottom"/>
          </w:tcPr>
          <w:p>
            <w:pPr>
              <w:ind w:left="80"/>
              <w:spacing w:after="0" w:line="149" w:lineRule="exact"/>
              <w:rPr>
                <w:sz w:val="20"/>
                <w:szCs w:val="20"/>
                <w:color w:val="auto"/>
              </w:rPr>
            </w:pPr>
            <w:r>
              <w:rPr>
                <w:rFonts w:ascii="Arial" w:cs="Arial" w:eastAsia="Arial" w:hAnsi="Arial"/>
                <w:sz w:val="14"/>
                <w:szCs w:val="14"/>
                <w:color w:val="auto"/>
              </w:rPr>
              <w:t>Loan</w:t>
            </w:r>
          </w:p>
        </w:tc>
        <w:tc>
          <w:tcPr>
            <w:tcW w:w="680" w:type="dxa"/>
            <w:vAlign w:val="bottom"/>
          </w:tcPr>
          <w:p>
            <w:pPr>
              <w:jc w:val="right"/>
              <w:ind w:right="32"/>
              <w:spacing w:after="0" w:line="149" w:lineRule="exact"/>
              <w:rPr>
                <w:sz w:val="20"/>
                <w:szCs w:val="20"/>
                <w:color w:val="auto"/>
              </w:rPr>
            </w:pPr>
            <w:r>
              <w:rPr>
                <w:rFonts w:ascii="Arial" w:cs="Arial" w:eastAsia="Arial" w:hAnsi="Arial"/>
                <w:sz w:val="14"/>
                <w:szCs w:val="14"/>
                <w:color w:val="auto"/>
              </w:rPr>
              <w:t>4.75%</w:t>
            </w:r>
          </w:p>
        </w:tc>
        <w:tc>
          <w:tcPr>
            <w:tcW w:w="8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7/8/2021</w:t>
            </w:r>
          </w:p>
        </w:tc>
        <w:tc>
          <w:tcPr>
            <w:tcW w:w="1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994,964</w:t>
            </w:r>
          </w:p>
        </w:tc>
        <w:tc>
          <w:tcPr>
            <w:tcW w:w="9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990,193</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979,214</w:t>
            </w:r>
          </w:p>
        </w:tc>
      </w:tr>
      <w:tr>
        <w:trPr>
          <w:trHeight w:val="149"/>
        </w:trPr>
        <w:tc>
          <w:tcPr>
            <w:tcW w:w="2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Microsemi Corporation</w:t>
            </w:r>
          </w:p>
        </w:tc>
        <w:tc>
          <w:tcPr>
            <w:tcW w:w="224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Electronics/Electric</w:t>
            </w:r>
          </w:p>
        </w:tc>
        <w:tc>
          <w:tcPr>
            <w:tcW w:w="22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Incremental Term Loan</w:t>
            </w:r>
          </w:p>
        </w:tc>
        <w:tc>
          <w:tcPr>
            <w:tcW w:w="60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Loan</w:t>
            </w:r>
          </w:p>
        </w:tc>
        <w:tc>
          <w:tcPr>
            <w:tcW w:w="68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3.25%</w:t>
            </w:r>
          </w:p>
        </w:tc>
        <w:tc>
          <w:tcPr>
            <w:tcW w:w="8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2/19/2020</w:t>
            </w:r>
          </w:p>
        </w:tc>
        <w:tc>
          <w:tcPr>
            <w:tcW w:w="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w w:val="83"/>
              </w:rPr>
              <w:t>2,122,318</w:t>
            </w:r>
          </w:p>
        </w:tc>
        <w:tc>
          <w:tcPr>
            <w:tcW w:w="9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2,118,346</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2,104,639</w:t>
            </w:r>
          </w:p>
        </w:tc>
      </w:tr>
      <w:tr>
        <w:trPr>
          <w:trHeight w:val="149"/>
        </w:trPr>
        <w:tc>
          <w:tcPr>
            <w:tcW w:w="2220" w:type="dxa"/>
            <w:vAlign w:val="bottom"/>
          </w:tcPr>
          <w:p>
            <w:pPr>
              <w:spacing w:after="0" w:line="149" w:lineRule="exact"/>
              <w:rPr>
                <w:sz w:val="20"/>
                <w:szCs w:val="20"/>
                <w:color w:val="auto"/>
              </w:rPr>
            </w:pPr>
            <w:r>
              <w:rPr>
                <w:rFonts w:ascii="Arial" w:cs="Arial" w:eastAsia="Arial" w:hAnsi="Arial"/>
                <w:sz w:val="14"/>
                <w:szCs w:val="14"/>
                <w:color w:val="auto"/>
              </w:rPr>
              <w:t>Midas Intermediate Holdco II, LLC</w:t>
            </w:r>
          </w:p>
        </w:tc>
        <w:tc>
          <w:tcPr>
            <w:tcW w:w="2240" w:type="dxa"/>
            <w:vAlign w:val="bottom"/>
          </w:tcPr>
          <w:p>
            <w:pPr>
              <w:ind w:left="80"/>
              <w:spacing w:after="0" w:line="149" w:lineRule="exact"/>
              <w:rPr>
                <w:sz w:val="20"/>
                <w:szCs w:val="20"/>
                <w:color w:val="auto"/>
              </w:rPr>
            </w:pPr>
            <w:r>
              <w:rPr>
                <w:rFonts w:ascii="Arial" w:cs="Arial" w:eastAsia="Arial" w:hAnsi="Arial"/>
                <w:sz w:val="14"/>
                <w:szCs w:val="14"/>
                <w:color w:val="auto"/>
              </w:rPr>
              <w:t>Automotive</w:t>
            </w:r>
          </w:p>
        </w:tc>
        <w:tc>
          <w:tcPr>
            <w:tcW w:w="2280" w:type="dxa"/>
            <w:vAlign w:val="bottom"/>
          </w:tcPr>
          <w:p>
            <w:pPr>
              <w:ind w:left="200"/>
              <w:spacing w:after="0" w:line="149" w:lineRule="exact"/>
              <w:rPr>
                <w:sz w:val="20"/>
                <w:szCs w:val="20"/>
                <w:color w:val="auto"/>
              </w:rPr>
            </w:pPr>
            <w:r>
              <w:rPr>
                <w:rFonts w:ascii="Arial" w:cs="Arial" w:eastAsia="Arial" w:hAnsi="Arial"/>
                <w:sz w:val="14"/>
                <w:szCs w:val="14"/>
                <w:color w:val="auto"/>
              </w:rPr>
              <w:t>Term Loan (Initial)</w:t>
            </w:r>
          </w:p>
        </w:tc>
        <w:tc>
          <w:tcPr>
            <w:tcW w:w="600" w:type="dxa"/>
            <w:vAlign w:val="bottom"/>
          </w:tcPr>
          <w:p>
            <w:pPr>
              <w:ind w:left="80"/>
              <w:spacing w:after="0" w:line="149" w:lineRule="exact"/>
              <w:rPr>
                <w:sz w:val="20"/>
                <w:szCs w:val="20"/>
                <w:color w:val="auto"/>
              </w:rPr>
            </w:pPr>
            <w:r>
              <w:rPr>
                <w:rFonts w:ascii="Arial" w:cs="Arial" w:eastAsia="Arial" w:hAnsi="Arial"/>
                <w:sz w:val="14"/>
                <w:szCs w:val="14"/>
                <w:color w:val="auto"/>
              </w:rPr>
              <w:t>Loan</w:t>
            </w:r>
          </w:p>
        </w:tc>
        <w:tc>
          <w:tcPr>
            <w:tcW w:w="680" w:type="dxa"/>
            <w:vAlign w:val="bottom"/>
          </w:tcPr>
          <w:p>
            <w:pPr>
              <w:jc w:val="right"/>
              <w:ind w:right="32"/>
              <w:spacing w:after="0" w:line="149" w:lineRule="exact"/>
              <w:rPr>
                <w:sz w:val="20"/>
                <w:szCs w:val="20"/>
                <w:color w:val="auto"/>
              </w:rPr>
            </w:pPr>
            <w:r>
              <w:rPr>
                <w:rFonts w:ascii="Arial" w:cs="Arial" w:eastAsia="Arial" w:hAnsi="Arial"/>
                <w:sz w:val="14"/>
                <w:szCs w:val="14"/>
                <w:color w:val="auto"/>
              </w:rPr>
              <w:t>4.50%</w:t>
            </w:r>
          </w:p>
        </w:tc>
        <w:tc>
          <w:tcPr>
            <w:tcW w:w="8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8/18/2021</w:t>
            </w:r>
          </w:p>
        </w:tc>
        <w:tc>
          <w:tcPr>
            <w:tcW w:w="1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247,500</w:t>
            </w:r>
          </w:p>
        </w:tc>
        <w:tc>
          <w:tcPr>
            <w:tcW w:w="9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246,335</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244,872</w:t>
            </w:r>
          </w:p>
        </w:tc>
      </w:tr>
      <w:tr>
        <w:trPr>
          <w:trHeight w:val="149"/>
        </w:trPr>
        <w:tc>
          <w:tcPr>
            <w:tcW w:w="2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Millenium Laboratories, LLC</w:t>
            </w:r>
          </w:p>
        </w:tc>
        <w:tc>
          <w:tcPr>
            <w:tcW w:w="224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Drugs</w:t>
            </w:r>
          </w:p>
        </w:tc>
        <w:tc>
          <w:tcPr>
            <w:tcW w:w="22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Term Loan</w:t>
            </w:r>
          </w:p>
        </w:tc>
        <w:tc>
          <w:tcPr>
            <w:tcW w:w="60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Loan</w:t>
            </w:r>
          </w:p>
        </w:tc>
        <w:tc>
          <w:tcPr>
            <w:tcW w:w="68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5.25%</w:t>
            </w:r>
          </w:p>
        </w:tc>
        <w:tc>
          <w:tcPr>
            <w:tcW w:w="8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4/16/2021</w:t>
            </w:r>
          </w:p>
        </w:tc>
        <w:tc>
          <w:tcPr>
            <w:tcW w:w="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w w:val="83"/>
              </w:rPr>
              <w:t>1,481,250</w:t>
            </w:r>
          </w:p>
        </w:tc>
        <w:tc>
          <w:tcPr>
            <w:tcW w:w="9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1,469,254</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595,463</w:t>
            </w:r>
          </w:p>
        </w:tc>
      </w:tr>
      <w:tr>
        <w:trPr>
          <w:trHeight w:val="149"/>
        </w:trPr>
        <w:tc>
          <w:tcPr>
            <w:tcW w:w="2220" w:type="dxa"/>
            <w:vAlign w:val="bottom"/>
          </w:tcPr>
          <w:p>
            <w:pPr>
              <w:spacing w:after="0" w:line="149" w:lineRule="exact"/>
              <w:rPr>
                <w:sz w:val="20"/>
                <w:szCs w:val="20"/>
                <w:color w:val="auto"/>
              </w:rPr>
            </w:pPr>
            <w:r>
              <w:rPr>
                <w:rFonts w:ascii="Arial" w:cs="Arial" w:eastAsia="Arial" w:hAnsi="Arial"/>
                <w:sz w:val="14"/>
                <w:szCs w:val="14"/>
                <w:color w:val="auto"/>
              </w:rPr>
              <w:t>MPH Acquisition Holdings LLC</w:t>
            </w:r>
          </w:p>
        </w:tc>
        <w:tc>
          <w:tcPr>
            <w:tcW w:w="2240" w:type="dxa"/>
            <w:vAlign w:val="bottom"/>
          </w:tcPr>
          <w:p>
            <w:pPr>
              <w:ind w:left="80"/>
              <w:spacing w:after="0" w:line="149" w:lineRule="exact"/>
              <w:rPr>
                <w:sz w:val="20"/>
                <w:szCs w:val="20"/>
                <w:color w:val="auto"/>
              </w:rPr>
            </w:pPr>
            <w:r>
              <w:rPr>
                <w:rFonts w:ascii="Arial" w:cs="Arial" w:eastAsia="Arial" w:hAnsi="Arial"/>
                <w:sz w:val="14"/>
                <w:szCs w:val="14"/>
                <w:color w:val="auto"/>
              </w:rPr>
              <w:t>Healthcare &amp; Pharmaceuticals</w:t>
            </w:r>
          </w:p>
        </w:tc>
        <w:tc>
          <w:tcPr>
            <w:tcW w:w="2280" w:type="dxa"/>
            <w:vAlign w:val="bottom"/>
          </w:tcPr>
          <w:p>
            <w:pPr>
              <w:ind w:left="200"/>
              <w:spacing w:after="0" w:line="149" w:lineRule="exact"/>
              <w:rPr>
                <w:sz w:val="20"/>
                <w:szCs w:val="20"/>
                <w:color w:val="auto"/>
              </w:rPr>
            </w:pPr>
            <w:r>
              <w:rPr>
                <w:rFonts w:ascii="Arial" w:cs="Arial" w:eastAsia="Arial" w:hAnsi="Arial"/>
                <w:sz w:val="14"/>
                <w:szCs w:val="14"/>
                <w:color w:val="auto"/>
              </w:rPr>
              <w:t>Term Loan</w:t>
            </w:r>
          </w:p>
        </w:tc>
        <w:tc>
          <w:tcPr>
            <w:tcW w:w="600" w:type="dxa"/>
            <w:vAlign w:val="bottom"/>
          </w:tcPr>
          <w:p>
            <w:pPr>
              <w:ind w:left="80"/>
              <w:spacing w:after="0" w:line="149" w:lineRule="exact"/>
              <w:rPr>
                <w:sz w:val="20"/>
                <w:szCs w:val="20"/>
                <w:color w:val="auto"/>
              </w:rPr>
            </w:pPr>
            <w:r>
              <w:rPr>
                <w:rFonts w:ascii="Arial" w:cs="Arial" w:eastAsia="Arial" w:hAnsi="Arial"/>
                <w:sz w:val="14"/>
                <w:szCs w:val="14"/>
                <w:color w:val="auto"/>
              </w:rPr>
              <w:t>Loan</w:t>
            </w:r>
          </w:p>
        </w:tc>
        <w:tc>
          <w:tcPr>
            <w:tcW w:w="680" w:type="dxa"/>
            <w:vAlign w:val="bottom"/>
          </w:tcPr>
          <w:p>
            <w:pPr>
              <w:jc w:val="right"/>
              <w:ind w:right="32"/>
              <w:spacing w:after="0" w:line="149" w:lineRule="exact"/>
              <w:rPr>
                <w:sz w:val="20"/>
                <w:szCs w:val="20"/>
                <w:color w:val="auto"/>
              </w:rPr>
            </w:pPr>
            <w:r>
              <w:rPr>
                <w:rFonts w:ascii="Arial" w:cs="Arial" w:eastAsia="Arial" w:hAnsi="Arial"/>
                <w:sz w:val="14"/>
                <w:szCs w:val="14"/>
                <w:color w:val="auto"/>
              </w:rPr>
              <w:t>3.75%</w:t>
            </w:r>
          </w:p>
        </w:tc>
        <w:tc>
          <w:tcPr>
            <w:tcW w:w="8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3/31/2021</w:t>
            </w:r>
          </w:p>
        </w:tc>
        <w:tc>
          <w:tcPr>
            <w:tcW w:w="1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393,182</w:t>
            </w:r>
          </w:p>
        </w:tc>
        <w:tc>
          <w:tcPr>
            <w:tcW w:w="9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392,372</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381,976</w:t>
            </w:r>
          </w:p>
        </w:tc>
      </w:tr>
      <w:tr>
        <w:trPr>
          <w:trHeight w:val="149"/>
        </w:trPr>
        <w:tc>
          <w:tcPr>
            <w:tcW w:w="2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MSC Software Corp.</w:t>
            </w:r>
          </w:p>
        </w:tc>
        <w:tc>
          <w:tcPr>
            <w:tcW w:w="224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Services: Business</w:t>
            </w:r>
          </w:p>
        </w:tc>
        <w:tc>
          <w:tcPr>
            <w:tcW w:w="22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Term Loan</w:t>
            </w:r>
          </w:p>
        </w:tc>
        <w:tc>
          <w:tcPr>
            <w:tcW w:w="60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Loan</w:t>
            </w:r>
          </w:p>
        </w:tc>
        <w:tc>
          <w:tcPr>
            <w:tcW w:w="68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5.00%</w:t>
            </w:r>
          </w:p>
        </w:tc>
        <w:tc>
          <w:tcPr>
            <w:tcW w:w="8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5/29/2020</w:t>
            </w:r>
          </w:p>
        </w:tc>
        <w:tc>
          <w:tcPr>
            <w:tcW w:w="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987,500</w:t>
            </w:r>
          </w:p>
        </w:tc>
        <w:tc>
          <w:tcPr>
            <w:tcW w:w="9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979,731</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968,984</w:t>
            </w:r>
          </w:p>
        </w:tc>
      </w:tr>
      <w:tr>
        <w:trPr>
          <w:trHeight w:val="149"/>
        </w:trPr>
        <w:tc>
          <w:tcPr>
            <w:tcW w:w="2220" w:type="dxa"/>
            <w:vAlign w:val="bottom"/>
          </w:tcPr>
          <w:p>
            <w:pPr>
              <w:spacing w:after="0" w:line="149" w:lineRule="exact"/>
              <w:rPr>
                <w:sz w:val="20"/>
                <w:szCs w:val="20"/>
                <w:color w:val="auto"/>
              </w:rPr>
            </w:pPr>
            <w:r>
              <w:rPr>
                <w:rFonts w:ascii="Arial" w:cs="Arial" w:eastAsia="Arial" w:hAnsi="Arial"/>
                <w:sz w:val="14"/>
                <w:szCs w:val="14"/>
                <w:color w:val="auto"/>
              </w:rPr>
              <w:t>National Veterinary Associates, Inc</w:t>
            </w:r>
          </w:p>
        </w:tc>
        <w:tc>
          <w:tcPr>
            <w:tcW w:w="2240" w:type="dxa"/>
            <w:vAlign w:val="bottom"/>
          </w:tcPr>
          <w:p>
            <w:pPr>
              <w:ind w:left="80"/>
              <w:spacing w:after="0" w:line="149" w:lineRule="exact"/>
              <w:rPr>
                <w:sz w:val="20"/>
                <w:szCs w:val="20"/>
                <w:color w:val="auto"/>
              </w:rPr>
            </w:pPr>
            <w:r>
              <w:rPr>
                <w:rFonts w:ascii="Arial" w:cs="Arial" w:eastAsia="Arial" w:hAnsi="Arial"/>
                <w:sz w:val="14"/>
                <w:szCs w:val="14"/>
                <w:color w:val="auto"/>
              </w:rPr>
              <w:t>Healthcare &amp; Pharmaceuticals</w:t>
            </w:r>
          </w:p>
        </w:tc>
        <w:tc>
          <w:tcPr>
            <w:tcW w:w="2280" w:type="dxa"/>
            <w:vAlign w:val="bottom"/>
          </w:tcPr>
          <w:p>
            <w:pPr>
              <w:ind w:left="200"/>
              <w:spacing w:after="0" w:line="149" w:lineRule="exact"/>
              <w:rPr>
                <w:sz w:val="20"/>
                <w:szCs w:val="20"/>
                <w:color w:val="auto"/>
              </w:rPr>
            </w:pPr>
            <w:r>
              <w:rPr>
                <w:rFonts w:ascii="Arial" w:cs="Arial" w:eastAsia="Arial" w:hAnsi="Arial"/>
                <w:sz w:val="14"/>
                <w:szCs w:val="14"/>
                <w:color w:val="auto"/>
              </w:rPr>
              <w:t>Term Loan B</w:t>
            </w:r>
          </w:p>
        </w:tc>
        <w:tc>
          <w:tcPr>
            <w:tcW w:w="600" w:type="dxa"/>
            <w:vAlign w:val="bottom"/>
          </w:tcPr>
          <w:p>
            <w:pPr>
              <w:ind w:left="80"/>
              <w:spacing w:after="0" w:line="149" w:lineRule="exact"/>
              <w:rPr>
                <w:sz w:val="20"/>
                <w:szCs w:val="20"/>
                <w:color w:val="auto"/>
              </w:rPr>
            </w:pPr>
            <w:r>
              <w:rPr>
                <w:rFonts w:ascii="Arial" w:cs="Arial" w:eastAsia="Arial" w:hAnsi="Arial"/>
                <w:sz w:val="14"/>
                <w:szCs w:val="14"/>
                <w:color w:val="auto"/>
              </w:rPr>
              <w:t>Loan</w:t>
            </w:r>
          </w:p>
        </w:tc>
        <w:tc>
          <w:tcPr>
            <w:tcW w:w="680" w:type="dxa"/>
            <w:vAlign w:val="bottom"/>
          </w:tcPr>
          <w:p>
            <w:pPr>
              <w:jc w:val="right"/>
              <w:ind w:right="32"/>
              <w:spacing w:after="0" w:line="149" w:lineRule="exact"/>
              <w:rPr>
                <w:sz w:val="20"/>
                <w:szCs w:val="20"/>
                <w:color w:val="auto"/>
              </w:rPr>
            </w:pPr>
            <w:r>
              <w:rPr>
                <w:rFonts w:ascii="Arial" w:cs="Arial" w:eastAsia="Arial" w:hAnsi="Arial"/>
                <w:sz w:val="14"/>
                <w:szCs w:val="14"/>
                <w:color w:val="auto"/>
              </w:rPr>
              <w:t>4.75%</w:t>
            </w:r>
          </w:p>
        </w:tc>
        <w:tc>
          <w:tcPr>
            <w:tcW w:w="8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8/14/2021</w:t>
            </w:r>
          </w:p>
        </w:tc>
        <w:tc>
          <w:tcPr>
            <w:tcW w:w="1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990,022</w:t>
            </w:r>
          </w:p>
        </w:tc>
        <w:tc>
          <w:tcPr>
            <w:tcW w:w="9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986,662</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987,547</w:t>
            </w:r>
          </w:p>
        </w:tc>
      </w:tr>
      <w:tr>
        <w:trPr>
          <w:trHeight w:val="149"/>
        </w:trPr>
        <w:tc>
          <w:tcPr>
            <w:tcW w:w="2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National Vision, Inc.</w:t>
            </w:r>
          </w:p>
        </w:tc>
        <w:tc>
          <w:tcPr>
            <w:tcW w:w="224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w w:val="99"/>
              </w:rPr>
              <w:t>Retailers (Except Food and Drugs)</w:t>
            </w:r>
          </w:p>
        </w:tc>
        <w:tc>
          <w:tcPr>
            <w:tcW w:w="22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Term Loan (Second Lien)</w:t>
            </w:r>
          </w:p>
        </w:tc>
        <w:tc>
          <w:tcPr>
            <w:tcW w:w="60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Loan</w:t>
            </w:r>
          </w:p>
        </w:tc>
        <w:tc>
          <w:tcPr>
            <w:tcW w:w="68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6.75%</w:t>
            </w:r>
          </w:p>
        </w:tc>
        <w:tc>
          <w:tcPr>
            <w:tcW w:w="8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3/11/2022</w:t>
            </w:r>
          </w:p>
        </w:tc>
        <w:tc>
          <w:tcPr>
            <w:tcW w:w="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250,000</w:t>
            </w:r>
          </w:p>
        </w:tc>
        <w:tc>
          <w:tcPr>
            <w:tcW w:w="9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249,728</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240,000</w:t>
            </w:r>
          </w:p>
        </w:tc>
      </w:tr>
      <w:tr>
        <w:trPr>
          <w:trHeight w:val="149"/>
        </w:trPr>
        <w:tc>
          <w:tcPr>
            <w:tcW w:w="2220" w:type="dxa"/>
            <w:vAlign w:val="bottom"/>
          </w:tcPr>
          <w:p>
            <w:pPr>
              <w:spacing w:after="0" w:line="149" w:lineRule="exact"/>
              <w:rPr>
                <w:sz w:val="20"/>
                <w:szCs w:val="20"/>
                <w:color w:val="auto"/>
              </w:rPr>
            </w:pPr>
            <w:r>
              <w:rPr>
                <w:rFonts w:ascii="Arial" w:cs="Arial" w:eastAsia="Arial" w:hAnsi="Arial"/>
                <w:sz w:val="14"/>
                <w:szCs w:val="14"/>
                <w:color w:val="auto"/>
              </w:rPr>
              <w:t>Neptune Finco (CSC Holdings)</w:t>
            </w:r>
          </w:p>
        </w:tc>
        <w:tc>
          <w:tcPr>
            <w:tcW w:w="2240" w:type="dxa"/>
            <w:vAlign w:val="bottom"/>
          </w:tcPr>
          <w:p>
            <w:pPr>
              <w:ind w:left="80"/>
              <w:spacing w:after="0" w:line="149" w:lineRule="exact"/>
              <w:rPr>
                <w:sz w:val="20"/>
                <w:szCs w:val="20"/>
                <w:color w:val="auto"/>
              </w:rPr>
            </w:pPr>
            <w:r>
              <w:rPr>
                <w:rFonts w:ascii="Arial" w:cs="Arial" w:eastAsia="Arial" w:hAnsi="Arial"/>
                <w:sz w:val="14"/>
                <w:szCs w:val="14"/>
                <w:color w:val="auto"/>
              </w:rPr>
              <w:t>Cable and Satellite Television</w:t>
            </w:r>
          </w:p>
        </w:tc>
        <w:tc>
          <w:tcPr>
            <w:tcW w:w="2280" w:type="dxa"/>
            <w:vAlign w:val="bottom"/>
          </w:tcPr>
          <w:p>
            <w:pPr>
              <w:ind w:left="200"/>
              <w:spacing w:after="0" w:line="149" w:lineRule="exact"/>
              <w:rPr>
                <w:sz w:val="20"/>
                <w:szCs w:val="20"/>
                <w:color w:val="auto"/>
              </w:rPr>
            </w:pPr>
            <w:r>
              <w:rPr>
                <w:rFonts w:ascii="Arial" w:cs="Arial" w:eastAsia="Arial" w:hAnsi="Arial"/>
                <w:sz w:val="14"/>
                <w:szCs w:val="14"/>
                <w:color w:val="auto"/>
              </w:rPr>
              <w:t>Term Loan</w:t>
            </w:r>
          </w:p>
        </w:tc>
        <w:tc>
          <w:tcPr>
            <w:tcW w:w="600" w:type="dxa"/>
            <w:vAlign w:val="bottom"/>
          </w:tcPr>
          <w:p>
            <w:pPr>
              <w:ind w:left="80"/>
              <w:spacing w:after="0" w:line="149" w:lineRule="exact"/>
              <w:rPr>
                <w:sz w:val="20"/>
                <w:szCs w:val="20"/>
                <w:color w:val="auto"/>
              </w:rPr>
            </w:pPr>
            <w:r>
              <w:rPr>
                <w:rFonts w:ascii="Arial" w:cs="Arial" w:eastAsia="Arial" w:hAnsi="Arial"/>
                <w:sz w:val="14"/>
                <w:szCs w:val="14"/>
                <w:color w:val="auto"/>
              </w:rPr>
              <w:t>Loan</w:t>
            </w:r>
          </w:p>
        </w:tc>
        <w:tc>
          <w:tcPr>
            <w:tcW w:w="680" w:type="dxa"/>
            <w:vAlign w:val="bottom"/>
          </w:tcPr>
          <w:p>
            <w:pPr>
              <w:jc w:val="right"/>
              <w:ind w:right="32"/>
              <w:spacing w:after="0" w:line="149" w:lineRule="exact"/>
              <w:rPr>
                <w:sz w:val="20"/>
                <w:szCs w:val="20"/>
                <w:color w:val="auto"/>
              </w:rPr>
            </w:pPr>
            <w:r>
              <w:rPr>
                <w:rFonts w:ascii="Arial" w:cs="Arial" w:eastAsia="Arial" w:hAnsi="Arial"/>
                <w:sz w:val="14"/>
                <w:szCs w:val="14"/>
                <w:color w:val="auto"/>
              </w:rPr>
              <w:t>5.00%</w:t>
            </w:r>
          </w:p>
        </w:tc>
        <w:tc>
          <w:tcPr>
            <w:tcW w:w="8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10/7/2022</w:t>
            </w:r>
          </w:p>
        </w:tc>
        <w:tc>
          <w:tcPr>
            <w:tcW w:w="1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112"/>
              <w:spacing w:after="0" w:line="149" w:lineRule="exact"/>
              <w:rPr>
                <w:sz w:val="20"/>
                <w:szCs w:val="20"/>
                <w:color w:val="auto"/>
              </w:rPr>
            </w:pPr>
            <w:r>
              <w:rPr>
                <w:rFonts w:ascii="Arial" w:cs="Arial" w:eastAsia="Arial" w:hAnsi="Arial"/>
                <w:sz w:val="14"/>
                <w:szCs w:val="14"/>
                <w:color w:val="auto"/>
                <w:w w:val="83"/>
              </w:rPr>
              <w:t>1,000,000</w:t>
            </w:r>
          </w:p>
        </w:tc>
        <w:tc>
          <w:tcPr>
            <w:tcW w:w="9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985,240</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996,610</w:t>
            </w:r>
          </w:p>
        </w:tc>
      </w:tr>
      <w:tr>
        <w:trPr>
          <w:trHeight w:val="149"/>
        </w:trPr>
        <w:tc>
          <w:tcPr>
            <w:tcW w:w="2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Newsday, LLC</w:t>
            </w:r>
          </w:p>
        </w:tc>
        <w:tc>
          <w:tcPr>
            <w:tcW w:w="224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Publishing</w:t>
            </w:r>
          </w:p>
        </w:tc>
        <w:tc>
          <w:tcPr>
            <w:tcW w:w="22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Term Loan</w:t>
            </w:r>
          </w:p>
        </w:tc>
        <w:tc>
          <w:tcPr>
            <w:tcW w:w="60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Loan</w:t>
            </w:r>
          </w:p>
        </w:tc>
        <w:tc>
          <w:tcPr>
            <w:tcW w:w="68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3.70%</w:t>
            </w:r>
          </w:p>
        </w:tc>
        <w:tc>
          <w:tcPr>
            <w:tcW w:w="8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w w:val="99"/>
              </w:rPr>
              <w:t>10/12/2016</w:t>
            </w:r>
          </w:p>
        </w:tc>
        <w:tc>
          <w:tcPr>
            <w:tcW w:w="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w w:val="83"/>
              </w:rPr>
              <w:t>2,215,385</w:t>
            </w:r>
          </w:p>
        </w:tc>
        <w:tc>
          <w:tcPr>
            <w:tcW w:w="9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2,214,802</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2,209,846</w:t>
            </w:r>
          </w:p>
        </w:tc>
      </w:tr>
      <w:tr>
        <w:trPr>
          <w:trHeight w:val="149"/>
        </w:trPr>
        <w:tc>
          <w:tcPr>
            <w:tcW w:w="2220" w:type="dxa"/>
            <w:vAlign w:val="bottom"/>
          </w:tcPr>
          <w:p>
            <w:pPr>
              <w:spacing w:after="0" w:line="149" w:lineRule="exact"/>
              <w:rPr>
                <w:sz w:val="20"/>
                <w:szCs w:val="20"/>
                <w:color w:val="auto"/>
              </w:rPr>
            </w:pPr>
            <w:r>
              <w:rPr>
                <w:rFonts w:ascii="Arial" w:cs="Arial" w:eastAsia="Arial" w:hAnsi="Arial"/>
                <w:sz w:val="14"/>
                <w:szCs w:val="14"/>
                <w:color w:val="auto"/>
              </w:rPr>
              <w:t>Nortek, Inc.</w:t>
            </w:r>
          </w:p>
        </w:tc>
        <w:tc>
          <w:tcPr>
            <w:tcW w:w="2240" w:type="dxa"/>
            <w:vAlign w:val="bottom"/>
          </w:tcPr>
          <w:p>
            <w:pPr>
              <w:ind w:left="80"/>
              <w:spacing w:after="0" w:line="149" w:lineRule="exact"/>
              <w:rPr>
                <w:sz w:val="20"/>
                <w:szCs w:val="20"/>
                <w:color w:val="auto"/>
              </w:rPr>
            </w:pPr>
            <w:r>
              <w:rPr>
                <w:rFonts w:ascii="Arial" w:cs="Arial" w:eastAsia="Arial" w:hAnsi="Arial"/>
                <w:sz w:val="14"/>
                <w:szCs w:val="14"/>
                <w:color w:val="auto"/>
              </w:rPr>
              <w:t>Electronics/Electric</w:t>
            </w:r>
          </w:p>
        </w:tc>
        <w:tc>
          <w:tcPr>
            <w:tcW w:w="2280" w:type="dxa"/>
            <w:vAlign w:val="bottom"/>
          </w:tcPr>
          <w:p>
            <w:pPr>
              <w:ind w:left="200"/>
              <w:spacing w:after="0" w:line="149" w:lineRule="exact"/>
              <w:rPr>
                <w:sz w:val="20"/>
                <w:szCs w:val="20"/>
                <w:color w:val="auto"/>
              </w:rPr>
            </w:pPr>
            <w:r>
              <w:rPr>
                <w:rFonts w:ascii="Arial" w:cs="Arial" w:eastAsia="Arial" w:hAnsi="Arial"/>
                <w:sz w:val="14"/>
                <w:szCs w:val="14"/>
                <w:color w:val="auto"/>
              </w:rPr>
              <w:t>Term Loan B</w:t>
            </w:r>
          </w:p>
        </w:tc>
        <w:tc>
          <w:tcPr>
            <w:tcW w:w="600" w:type="dxa"/>
            <w:vAlign w:val="bottom"/>
          </w:tcPr>
          <w:p>
            <w:pPr>
              <w:ind w:left="80"/>
              <w:spacing w:after="0" w:line="149" w:lineRule="exact"/>
              <w:rPr>
                <w:sz w:val="20"/>
                <w:szCs w:val="20"/>
                <w:color w:val="auto"/>
              </w:rPr>
            </w:pPr>
            <w:r>
              <w:rPr>
                <w:rFonts w:ascii="Arial" w:cs="Arial" w:eastAsia="Arial" w:hAnsi="Arial"/>
                <w:sz w:val="14"/>
                <w:szCs w:val="14"/>
                <w:color w:val="auto"/>
              </w:rPr>
              <w:t>Loan</w:t>
            </w:r>
          </w:p>
        </w:tc>
        <w:tc>
          <w:tcPr>
            <w:tcW w:w="680" w:type="dxa"/>
            <w:vAlign w:val="bottom"/>
          </w:tcPr>
          <w:p>
            <w:pPr>
              <w:jc w:val="right"/>
              <w:ind w:right="32"/>
              <w:spacing w:after="0" w:line="149" w:lineRule="exact"/>
              <w:rPr>
                <w:sz w:val="20"/>
                <w:szCs w:val="20"/>
                <w:color w:val="auto"/>
              </w:rPr>
            </w:pPr>
            <w:r>
              <w:rPr>
                <w:rFonts w:ascii="Arial" w:cs="Arial" w:eastAsia="Arial" w:hAnsi="Arial"/>
                <w:sz w:val="14"/>
                <w:szCs w:val="14"/>
                <w:color w:val="auto"/>
              </w:rPr>
              <w:t>3.50%</w:t>
            </w:r>
          </w:p>
        </w:tc>
        <w:tc>
          <w:tcPr>
            <w:tcW w:w="800" w:type="dxa"/>
            <w:vAlign w:val="bottom"/>
          </w:tcPr>
          <w:p>
            <w:pPr>
              <w:jc w:val="right"/>
              <w:ind w:right="12"/>
              <w:spacing w:after="0" w:line="149" w:lineRule="exact"/>
              <w:rPr>
                <w:sz w:val="20"/>
                <w:szCs w:val="20"/>
                <w:color w:val="auto"/>
              </w:rPr>
            </w:pPr>
            <w:r>
              <w:rPr>
                <w:rFonts w:ascii="Arial" w:cs="Arial" w:eastAsia="Arial" w:hAnsi="Arial"/>
                <w:sz w:val="14"/>
                <w:szCs w:val="14"/>
                <w:color w:val="auto"/>
                <w:w w:val="99"/>
              </w:rPr>
              <w:t>10/30/2020</w:t>
            </w:r>
          </w:p>
        </w:tc>
        <w:tc>
          <w:tcPr>
            <w:tcW w:w="1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987,511</w:t>
            </w:r>
          </w:p>
        </w:tc>
        <w:tc>
          <w:tcPr>
            <w:tcW w:w="9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976,646</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967,761</w:t>
            </w:r>
          </w:p>
        </w:tc>
      </w:tr>
      <w:tr>
        <w:trPr>
          <w:trHeight w:val="149"/>
        </w:trPr>
        <w:tc>
          <w:tcPr>
            <w:tcW w:w="2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Novelis, Inc.</w:t>
            </w:r>
          </w:p>
        </w:tc>
        <w:tc>
          <w:tcPr>
            <w:tcW w:w="224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Conglomerate</w:t>
            </w:r>
          </w:p>
        </w:tc>
        <w:tc>
          <w:tcPr>
            <w:tcW w:w="22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Term Loan B</w:t>
            </w:r>
          </w:p>
        </w:tc>
        <w:tc>
          <w:tcPr>
            <w:tcW w:w="60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Loan</w:t>
            </w:r>
          </w:p>
        </w:tc>
        <w:tc>
          <w:tcPr>
            <w:tcW w:w="68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4.00%</w:t>
            </w:r>
          </w:p>
        </w:tc>
        <w:tc>
          <w:tcPr>
            <w:tcW w:w="8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3/10/2017</w:t>
            </w:r>
          </w:p>
        </w:tc>
        <w:tc>
          <w:tcPr>
            <w:tcW w:w="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w w:val="83"/>
              </w:rPr>
              <w:t>4,783,045</w:t>
            </w:r>
          </w:p>
        </w:tc>
        <w:tc>
          <w:tcPr>
            <w:tcW w:w="9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4,760,569</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4,635,823</w:t>
            </w:r>
          </w:p>
        </w:tc>
      </w:tr>
      <w:tr>
        <w:trPr>
          <w:trHeight w:val="149"/>
        </w:trPr>
        <w:tc>
          <w:tcPr>
            <w:tcW w:w="2220" w:type="dxa"/>
            <w:vAlign w:val="bottom"/>
          </w:tcPr>
          <w:p>
            <w:pPr>
              <w:spacing w:after="0" w:line="149" w:lineRule="exact"/>
              <w:rPr>
                <w:sz w:val="20"/>
                <w:szCs w:val="20"/>
                <w:color w:val="auto"/>
              </w:rPr>
            </w:pPr>
            <w:r>
              <w:rPr>
                <w:rFonts w:ascii="Arial" w:cs="Arial" w:eastAsia="Arial" w:hAnsi="Arial"/>
                <w:sz w:val="14"/>
                <w:szCs w:val="14"/>
                <w:color w:val="auto"/>
              </w:rPr>
              <w:t>Novetta Solutions</w:t>
            </w:r>
          </w:p>
        </w:tc>
        <w:tc>
          <w:tcPr>
            <w:tcW w:w="2240" w:type="dxa"/>
            <w:vAlign w:val="bottom"/>
          </w:tcPr>
          <w:p>
            <w:pPr>
              <w:ind w:left="80"/>
              <w:spacing w:after="0" w:line="149" w:lineRule="exact"/>
              <w:rPr>
                <w:sz w:val="20"/>
                <w:szCs w:val="20"/>
                <w:color w:val="auto"/>
              </w:rPr>
            </w:pPr>
            <w:r>
              <w:rPr>
                <w:rFonts w:ascii="Arial" w:cs="Arial" w:eastAsia="Arial" w:hAnsi="Arial"/>
                <w:sz w:val="14"/>
                <w:szCs w:val="14"/>
                <w:color w:val="auto"/>
              </w:rPr>
              <w:t>Aerospace and Defense</w:t>
            </w:r>
          </w:p>
        </w:tc>
        <w:tc>
          <w:tcPr>
            <w:tcW w:w="2280" w:type="dxa"/>
            <w:vAlign w:val="bottom"/>
          </w:tcPr>
          <w:p>
            <w:pPr>
              <w:ind w:left="200"/>
              <w:spacing w:after="0" w:line="149" w:lineRule="exact"/>
              <w:rPr>
                <w:sz w:val="20"/>
                <w:szCs w:val="20"/>
                <w:color w:val="auto"/>
              </w:rPr>
            </w:pPr>
            <w:r>
              <w:rPr>
                <w:rFonts w:ascii="Arial" w:cs="Arial" w:eastAsia="Arial" w:hAnsi="Arial"/>
                <w:sz w:val="14"/>
                <w:szCs w:val="14"/>
                <w:color w:val="auto"/>
              </w:rPr>
              <w:t>Term Loan (200MM)</w:t>
            </w:r>
          </w:p>
        </w:tc>
        <w:tc>
          <w:tcPr>
            <w:tcW w:w="600" w:type="dxa"/>
            <w:vAlign w:val="bottom"/>
          </w:tcPr>
          <w:p>
            <w:pPr>
              <w:ind w:left="80"/>
              <w:spacing w:after="0" w:line="149" w:lineRule="exact"/>
              <w:rPr>
                <w:sz w:val="20"/>
                <w:szCs w:val="20"/>
                <w:color w:val="auto"/>
              </w:rPr>
            </w:pPr>
            <w:r>
              <w:rPr>
                <w:rFonts w:ascii="Arial" w:cs="Arial" w:eastAsia="Arial" w:hAnsi="Arial"/>
                <w:sz w:val="14"/>
                <w:szCs w:val="14"/>
                <w:color w:val="auto"/>
              </w:rPr>
              <w:t>Loan</w:t>
            </w:r>
          </w:p>
        </w:tc>
        <w:tc>
          <w:tcPr>
            <w:tcW w:w="680" w:type="dxa"/>
            <w:vAlign w:val="bottom"/>
          </w:tcPr>
          <w:p>
            <w:pPr>
              <w:jc w:val="right"/>
              <w:ind w:right="32"/>
              <w:spacing w:after="0" w:line="149" w:lineRule="exact"/>
              <w:rPr>
                <w:sz w:val="20"/>
                <w:szCs w:val="20"/>
                <w:color w:val="auto"/>
              </w:rPr>
            </w:pPr>
            <w:r>
              <w:rPr>
                <w:rFonts w:ascii="Arial" w:cs="Arial" w:eastAsia="Arial" w:hAnsi="Arial"/>
                <w:sz w:val="14"/>
                <w:szCs w:val="14"/>
                <w:color w:val="auto"/>
              </w:rPr>
              <w:t>6.00%</w:t>
            </w:r>
          </w:p>
        </w:tc>
        <w:tc>
          <w:tcPr>
            <w:tcW w:w="800" w:type="dxa"/>
            <w:vAlign w:val="bottom"/>
          </w:tcPr>
          <w:p>
            <w:pPr>
              <w:jc w:val="right"/>
              <w:ind w:right="12"/>
              <w:spacing w:after="0" w:line="149" w:lineRule="exact"/>
              <w:rPr>
                <w:sz w:val="20"/>
                <w:szCs w:val="20"/>
                <w:color w:val="auto"/>
              </w:rPr>
            </w:pPr>
            <w:r>
              <w:rPr>
                <w:rFonts w:ascii="Arial" w:cs="Arial" w:eastAsia="Arial" w:hAnsi="Arial"/>
                <w:sz w:val="14"/>
                <w:szCs w:val="14"/>
                <w:color w:val="auto"/>
                <w:w w:val="99"/>
              </w:rPr>
              <w:t>10/16/2022</w:t>
            </w:r>
          </w:p>
        </w:tc>
        <w:tc>
          <w:tcPr>
            <w:tcW w:w="1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112"/>
              <w:spacing w:after="0" w:line="149" w:lineRule="exact"/>
              <w:rPr>
                <w:sz w:val="20"/>
                <w:szCs w:val="20"/>
                <w:color w:val="auto"/>
              </w:rPr>
            </w:pPr>
            <w:r>
              <w:rPr>
                <w:rFonts w:ascii="Arial" w:cs="Arial" w:eastAsia="Arial" w:hAnsi="Arial"/>
                <w:sz w:val="14"/>
                <w:szCs w:val="14"/>
                <w:color w:val="auto"/>
                <w:w w:val="83"/>
              </w:rPr>
              <w:t>2,000,000</w:t>
            </w:r>
          </w:p>
        </w:tc>
        <w:tc>
          <w:tcPr>
            <w:tcW w:w="9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1,980,163</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1,980,000</w:t>
            </w:r>
          </w:p>
        </w:tc>
      </w:tr>
      <w:tr>
        <w:trPr>
          <w:trHeight w:val="149"/>
        </w:trPr>
        <w:tc>
          <w:tcPr>
            <w:tcW w:w="2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Novetta Solutions</w:t>
            </w:r>
          </w:p>
        </w:tc>
        <w:tc>
          <w:tcPr>
            <w:tcW w:w="224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Aerospace and Defense</w:t>
            </w:r>
          </w:p>
        </w:tc>
        <w:tc>
          <w:tcPr>
            <w:tcW w:w="22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Term Loan (2nd Lien)</w:t>
            </w:r>
          </w:p>
        </w:tc>
        <w:tc>
          <w:tcPr>
            <w:tcW w:w="60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Loan</w:t>
            </w:r>
          </w:p>
        </w:tc>
        <w:tc>
          <w:tcPr>
            <w:tcW w:w="68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9.50%</w:t>
            </w:r>
          </w:p>
        </w:tc>
        <w:tc>
          <w:tcPr>
            <w:tcW w:w="8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9/29/2023</w:t>
            </w:r>
          </w:p>
        </w:tc>
        <w:tc>
          <w:tcPr>
            <w:tcW w:w="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w w:val="83"/>
              </w:rPr>
              <w:t>1,000,000</w:t>
            </w:r>
          </w:p>
        </w:tc>
        <w:tc>
          <w:tcPr>
            <w:tcW w:w="9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990,087</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990,000</w:t>
            </w:r>
          </w:p>
        </w:tc>
      </w:tr>
      <w:tr>
        <w:trPr>
          <w:trHeight w:val="149"/>
        </w:trPr>
        <w:tc>
          <w:tcPr>
            <w:tcW w:w="2220" w:type="dxa"/>
            <w:vAlign w:val="bottom"/>
          </w:tcPr>
          <w:p>
            <w:pPr>
              <w:spacing w:after="0" w:line="149" w:lineRule="exact"/>
              <w:rPr>
                <w:sz w:val="20"/>
                <w:szCs w:val="20"/>
                <w:color w:val="auto"/>
              </w:rPr>
            </w:pPr>
            <w:r>
              <w:rPr>
                <w:rFonts w:ascii="Arial" w:cs="Arial" w:eastAsia="Arial" w:hAnsi="Arial"/>
                <w:sz w:val="14"/>
                <w:szCs w:val="14"/>
                <w:color w:val="auto"/>
              </w:rPr>
              <w:t>NPC International, Inc.</w:t>
            </w:r>
          </w:p>
        </w:tc>
        <w:tc>
          <w:tcPr>
            <w:tcW w:w="2240" w:type="dxa"/>
            <w:vAlign w:val="bottom"/>
          </w:tcPr>
          <w:p>
            <w:pPr>
              <w:ind w:left="80"/>
              <w:spacing w:after="0" w:line="149" w:lineRule="exact"/>
              <w:rPr>
                <w:sz w:val="20"/>
                <w:szCs w:val="20"/>
                <w:color w:val="auto"/>
              </w:rPr>
            </w:pPr>
            <w:r>
              <w:rPr>
                <w:rFonts w:ascii="Arial" w:cs="Arial" w:eastAsia="Arial" w:hAnsi="Arial"/>
                <w:sz w:val="14"/>
                <w:szCs w:val="14"/>
                <w:color w:val="auto"/>
              </w:rPr>
              <w:t>Food Services</w:t>
            </w:r>
          </w:p>
        </w:tc>
        <w:tc>
          <w:tcPr>
            <w:tcW w:w="2280" w:type="dxa"/>
            <w:vAlign w:val="bottom"/>
          </w:tcPr>
          <w:p>
            <w:pPr>
              <w:ind w:left="200"/>
              <w:spacing w:after="0" w:line="149" w:lineRule="exact"/>
              <w:rPr>
                <w:sz w:val="20"/>
                <w:szCs w:val="20"/>
                <w:color w:val="auto"/>
              </w:rPr>
            </w:pPr>
            <w:r>
              <w:rPr>
                <w:rFonts w:ascii="Arial" w:cs="Arial" w:eastAsia="Arial" w:hAnsi="Arial"/>
                <w:sz w:val="14"/>
                <w:szCs w:val="14"/>
                <w:color w:val="auto"/>
              </w:rPr>
              <w:t>Term Loan (2013)</w:t>
            </w:r>
          </w:p>
        </w:tc>
        <w:tc>
          <w:tcPr>
            <w:tcW w:w="600" w:type="dxa"/>
            <w:vAlign w:val="bottom"/>
          </w:tcPr>
          <w:p>
            <w:pPr>
              <w:ind w:left="80"/>
              <w:spacing w:after="0" w:line="149" w:lineRule="exact"/>
              <w:rPr>
                <w:sz w:val="20"/>
                <w:szCs w:val="20"/>
                <w:color w:val="auto"/>
              </w:rPr>
            </w:pPr>
            <w:r>
              <w:rPr>
                <w:rFonts w:ascii="Arial" w:cs="Arial" w:eastAsia="Arial" w:hAnsi="Arial"/>
                <w:sz w:val="14"/>
                <w:szCs w:val="14"/>
                <w:color w:val="auto"/>
              </w:rPr>
              <w:t>Loan</w:t>
            </w:r>
          </w:p>
        </w:tc>
        <w:tc>
          <w:tcPr>
            <w:tcW w:w="680" w:type="dxa"/>
            <w:vAlign w:val="bottom"/>
          </w:tcPr>
          <w:p>
            <w:pPr>
              <w:jc w:val="right"/>
              <w:ind w:right="32"/>
              <w:spacing w:after="0" w:line="149" w:lineRule="exact"/>
              <w:rPr>
                <w:sz w:val="20"/>
                <w:szCs w:val="20"/>
                <w:color w:val="auto"/>
              </w:rPr>
            </w:pPr>
            <w:r>
              <w:rPr>
                <w:rFonts w:ascii="Arial" w:cs="Arial" w:eastAsia="Arial" w:hAnsi="Arial"/>
                <w:sz w:val="14"/>
                <w:szCs w:val="14"/>
                <w:color w:val="auto"/>
              </w:rPr>
              <w:t>4.00%</w:t>
            </w:r>
          </w:p>
        </w:tc>
        <w:tc>
          <w:tcPr>
            <w:tcW w:w="800" w:type="dxa"/>
            <w:vAlign w:val="bottom"/>
          </w:tcPr>
          <w:p>
            <w:pPr>
              <w:jc w:val="right"/>
              <w:ind w:right="12"/>
              <w:spacing w:after="0" w:line="149" w:lineRule="exact"/>
              <w:rPr>
                <w:sz w:val="20"/>
                <w:szCs w:val="20"/>
                <w:color w:val="auto"/>
              </w:rPr>
            </w:pPr>
            <w:r>
              <w:rPr>
                <w:rFonts w:ascii="Arial" w:cs="Arial" w:eastAsia="Arial" w:hAnsi="Arial"/>
                <w:sz w:val="14"/>
                <w:szCs w:val="14"/>
                <w:color w:val="auto"/>
                <w:w w:val="99"/>
              </w:rPr>
              <w:t>12/28/2018</w:t>
            </w:r>
          </w:p>
        </w:tc>
        <w:tc>
          <w:tcPr>
            <w:tcW w:w="1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482,500</w:t>
            </w:r>
          </w:p>
        </w:tc>
        <w:tc>
          <w:tcPr>
            <w:tcW w:w="9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482,500</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474,862</w:t>
            </w:r>
          </w:p>
        </w:tc>
      </w:tr>
      <w:tr>
        <w:trPr>
          <w:trHeight w:val="149"/>
        </w:trPr>
        <w:tc>
          <w:tcPr>
            <w:tcW w:w="2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NRG Energy, Inc.</w:t>
            </w:r>
          </w:p>
        </w:tc>
        <w:tc>
          <w:tcPr>
            <w:tcW w:w="224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Utilities</w:t>
            </w:r>
          </w:p>
        </w:tc>
        <w:tc>
          <w:tcPr>
            <w:tcW w:w="22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Term Loan (2013)</w:t>
            </w:r>
          </w:p>
        </w:tc>
        <w:tc>
          <w:tcPr>
            <w:tcW w:w="60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Loan</w:t>
            </w:r>
          </w:p>
        </w:tc>
        <w:tc>
          <w:tcPr>
            <w:tcW w:w="68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2.75%</w:t>
            </w:r>
          </w:p>
        </w:tc>
        <w:tc>
          <w:tcPr>
            <w:tcW w:w="8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7/2/2018</w:t>
            </w:r>
          </w:p>
        </w:tc>
        <w:tc>
          <w:tcPr>
            <w:tcW w:w="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w w:val="83"/>
              </w:rPr>
              <w:t>3,831,750</w:t>
            </w:r>
          </w:p>
        </w:tc>
        <w:tc>
          <w:tcPr>
            <w:tcW w:w="9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3,816,735</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3,734,232</w:t>
            </w:r>
          </w:p>
        </w:tc>
      </w:tr>
      <w:tr>
        <w:trPr>
          <w:trHeight w:val="149"/>
        </w:trPr>
        <w:tc>
          <w:tcPr>
            <w:tcW w:w="2220" w:type="dxa"/>
            <w:vAlign w:val="bottom"/>
          </w:tcPr>
          <w:p>
            <w:pPr>
              <w:spacing w:after="0" w:line="149" w:lineRule="exact"/>
              <w:rPr>
                <w:sz w:val="20"/>
                <w:szCs w:val="20"/>
                <w:color w:val="auto"/>
              </w:rPr>
            </w:pPr>
            <w:r>
              <w:rPr>
                <w:rFonts w:ascii="Arial" w:cs="Arial" w:eastAsia="Arial" w:hAnsi="Arial"/>
                <w:sz w:val="14"/>
                <w:szCs w:val="14"/>
                <w:color w:val="auto"/>
              </w:rPr>
              <w:t>Numericable</w:t>
            </w:r>
          </w:p>
        </w:tc>
        <w:tc>
          <w:tcPr>
            <w:tcW w:w="2240" w:type="dxa"/>
            <w:vAlign w:val="bottom"/>
          </w:tcPr>
          <w:p>
            <w:pPr>
              <w:ind w:left="80"/>
              <w:spacing w:after="0" w:line="149" w:lineRule="exact"/>
              <w:rPr>
                <w:sz w:val="20"/>
                <w:szCs w:val="20"/>
                <w:color w:val="auto"/>
              </w:rPr>
            </w:pPr>
            <w:r>
              <w:rPr>
                <w:rFonts w:ascii="Arial" w:cs="Arial" w:eastAsia="Arial" w:hAnsi="Arial"/>
                <w:sz w:val="14"/>
                <w:szCs w:val="14"/>
                <w:color w:val="auto"/>
              </w:rPr>
              <w:t>Broadcast Radio and Television</w:t>
            </w:r>
          </w:p>
        </w:tc>
        <w:tc>
          <w:tcPr>
            <w:tcW w:w="2280" w:type="dxa"/>
            <w:vAlign w:val="bottom"/>
          </w:tcPr>
          <w:p>
            <w:pPr>
              <w:ind w:left="200"/>
              <w:spacing w:after="0" w:line="149" w:lineRule="exact"/>
              <w:rPr>
                <w:sz w:val="20"/>
                <w:szCs w:val="20"/>
                <w:color w:val="auto"/>
              </w:rPr>
            </w:pPr>
            <w:r>
              <w:rPr>
                <w:rFonts w:ascii="Arial" w:cs="Arial" w:eastAsia="Arial" w:hAnsi="Arial"/>
                <w:sz w:val="14"/>
                <w:szCs w:val="14"/>
                <w:color w:val="auto"/>
              </w:rPr>
              <w:t>Term Loan B-5</w:t>
            </w:r>
          </w:p>
        </w:tc>
        <w:tc>
          <w:tcPr>
            <w:tcW w:w="600" w:type="dxa"/>
            <w:vAlign w:val="bottom"/>
          </w:tcPr>
          <w:p>
            <w:pPr>
              <w:ind w:left="80"/>
              <w:spacing w:after="0" w:line="149" w:lineRule="exact"/>
              <w:rPr>
                <w:sz w:val="20"/>
                <w:szCs w:val="20"/>
                <w:color w:val="auto"/>
              </w:rPr>
            </w:pPr>
            <w:r>
              <w:rPr>
                <w:rFonts w:ascii="Arial" w:cs="Arial" w:eastAsia="Arial" w:hAnsi="Arial"/>
                <w:sz w:val="14"/>
                <w:szCs w:val="14"/>
                <w:color w:val="auto"/>
              </w:rPr>
              <w:t>Loan</w:t>
            </w:r>
          </w:p>
        </w:tc>
        <w:tc>
          <w:tcPr>
            <w:tcW w:w="680" w:type="dxa"/>
            <w:vAlign w:val="bottom"/>
          </w:tcPr>
          <w:p>
            <w:pPr>
              <w:jc w:val="right"/>
              <w:ind w:right="32"/>
              <w:spacing w:after="0" w:line="149" w:lineRule="exact"/>
              <w:rPr>
                <w:sz w:val="20"/>
                <w:szCs w:val="20"/>
                <w:color w:val="auto"/>
              </w:rPr>
            </w:pPr>
            <w:r>
              <w:rPr>
                <w:rFonts w:ascii="Arial" w:cs="Arial" w:eastAsia="Arial" w:hAnsi="Arial"/>
                <w:sz w:val="14"/>
                <w:szCs w:val="14"/>
                <w:color w:val="auto"/>
              </w:rPr>
              <w:t>4.00%</w:t>
            </w:r>
          </w:p>
        </w:tc>
        <w:tc>
          <w:tcPr>
            <w:tcW w:w="8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7/27/2022</w:t>
            </w:r>
          </w:p>
        </w:tc>
        <w:tc>
          <w:tcPr>
            <w:tcW w:w="1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112"/>
              <w:spacing w:after="0" w:line="149" w:lineRule="exact"/>
              <w:rPr>
                <w:sz w:val="20"/>
                <w:szCs w:val="20"/>
                <w:color w:val="auto"/>
              </w:rPr>
            </w:pPr>
            <w:r>
              <w:rPr>
                <w:rFonts w:ascii="Arial" w:cs="Arial" w:eastAsia="Arial" w:hAnsi="Arial"/>
                <w:sz w:val="14"/>
                <w:szCs w:val="14"/>
                <w:color w:val="auto"/>
                <w:w w:val="83"/>
              </w:rPr>
              <w:t>1,000,000</w:t>
            </w:r>
          </w:p>
        </w:tc>
        <w:tc>
          <w:tcPr>
            <w:tcW w:w="9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997,592</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975,160</w:t>
            </w:r>
          </w:p>
        </w:tc>
      </w:tr>
      <w:tr>
        <w:trPr>
          <w:trHeight w:val="149"/>
        </w:trPr>
        <w:tc>
          <w:tcPr>
            <w:tcW w:w="2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NuSil Technology LLC.</w:t>
            </w:r>
          </w:p>
        </w:tc>
        <w:tc>
          <w:tcPr>
            <w:tcW w:w="224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Chemicals/Plastics</w:t>
            </w:r>
          </w:p>
        </w:tc>
        <w:tc>
          <w:tcPr>
            <w:tcW w:w="22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Term Loan</w:t>
            </w:r>
          </w:p>
        </w:tc>
        <w:tc>
          <w:tcPr>
            <w:tcW w:w="60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Loan</w:t>
            </w:r>
          </w:p>
        </w:tc>
        <w:tc>
          <w:tcPr>
            <w:tcW w:w="68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5.25%</w:t>
            </w:r>
          </w:p>
        </w:tc>
        <w:tc>
          <w:tcPr>
            <w:tcW w:w="8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4/7/2017</w:t>
            </w:r>
          </w:p>
        </w:tc>
        <w:tc>
          <w:tcPr>
            <w:tcW w:w="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791,281</w:t>
            </w:r>
          </w:p>
        </w:tc>
        <w:tc>
          <w:tcPr>
            <w:tcW w:w="9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791,281</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782,181</w:t>
            </w:r>
          </w:p>
        </w:tc>
      </w:tr>
      <w:tr>
        <w:trPr>
          <w:trHeight w:val="149"/>
        </w:trPr>
        <w:tc>
          <w:tcPr>
            <w:tcW w:w="2220" w:type="dxa"/>
            <w:vAlign w:val="bottom"/>
          </w:tcPr>
          <w:p>
            <w:pPr>
              <w:spacing w:after="0" w:line="149" w:lineRule="exact"/>
              <w:rPr>
                <w:sz w:val="20"/>
                <w:szCs w:val="20"/>
                <w:color w:val="auto"/>
              </w:rPr>
            </w:pPr>
            <w:r>
              <w:rPr>
                <w:rFonts w:ascii="Arial" w:cs="Arial" w:eastAsia="Arial" w:hAnsi="Arial"/>
                <w:sz w:val="14"/>
                <w:szCs w:val="14"/>
                <w:color w:val="auto"/>
              </w:rPr>
              <w:t>Ollie’s Bargain Outlet, Inc</w:t>
            </w:r>
          </w:p>
        </w:tc>
        <w:tc>
          <w:tcPr>
            <w:tcW w:w="2240" w:type="dxa"/>
            <w:vAlign w:val="bottom"/>
          </w:tcPr>
          <w:p>
            <w:pPr>
              <w:ind w:left="80"/>
              <w:spacing w:after="0" w:line="149" w:lineRule="exact"/>
              <w:rPr>
                <w:sz w:val="20"/>
                <w:szCs w:val="20"/>
                <w:color w:val="auto"/>
              </w:rPr>
            </w:pPr>
            <w:r>
              <w:rPr>
                <w:rFonts w:ascii="Arial" w:cs="Arial" w:eastAsia="Arial" w:hAnsi="Arial"/>
                <w:sz w:val="14"/>
                <w:szCs w:val="14"/>
                <w:color w:val="auto"/>
                <w:w w:val="99"/>
              </w:rPr>
              <w:t>Retailers (Except Food and Drugs)</w:t>
            </w:r>
          </w:p>
        </w:tc>
        <w:tc>
          <w:tcPr>
            <w:tcW w:w="2280" w:type="dxa"/>
            <w:vAlign w:val="bottom"/>
          </w:tcPr>
          <w:p>
            <w:pPr>
              <w:ind w:left="200"/>
              <w:spacing w:after="0" w:line="149" w:lineRule="exact"/>
              <w:rPr>
                <w:sz w:val="20"/>
                <w:szCs w:val="20"/>
                <w:color w:val="auto"/>
              </w:rPr>
            </w:pPr>
            <w:r>
              <w:rPr>
                <w:rFonts w:ascii="Arial" w:cs="Arial" w:eastAsia="Arial" w:hAnsi="Arial"/>
                <w:sz w:val="14"/>
                <w:szCs w:val="14"/>
                <w:color w:val="auto"/>
              </w:rPr>
              <w:t>Term Loan</w:t>
            </w:r>
          </w:p>
        </w:tc>
        <w:tc>
          <w:tcPr>
            <w:tcW w:w="600" w:type="dxa"/>
            <w:vAlign w:val="bottom"/>
          </w:tcPr>
          <w:p>
            <w:pPr>
              <w:ind w:left="80"/>
              <w:spacing w:after="0" w:line="149" w:lineRule="exact"/>
              <w:rPr>
                <w:sz w:val="20"/>
                <w:szCs w:val="20"/>
                <w:color w:val="auto"/>
              </w:rPr>
            </w:pPr>
            <w:r>
              <w:rPr>
                <w:rFonts w:ascii="Arial" w:cs="Arial" w:eastAsia="Arial" w:hAnsi="Arial"/>
                <w:sz w:val="14"/>
                <w:szCs w:val="14"/>
                <w:color w:val="auto"/>
              </w:rPr>
              <w:t>Loan</w:t>
            </w:r>
          </w:p>
        </w:tc>
        <w:tc>
          <w:tcPr>
            <w:tcW w:w="680" w:type="dxa"/>
            <w:vAlign w:val="bottom"/>
          </w:tcPr>
          <w:p>
            <w:pPr>
              <w:jc w:val="right"/>
              <w:ind w:right="32"/>
              <w:spacing w:after="0" w:line="149" w:lineRule="exact"/>
              <w:rPr>
                <w:sz w:val="20"/>
                <w:szCs w:val="20"/>
                <w:color w:val="auto"/>
              </w:rPr>
            </w:pPr>
            <w:r>
              <w:rPr>
                <w:rFonts w:ascii="Arial" w:cs="Arial" w:eastAsia="Arial" w:hAnsi="Arial"/>
                <w:sz w:val="14"/>
                <w:szCs w:val="14"/>
                <w:color w:val="auto"/>
              </w:rPr>
              <w:t>4.75%</w:t>
            </w:r>
          </w:p>
        </w:tc>
        <w:tc>
          <w:tcPr>
            <w:tcW w:w="8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9/30/2019</w:t>
            </w:r>
          </w:p>
        </w:tc>
        <w:tc>
          <w:tcPr>
            <w:tcW w:w="1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645,138</w:t>
            </w:r>
          </w:p>
        </w:tc>
        <w:tc>
          <w:tcPr>
            <w:tcW w:w="9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642,652</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638,686</w:t>
            </w:r>
          </w:p>
        </w:tc>
      </w:tr>
      <w:tr>
        <w:trPr>
          <w:trHeight w:val="149"/>
        </w:trPr>
        <w:tc>
          <w:tcPr>
            <w:tcW w:w="2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Onex Carestream Finance LP</w:t>
            </w:r>
          </w:p>
        </w:tc>
        <w:tc>
          <w:tcPr>
            <w:tcW w:w="224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Healthcare &amp; Pharmaceuticals</w:t>
            </w:r>
          </w:p>
        </w:tc>
        <w:tc>
          <w:tcPr>
            <w:tcW w:w="22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Term Loan (First Lien 2013)</w:t>
            </w:r>
          </w:p>
        </w:tc>
        <w:tc>
          <w:tcPr>
            <w:tcW w:w="60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Loan</w:t>
            </w:r>
          </w:p>
        </w:tc>
        <w:tc>
          <w:tcPr>
            <w:tcW w:w="68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5.00%</w:t>
            </w:r>
          </w:p>
        </w:tc>
        <w:tc>
          <w:tcPr>
            <w:tcW w:w="8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6/7/2019</w:t>
            </w:r>
          </w:p>
        </w:tc>
        <w:tc>
          <w:tcPr>
            <w:tcW w:w="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w w:val="83"/>
              </w:rPr>
              <w:t>3,887,309</w:t>
            </w:r>
          </w:p>
        </w:tc>
        <w:tc>
          <w:tcPr>
            <w:tcW w:w="9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3,875,009</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3,580,212</w:t>
            </w:r>
          </w:p>
        </w:tc>
      </w:tr>
      <w:tr>
        <w:trPr>
          <w:trHeight w:val="149"/>
        </w:trPr>
        <w:tc>
          <w:tcPr>
            <w:tcW w:w="2220" w:type="dxa"/>
            <w:vAlign w:val="bottom"/>
          </w:tcPr>
          <w:p>
            <w:pPr>
              <w:spacing w:after="0" w:line="149" w:lineRule="exact"/>
              <w:rPr>
                <w:sz w:val="20"/>
                <w:szCs w:val="20"/>
                <w:color w:val="auto"/>
              </w:rPr>
            </w:pPr>
            <w:r>
              <w:rPr>
                <w:rFonts w:ascii="Arial" w:cs="Arial" w:eastAsia="Arial" w:hAnsi="Arial"/>
                <w:sz w:val="14"/>
                <w:szCs w:val="14"/>
                <w:color w:val="auto"/>
              </w:rPr>
              <w:t>OnexYork Acquisition Co</w:t>
            </w:r>
          </w:p>
        </w:tc>
        <w:tc>
          <w:tcPr>
            <w:tcW w:w="2240" w:type="dxa"/>
            <w:vAlign w:val="bottom"/>
          </w:tcPr>
          <w:p>
            <w:pPr>
              <w:ind w:left="80"/>
              <w:spacing w:after="0" w:line="149" w:lineRule="exact"/>
              <w:rPr>
                <w:sz w:val="20"/>
                <w:szCs w:val="20"/>
                <w:color w:val="auto"/>
              </w:rPr>
            </w:pPr>
            <w:r>
              <w:rPr>
                <w:rFonts w:ascii="Arial" w:cs="Arial" w:eastAsia="Arial" w:hAnsi="Arial"/>
                <w:sz w:val="14"/>
                <w:szCs w:val="14"/>
                <w:color w:val="auto"/>
              </w:rPr>
              <w:t>Healthcare &amp; Pharmaceuticals</w:t>
            </w:r>
          </w:p>
        </w:tc>
        <w:tc>
          <w:tcPr>
            <w:tcW w:w="2280" w:type="dxa"/>
            <w:vAlign w:val="bottom"/>
          </w:tcPr>
          <w:p>
            <w:pPr>
              <w:ind w:left="200"/>
              <w:spacing w:after="0" w:line="149" w:lineRule="exact"/>
              <w:rPr>
                <w:sz w:val="20"/>
                <w:szCs w:val="20"/>
                <w:color w:val="auto"/>
              </w:rPr>
            </w:pPr>
            <w:r>
              <w:rPr>
                <w:rFonts w:ascii="Arial" w:cs="Arial" w:eastAsia="Arial" w:hAnsi="Arial"/>
                <w:sz w:val="14"/>
                <w:szCs w:val="14"/>
                <w:color w:val="auto"/>
              </w:rPr>
              <w:t>Term Loan B</w:t>
            </w:r>
          </w:p>
        </w:tc>
        <w:tc>
          <w:tcPr>
            <w:tcW w:w="600" w:type="dxa"/>
            <w:vAlign w:val="bottom"/>
          </w:tcPr>
          <w:p>
            <w:pPr>
              <w:ind w:left="80"/>
              <w:spacing w:after="0" w:line="149" w:lineRule="exact"/>
              <w:rPr>
                <w:sz w:val="20"/>
                <w:szCs w:val="20"/>
                <w:color w:val="auto"/>
              </w:rPr>
            </w:pPr>
            <w:r>
              <w:rPr>
                <w:rFonts w:ascii="Arial" w:cs="Arial" w:eastAsia="Arial" w:hAnsi="Arial"/>
                <w:sz w:val="14"/>
                <w:szCs w:val="14"/>
                <w:color w:val="auto"/>
              </w:rPr>
              <w:t>Loan</w:t>
            </w:r>
          </w:p>
        </w:tc>
        <w:tc>
          <w:tcPr>
            <w:tcW w:w="680" w:type="dxa"/>
            <w:vAlign w:val="bottom"/>
          </w:tcPr>
          <w:p>
            <w:pPr>
              <w:jc w:val="right"/>
              <w:ind w:right="32"/>
              <w:spacing w:after="0" w:line="149" w:lineRule="exact"/>
              <w:rPr>
                <w:sz w:val="20"/>
                <w:szCs w:val="20"/>
                <w:color w:val="auto"/>
              </w:rPr>
            </w:pPr>
            <w:r>
              <w:rPr>
                <w:rFonts w:ascii="Arial" w:cs="Arial" w:eastAsia="Arial" w:hAnsi="Arial"/>
                <w:sz w:val="14"/>
                <w:szCs w:val="14"/>
                <w:color w:val="auto"/>
              </w:rPr>
              <w:t>4.75%</w:t>
            </w:r>
          </w:p>
        </w:tc>
        <w:tc>
          <w:tcPr>
            <w:tcW w:w="8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10/1/2021</w:t>
            </w:r>
          </w:p>
        </w:tc>
        <w:tc>
          <w:tcPr>
            <w:tcW w:w="1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495,000</w:t>
            </w:r>
          </w:p>
        </w:tc>
        <w:tc>
          <w:tcPr>
            <w:tcW w:w="9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491,772</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472,725</w:t>
            </w:r>
          </w:p>
        </w:tc>
      </w:tr>
      <w:tr>
        <w:trPr>
          <w:trHeight w:val="149"/>
        </w:trPr>
        <w:tc>
          <w:tcPr>
            <w:tcW w:w="2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OpenLink International LLC</w:t>
            </w:r>
          </w:p>
        </w:tc>
        <w:tc>
          <w:tcPr>
            <w:tcW w:w="224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Services: Business</w:t>
            </w:r>
          </w:p>
        </w:tc>
        <w:tc>
          <w:tcPr>
            <w:tcW w:w="22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Term B Loan</w:t>
            </w:r>
          </w:p>
        </w:tc>
        <w:tc>
          <w:tcPr>
            <w:tcW w:w="60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Loan</w:t>
            </w:r>
          </w:p>
        </w:tc>
        <w:tc>
          <w:tcPr>
            <w:tcW w:w="68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6.25%</w:t>
            </w:r>
          </w:p>
        </w:tc>
        <w:tc>
          <w:tcPr>
            <w:tcW w:w="8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w w:val="99"/>
              </w:rPr>
              <w:t>10/28/2017</w:t>
            </w:r>
          </w:p>
        </w:tc>
        <w:tc>
          <w:tcPr>
            <w:tcW w:w="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w w:val="83"/>
              </w:rPr>
              <w:t>2,952,164</w:t>
            </w:r>
          </w:p>
        </w:tc>
        <w:tc>
          <w:tcPr>
            <w:tcW w:w="9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2,950,848</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2,942,953</w:t>
            </w:r>
          </w:p>
        </w:tc>
      </w:tr>
      <w:tr>
        <w:trPr>
          <w:trHeight w:val="138"/>
        </w:trPr>
        <w:tc>
          <w:tcPr>
            <w:tcW w:w="2220" w:type="dxa"/>
            <w:vAlign w:val="bottom"/>
          </w:tcPr>
          <w:p>
            <w:pPr>
              <w:spacing w:after="0" w:line="138" w:lineRule="exact"/>
              <w:rPr>
                <w:sz w:val="20"/>
                <w:szCs w:val="20"/>
                <w:color w:val="auto"/>
              </w:rPr>
            </w:pPr>
            <w:r>
              <w:rPr>
                <w:rFonts w:ascii="Arial" w:cs="Arial" w:eastAsia="Arial" w:hAnsi="Arial"/>
                <w:sz w:val="14"/>
                <w:szCs w:val="14"/>
                <w:color w:val="auto"/>
                <w:w w:val="96"/>
              </w:rPr>
              <w:t>P.F. Chang’s China Bistro, Inc. (Wok</w:t>
            </w:r>
          </w:p>
        </w:tc>
        <w:tc>
          <w:tcPr>
            <w:tcW w:w="2240" w:type="dxa"/>
            <w:vAlign w:val="bottom"/>
          </w:tcPr>
          <w:p>
            <w:pPr>
              <w:ind w:left="80"/>
              <w:spacing w:after="0" w:line="138" w:lineRule="exact"/>
              <w:rPr>
                <w:sz w:val="20"/>
                <w:szCs w:val="20"/>
                <w:color w:val="auto"/>
              </w:rPr>
            </w:pPr>
            <w:r>
              <w:rPr>
                <w:rFonts w:ascii="Arial" w:cs="Arial" w:eastAsia="Arial" w:hAnsi="Arial"/>
                <w:sz w:val="14"/>
                <w:szCs w:val="14"/>
                <w:color w:val="auto"/>
              </w:rPr>
              <w:t>Food/Drug Retailers</w:t>
            </w:r>
          </w:p>
        </w:tc>
        <w:tc>
          <w:tcPr>
            <w:tcW w:w="2280" w:type="dxa"/>
            <w:vAlign w:val="bottom"/>
          </w:tcPr>
          <w:p>
            <w:pPr>
              <w:ind w:left="200"/>
              <w:spacing w:after="0" w:line="138" w:lineRule="exact"/>
              <w:rPr>
                <w:sz w:val="20"/>
                <w:szCs w:val="20"/>
                <w:color w:val="auto"/>
              </w:rPr>
            </w:pPr>
            <w:r>
              <w:rPr>
                <w:rFonts w:ascii="Arial" w:cs="Arial" w:eastAsia="Arial" w:hAnsi="Arial"/>
                <w:sz w:val="14"/>
                <w:szCs w:val="14"/>
                <w:color w:val="auto"/>
              </w:rPr>
              <w:t>Term Borrowing</w:t>
            </w:r>
          </w:p>
        </w:tc>
        <w:tc>
          <w:tcPr>
            <w:tcW w:w="600" w:type="dxa"/>
            <w:vAlign w:val="bottom"/>
          </w:tcPr>
          <w:p>
            <w:pPr>
              <w:ind w:left="80"/>
              <w:spacing w:after="0" w:line="138" w:lineRule="exact"/>
              <w:rPr>
                <w:sz w:val="20"/>
                <w:szCs w:val="20"/>
                <w:color w:val="auto"/>
              </w:rPr>
            </w:pPr>
            <w:r>
              <w:rPr>
                <w:rFonts w:ascii="Arial" w:cs="Arial" w:eastAsia="Arial" w:hAnsi="Arial"/>
                <w:sz w:val="14"/>
                <w:szCs w:val="14"/>
                <w:color w:val="auto"/>
              </w:rPr>
              <w:t>Loan</w:t>
            </w: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59"/>
        </w:trPr>
        <w:tc>
          <w:tcPr>
            <w:tcW w:w="2220" w:type="dxa"/>
            <w:vAlign w:val="bottom"/>
          </w:tcPr>
          <w:p>
            <w:pPr>
              <w:ind w:left="140"/>
              <w:spacing w:after="0" w:line="159" w:lineRule="exact"/>
              <w:rPr>
                <w:sz w:val="20"/>
                <w:szCs w:val="20"/>
                <w:color w:val="auto"/>
              </w:rPr>
            </w:pPr>
            <w:r>
              <w:rPr>
                <w:rFonts w:ascii="Arial" w:cs="Arial" w:eastAsia="Arial" w:hAnsi="Arial"/>
                <w:sz w:val="14"/>
                <w:szCs w:val="14"/>
                <w:color w:val="auto"/>
              </w:rPr>
              <w:t>Acquisition Corp.)</w:t>
            </w:r>
          </w:p>
        </w:tc>
        <w:tc>
          <w:tcPr>
            <w:tcW w:w="224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80" w:type="dxa"/>
            <w:vAlign w:val="bottom"/>
          </w:tcPr>
          <w:p>
            <w:pPr>
              <w:jc w:val="right"/>
              <w:ind w:right="32"/>
              <w:spacing w:after="0" w:line="159" w:lineRule="exact"/>
              <w:rPr>
                <w:sz w:val="20"/>
                <w:szCs w:val="20"/>
                <w:color w:val="auto"/>
              </w:rPr>
            </w:pPr>
            <w:r>
              <w:rPr>
                <w:rFonts w:ascii="Arial" w:cs="Arial" w:eastAsia="Arial" w:hAnsi="Arial"/>
                <w:sz w:val="14"/>
                <w:szCs w:val="14"/>
                <w:color w:val="auto"/>
              </w:rPr>
              <w:t>4.25%</w:t>
            </w:r>
          </w:p>
        </w:tc>
        <w:tc>
          <w:tcPr>
            <w:tcW w:w="800" w:type="dxa"/>
            <w:vAlign w:val="bottom"/>
          </w:tcPr>
          <w:p>
            <w:pPr>
              <w:jc w:val="right"/>
              <w:ind w:right="12"/>
              <w:spacing w:after="0" w:line="159" w:lineRule="exact"/>
              <w:rPr>
                <w:sz w:val="20"/>
                <w:szCs w:val="20"/>
                <w:color w:val="auto"/>
              </w:rPr>
            </w:pPr>
            <w:r>
              <w:rPr>
                <w:rFonts w:ascii="Arial" w:cs="Arial" w:eastAsia="Arial" w:hAnsi="Arial"/>
                <w:sz w:val="14"/>
                <w:szCs w:val="14"/>
                <w:color w:val="auto"/>
              </w:rPr>
              <w:t>6/24/2019</w:t>
            </w:r>
          </w:p>
        </w:tc>
        <w:tc>
          <w:tcPr>
            <w:tcW w:w="16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112"/>
              <w:spacing w:after="0" w:line="159" w:lineRule="exact"/>
              <w:rPr>
                <w:sz w:val="20"/>
                <w:szCs w:val="20"/>
                <w:color w:val="auto"/>
              </w:rPr>
            </w:pPr>
            <w:r>
              <w:rPr>
                <w:rFonts w:ascii="Arial" w:cs="Arial" w:eastAsia="Arial" w:hAnsi="Arial"/>
                <w:sz w:val="14"/>
                <w:szCs w:val="14"/>
                <w:color w:val="auto"/>
                <w:w w:val="83"/>
              </w:rPr>
              <w:t>1,436,538</w:t>
            </w:r>
          </w:p>
        </w:tc>
        <w:tc>
          <w:tcPr>
            <w:tcW w:w="920" w:type="dxa"/>
            <w:vAlign w:val="bottom"/>
          </w:tcPr>
          <w:p>
            <w:pPr>
              <w:jc w:val="right"/>
              <w:ind w:right="112"/>
              <w:spacing w:after="0" w:line="159" w:lineRule="exact"/>
              <w:rPr>
                <w:sz w:val="20"/>
                <w:szCs w:val="20"/>
                <w:color w:val="auto"/>
              </w:rPr>
            </w:pPr>
            <w:r>
              <w:rPr>
                <w:rFonts w:ascii="Arial" w:cs="Arial" w:eastAsia="Arial" w:hAnsi="Arial"/>
                <w:sz w:val="14"/>
                <w:szCs w:val="14"/>
                <w:color w:val="auto"/>
              </w:rPr>
              <w:t>1,430,514</w:t>
            </w:r>
          </w:p>
        </w:tc>
        <w:tc>
          <w:tcPr>
            <w:tcW w:w="800" w:type="dxa"/>
            <w:vAlign w:val="bottom"/>
          </w:tcPr>
          <w:p>
            <w:pPr>
              <w:jc w:val="right"/>
              <w:spacing w:after="0" w:line="159" w:lineRule="exact"/>
              <w:rPr>
                <w:sz w:val="20"/>
                <w:szCs w:val="20"/>
                <w:color w:val="auto"/>
              </w:rPr>
            </w:pPr>
            <w:r>
              <w:rPr>
                <w:rFonts w:ascii="Arial" w:cs="Arial" w:eastAsia="Arial" w:hAnsi="Arial"/>
                <w:sz w:val="14"/>
                <w:szCs w:val="14"/>
                <w:color w:val="auto"/>
              </w:rPr>
              <w:t>1,364,711</w:t>
            </w:r>
          </w:p>
        </w:tc>
      </w:tr>
      <w:tr>
        <w:trPr>
          <w:trHeight w:val="138"/>
        </w:trPr>
        <w:tc>
          <w:tcPr>
            <w:tcW w:w="22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P2 Upstream Acquisition Co. (P2</w:t>
            </w:r>
          </w:p>
        </w:tc>
        <w:tc>
          <w:tcPr>
            <w:tcW w:w="2240" w:type="dxa"/>
            <w:vAlign w:val="bottom"/>
            <w:shd w:val="clear" w:color="auto" w:fill="CCEEFF"/>
          </w:tcPr>
          <w:p>
            <w:pPr>
              <w:ind w:left="80"/>
              <w:spacing w:after="0" w:line="138" w:lineRule="exact"/>
              <w:rPr>
                <w:sz w:val="20"/>
                <w:szCs w:val="20"/>
                <w:color w:val="auto"/>
              </w:rPr>
            </w:pPr>
            <w:r>
              <w:rPr>
                <w:rFonts w:ascii="Arial" w:cs="Arial" w:eastAsia="Arial" w:hAnsi="Arial"/>
                <w:sz w:val="14"/>
                <w:szCs w:val="14"/>
                <w:color w:val="auto"/>
              </w:rPr>
              <w:t>Services: Business</w:t>
            </w:r>
          </w:p>
        </w:tc>
        <w:tc>
          <w:tcPr>
            <w:tcW w:w="2280" w:type="dxa"/>
            <w:vAlign w:val="bottom"/>
            <w:shd w:val="clear" w:color="auto" w:fill="CCEEFF"/>
          </w:tcPr>
          <w:p>
            <w:pPr>
              <w:ind w:left="200"/>
              <w:spacing w:after="0" w:line="138" w:lineRule="exact"/>
              <w:rPr>
                <w:sz w:val="20"/>
                <w:szCs w:val="20"/>
                <w:color w:val="auto"/>
              </w:rPr>
            </w:pPr>
            <w:r>
              <w:rPr>
                <w:rFonts w:ascii="Arial" w:cs="Arial" w:eastAsia="Arial" w:hAnsi="Arial"/>
                <w:sz w:val="14"/>
                <w:szCs w:val="14"/>
                <w:color w:val="auto"/>
              </w:rPr>
              <w:t>Term Loan (First Lien)</w:t>
            </w:r>
          </w:p>
        </w:tc>
        <w:tc>
          <w:tcPr>
            <w:tcW w:w="600" w:type="dxa"/>
            <w:vAlign w:val="bottom"/>
            <w:shd w:val="clear" w:color="auto" w:fill="CCEEFF"/>
          </w:tcPr>
          <w:p>
            <w:pPr>
              <w:ind w:left="80"/>
              <w:spacing w:after="0" w:line="138" w:lineRule="exact"/>
              <w:rPr>
                <w:sz w:val="20"/>
                <w:szCs w:val="20"/>
                <w:color w:val="auto"/>
              </w:rPr>
            </w:pPr>
            <w:r>
              <w:rPr>
                <w:rFonts w:ascii="Arial" w:cs="Arial" w:eastAsia="Arial" w:hAnsi="Arial"/>
                <w:sz w:val="14"/>
                <w:szCs w:val="14"/>
                <w:color w:val="auto"/>
              </w:rPr>
              <w:t>Loan</w:t>
            </w:r>
          </w:p>
        </w:tc>
        <w:tc>
          <w:tcPr>
            <w:tcW w:w="6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r>
      <w:tr>
        <w:trPr>
          <w:trHeight w:val="159"/>
        </w:trPr>
        <w:tc>
          <w:tcPr>
            <w:tcW w:w="2220" w:type="dxa"/>
            <w:vAlign w:val="bottom"/>
            <w:shd w:val="clear" w:color="auto" w:fill="CCEEFF"/>
          </w:tcPr>
          <w:p>
            <w:pPr>
              <w:ind w:left="140"/>
              <w:spacing w:after="0" w:line="159" w:lineRule="exact"/>
              <w:rPr>
                <w:sz w:val="20"/>
                <w:szCs w:val="20"/>
                <w:color w:val="auto"/>
              </w:rPr>
            </w:pPr>
            <w:r>
              <w:rPr>
                <w:rFonts w:ascii="Arial" w:cs="Arial" w:eastAsia="Arial" w:hAnsi="Arial"/>
                <w:sz w:val="14"/>
                <w:szCs w:val="14"/>
                <w:color w:val="auto"/>
              </w:rPr>
              <w:t>Upstream Canada BC ULC)</w:t>
            </w:r>
          </w:p>
        </w:tc>
        <w:tc>
          <w:tcPr>
            <w:tcW w:w="2240" w:type="dxa"/>
            <w:vAlign w:val="bottom"/>
            <w:shd w:val="clear" w:color="auto" w:fill="CCEEFF"/>
          </w:tcPr>
          <w:p>
            <w:pPr>
              <w:spacing w:after="0"/>
              <w:rPr>
                <w:sz w:val="13"/>
                <w:szCs w:val="13"/>
                <w:color w:val="auto"/>
              </w:rPr>
            </w:pPr>
          </w:p>
        </w:tc>
        <w:tc>
          <w:tcPr>
            <w:tcW w:w="22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680" w:type="dxa"/>
            <w:vAlign w:val="bottom"/>
            <w:shd w:val="clear" w:color="auto" w:fill="CCEEFF"/>
          </w:tcPr>
          <w:p>
            <w:pPr>
              <w:jc w:val="right"/>
              <w:ind w:right="32"/>
              <w:spacing w:after="0" w:line="159" w:lineRule="exact"/>
              <w:rPr>
                <w:sz w:val="20"/>
                <w:szCs w:val="20"/>
                <w:color w:val="auto"/>
              </w:rPr>
            </w:pPr>
            <w:r>
              <w:rPr>
                <w:rFonts w:ascii="Arial" w:cs="Arial" w:eastAsia="Arial" w:hAnsi="Arial"/>
                <w:sz w:val="14"/>
                <w:szCs w:val="14"/>
                <w:color w:val="auto"/>
              </w:rPr>
              <w:t>5.00%</w:t>
            </w:r>
          </w:p>
        </w:tc>
        <w:tc>
          <w:tcPr>
            <w:tcW w:w="800" w:type="dxa"/>
            <w:vAlign w:val="bottom"/>
            <w:shd w:val="clear" w:color="auto" w:fill="CCEEFF"/>
          </w:tcPr>
          <w:p>
            <w:pPr>
              <w:jc w:val="right"/>
              <w:ind w:right="12"/>
              <w:spacing w:after="0" w:line="159" w:lineRule="exact"/>
              <w:rPr>
                <w:sz w:val="20"/>
                <w:szCs w:val="20"/>
                <w:color w:val="auto"/>
              </w:rPr>
            </w:pPr>
            <w:r>
              <w:rPr>
                <w:rFonts w:ascii="Arial" w:cs="Arial" w:eastAsia="Arial" w:hAnsi="Arial"/>
                <w:sz w:val="14"/>
                <w:szCs w:val="14"/>
                <w:color w:val="auto"/>
                <w:w w:val="99"/>
              </w:rPr>
              <w:t>10/30/2020</w:t>
            </w:r>
          </w:p>
        </w:tc>
        <w:tc>
          <w:tcPr>
            <w:tcW w:w="1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112"/>
              <w:spacing w:after="0" w:line="159" w:lineRule="exact"/>
              <w:rPr>
                <w:sz w:val="20"/>
                <w:szCs w:val="20"/>
                <w:color w:val="auto"/>
              </w:rPr>
            </w:pPr>
            <w:r>
              <w:rPr>
                <w:rFonts w:ascii="Arial" w:cs="Arial" w:eastAsia="Arial" w:hAnsi="Arial"/>
                <w:sz w:val="14"/>
                <w:szCs w:val="14"/>
                <w:color w:val="auto"/>
              </w:rPr>
              <w:t>982,500</w:t>
            </w:r>
          </w:p>
        </w:tc>
        <w:tc>
          <w:tcPr>
            <w:tcW w:w="920" w:type="dxa"/>
            <w:vAlign w:val="bottom"/>
            <w:shd w:val="clear" w:color="auto" w:fill="CCEEFF"/>
          </w:tcPr>
          <w:p>
            <w:pPr>
              <w:jc w:val="right"/>
              <w:ind w:right="112"/>
              <w:spacing w:after="0" w:line="159" w:lineRule="exact"/>
              <w:rPr>
                <w:sz w:val="20"/>
                <w:szCs w:val="20"/>
                <w:color w:val="auto"/>
              </w:rPr>
            </w:pPr>
            <w:r>
              <w:rPr>
                <w:rFonts w:ascii="Arial" w:cs="Arial" w:eastAsia="Arial" w:hAnsi="Arial"/>
                <w:sz w:val="14"/>
                <w:szCs w:val="14"/>
                <w:color w:val="auto"/>
              </w:rPr>
              <w:t>978,471</w:t>
            </w:r>
          </w:p>
        </w:tc>
        <w:tc>
          <w:tcPr>
            <w:tcW w:w="8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935,831</w:t>
            </w:r>
          </w:p>
        </w:tc>
      </w:tr>
      <w:tr>
        <w:trPr>
          <w:trHeight w:val="149"/>
        </w:trPr>
        <w:tc>
          <w:tcPr>
            <w:tcW w:w="2220" w:type="dxa"/>
            <w:vAlign w:val="bottom"/>
          </w:tcPr>
          <w:p>
            <w:pPr>
              <w:spacing w:after="0" w:line="149" w:lineRule="exact"/>
              <w:rPr>
                <w:sz w:val="20"/>
                <w:szCs w:val="20"/>
                <w:color w:val="auto"/>
              </w:rPr>
            </w:pPr>
            <w:r>
              <w:rPr>
                <w:rFonts w:ascii="Arial" w:cs="Arial" w:eastAsia="Arial" w:hAnsi="Arial"/>
                <w:sz w:val="14"/>
                <w:szCs w:val="14"/>
                <w:color w:val="auto"/>
              </w:rPr>
              <w:t>Penn Products Terminal, LLC</w:t>
            </w:r>
          </w:p>
        </w:tc>
        <w:tc>
          <w:tcPr>
            <w:tcW w:w="2240" w:type="dxa"/>
            <w:vAlign w:val="bottom"/>
          </w:tcPr>
          <w:p>
            <w:pPr>
              <w:ind w:left="80"/>
              <w:spacing w:after="0" w:line="149" w:lineRule="exact"/>
              <w:rPr>
                <w:sz w:val="20"/>
                <w:szCs w:val="20"/>
                <w:color w:val="auto"/>
              </w:rPr>
            </w:pPr>
            <w:r>
              <w:rPr>
                <w:rFonts w:ascii="Arial" w:cs="Arial" w:eastAsia="Arial" w:hAnsi="Arial"/>
                <w:sz w:val="14"/>
                <w:szCs w:val="14"/>
                <w:color w:val="auto"/>
              </w:rPr>
              <w:t>Chemicals/Plastics</w:t>
            </w:r>
          </w:p>
        </w:tc>
        <w:tc>
          <w:tcPr>
            <w:tcW w:w="2280" w:type="dxa"/>
            <w:vAlign w:val="bottom"/>
          </w:tcPr>
          <w:p>
            <w:pPr>
              <w:ind w:left="200"/>
              <w:spacing w:after="0" w:line="149" w:lineRule="exact"/>
              <w:rPr>
                <w:sz w:val="20"/>
                <w:szCs w:val="20"/>
                <w:color w:val="auto"/>
              </w:rPr>
            </w:pPr>
            <w:r>
              <w:rPr>
                <w:rFonts w:ascii="Arial" w:cs="Arial" w:eastAsia="Arial" w:hAnsi="Arial"/>
                <w:sz w:val="14"/>
                <w:szCs w:val="14"/>
                <w:color w:val="auto"/>
              </w:rPr>
              <w:t>Term Loan B</w:t>
            </w:r>
          </w:p>
        </w:tc>
        <w:tc>
          <w:tcPr>
            <w:tcW w:w="600" w:type="dxa"/>
            <w:vAlign w:val="bottom"/>
          </w:tcPr>
          <w:p>
            <w:pPr>
              <w:ind w:left="80"/>
              <w:spacing w:after="0" w:line="149" w:lineRule="exact"/>
              <w:rPr>
                <w:sz w:val="20"/>
                <w:szCs w:val="20"/>
                <w:color w:val="auto"/>
              </w:rPr>
            </w:pPr>
            <w:r>
              <w:rPr>
                <w:rFonts w:ascii="Arial" w:cs="Arial" w:eastAsia="Arial" w:hAnsi="Arial"/>
                <w:sz w:val="14"/>
                <w:szCs w:val="14"/>
                <w:color w:val="auto"/>
              </w:rPr>
              <w:t>Loan</w:t>
            </w:r>
          </w:p>
        </w:tc>
        <w:tc>
          <w:tcPr>
            <w:tcW w:w="680" w:type="dxa"/>
            <w:vAlign w:val="bottom"/>
          </w:tcPr>
          <w:p>
            <w:pPr>
              <w:jc w:val="right"/>
              <w:ind w:right="32"/>
              <w:spacing w:after="0" w:line="149" w:lineRule="exact"/>
              <w:rPr>
                <w:sz w:val="20"/>
                <w:szCs w:val="20"/>
                <w:color w:val="auto"/>
              </w:rPr>
            </w:pPr>
            <w:r>
              <w:rPr>
                <w:rFonts w:ascii="Arial" w:cs="Arial" w:eastAsia="Arial" w:hAnsi="Arial"/>
                <w:sz w:val="14"/>
                <w:szCs w:val="14"/>
                <w:color w:val="auto"/>
              </w:rPr>
              <w:t>4.75%</w:t>
            </w:r>
          </w:p>
        </w:tc>
        <w:tc>
          <w:tcPr>
            <w:tcW w:w="8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4/13/2022</w:t>
            </w:r>
          </w:p>
        </w:tc>
        <w:tc>
          <w:tcPr>
            <w:tcW w:w="1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248,750</w:t>
            </w:r>
          </w:p>
        </w:tc>
        <w:tc>
          <w:tcPr>
            <w:tcW w:w="9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247,572</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230,094</w:t>
            </w:r>
          </w:p>
        </w:tc>
      </w:tr>
      <w:tr>
        <w:trPr>
          <w:trHeight w:val="149"/>
        </w:trPr>
        <w:tc>
          <w:tcPr>
            <w:tcW w:w="2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PetCo Animal Supplies Stores, Inc.</w:t>
            </w:r>
          </w:p>
        </w:tc>
        <w:tc>
          <w:tcPr>
            <w:tcW w:w="224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w w:val="99"/>
              </w:rPr>
              <w:t>Retailers (Except Food and Drugs)</w:t>
            </w:r>
          </w:p>
        </w:tc>
        <w:tc>
          <w:tcPr>
            <w:tcW w:w="22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New Loans</w:t>
            </w:r>
          </w:p>
        </w:tc>
        <w:tc>
          <w:tcPr>
            <w:tcW w:w="60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Loan</w:t>
            </w:r>
          </w:p>
        </w:tc>
        <w:tc>
          <w:tcPr>
            <w:tcW w:w="68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4.00%</w:t>
            </w:r>
          </w:p>
        </w:tc>
        <w:tc>
          <w:tcPr>
            <w:tcW w:w="8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w w:val="99"/>
              </w:rPr>
              <w:t>11/24/2017</w:t>
            </w:r>
          </w:p>
        </w:tc>
        <w:tc>
          <w:tcPr>
            <w:tcW w:w="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w w:val="83"/>
              </w:rPr>
              <w:t>1,457,908</w:t>
            </w:r>
          </w:p>
        </w:tc>
        <w:tc>
          <w:tcPr>
            <w:tcW w:w="9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1,457,267</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1,453,811</w:t>
            </w:r>
          </w:p>
        </w:tc>
      </w:tr>
      <w:tr>
        <w:trPr>
          <w:trHeight w:val="149"/>
        </w:trPr>
        <w:tc>
          <w:tcPr>
            <w:tcW w:w="2220" w:type="dxa"/>
            <w:vAlign w:val="bottom"/>
          </w:tcPr>
          <w:p>
            <w:pPr>
              <w:spacing w:after="0" w:line="149" w:lineRule="exact"/>
              <w:rPr>
                <w:sz w:val="20"/>
                <w:szCs w:val="20"/>
                <w:color w:val="auto"/>
              </w:rPr>
            </w:pPr>
            <w:r>
              <w:rPr>
                <w:rFonts w:ascii="Arial" w:cs="Arial" w:eastAsia="Arial" w:hAnsi="Arial"/>
                <w:sz w:val="14"/>
                <w:szCs w:val="14"/>
                <w:color w:val="auto"/>
                <w:w w:val="90"/>
              </w:rPr>
              <w:t>Petsmart, Inc. (Argos Merger Sub, Inc.)</w:t>
            </w:r>
          </w:p>
        </w:tc>
        <w:tc>
          <w:tcPr>
            <w:tcW w:w="2240" w:type="dxa"/>
            <w:vAlign w:val="bottom"/>
          </w:tcPr>
          <w:p>
            <w:pPr>
              <w:ind w:left="80"/>
              <w:spacing w:after="0" w:line="149" w:lineRule="exact"/>
              <w:rPr>
                <w:sz w:val="20"/>
                <w:szCs w:val="20"/>
                <w:color w:val="auto"/>
              </w:rPr>
            </w:pPr>
            <w:r>
              <w:rPr>
                <w:rFonts w:ascii="Arial" w:cs="Arial" w:eastAsia="Arial" w:hAnsi="Arial"/>
                <w:sz w:val="14"/>
                <w:szCs w:val="14"/>
                <w:color w:val="auto"/>
                <w:w w:val="99"/>
              </w:rPr>
              <w:t>Retailers (Except Food and Drugs)</w:t>
            </w:r>
          </w:p>
        </w:tc>
        <w:tc>
          <w:tcPr>
            <w:tcW w:w="2280" w:type="dxa"/>
            <w:vAlign w:val="bottom"/>
          </w:tcPr>
          <w:p>
            <w:pPr>
              <w:ind w:left="200"/>
              <w:spacing w:after="0" w:line="149" w:lineRule="exact"/>
              <w:rPr>
                <w:sz w:val="20"/>
                <w:szCs w:val="20"/>
                <w:color w:val="auto"/>
              </w:rPr>
            </w:pPr>
            <w:r>
              <w:rPr>
                <w:rFonts w:ascii="Arial" w:cs="Arial" w:eastAsia="Arial" w:hAnsi="Arial"/>
                <w:sz w:val="14"/>
                <w:szCs w:val="14"/>
                <w:color w:val="auto"/>
              </w:rPr>
              <w:t>Term Loan B1</w:t>
            </w:r>
          </w:p>
        </w:tc>
        <w:tc>
          <w:tcPr>
            <w:tcW w:w="600" w:type="dxa"/>
            <w:vAlign w:val="bottom"/>
          </w:tcPr>
          <w:p>
            <w:pPr>
              <w:ind w:left="80"/>
              <w:spacing w:after="0" w:line="149" w:lineRule="exact"/>
              <w:rPr>
                <w:sz w:val="20"/>
                <w:szCs w:val="20"/>
                <w:color w:val="auto"/>
              </w:rPr>
            </w:pPr>
            <w:r>
              <w:rPr>
                <w:rFonts w:ascii="Arial" w:cs="Arial" w:eastAsia="Arial" w:hAnsi="Arial"/>
                <w:sz w:val="14"/>
                <w:szCs w:val="14"/>
                <w:color w:val="auto"/>
              </w:rPr>
              <w:t>Loan</w:t>
            </w:r>
          </w:p>
        </w:tc>
        <w:tc>
          <w:tcPr>
            <w:tcW w:w="680" w:type="dxa"/>
            <w:vAlign w:val="bottom"/>
          </w:tcPr>
          <w:p>
            <w:pPr>
              <w:jc w:val="right"/>
              <w:ind w:right="32"/>
              <w:spacing w:after="0" w:line="149" w:lineRule="exact"/>
              <w:rPr>
                <w:sz w:val="20"/>
                <w:szCs w:val="20"/>
                <w:color w:val="auto"/>
              </w:rPr>
            </w:pPr>
            <w:r>
              <w:rPr>
                <w:rFonts w:ascii="Arial" w:cs="Arial" w:eastAsia="Arial" w:hAnsi="Arial"/>
                <w:sz w:val="14"/>
                <w:szCs w:val="14"/>
                <w:color w:val="auto"/>
              </w:rPr>
              <w:t>4.25%</w:t>
            </w:r>
          </w:p>
        </w:tc>
        <w:tc>
          <w:tcPr>
            <w:tcW w:w="8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3/11/2022</w:t>
            </w:r>
          </w:p>
        </w:tc>
        <w:tc>
          <w:tcPr>
            <w:tcW w:w="1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995,000</w:t>
            </w:r>
          </w:p>
        </w:tc>
        <w:tc>
          <w:tcPr>
            <w:tcW w:w="9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990,308</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976,423</w:t>
            </w:r>
          </w:p>
        </w:tc>
      </w:tr>
      <w:tr>
        <w:trPr>
          <w:trHeight w:val="149"/>
        </w:trPr>
        <w:tc>
          <w:tcPr>
            <w:tcW w:w="2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PGX Holdings, Inc.</w:t>
            </w:r>
          </w:p>
        </w:tc>
        <w:tc>
          <w:tcPr>
            <w:tcW w:w="224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Financial Intermediaries</w:t>
            </w:r>
          </w:p>
        </w:tc>
        <w:tc>
          <w:tcPr>
            <w:tcW w:w="22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Term Loan</w:t>
            </w:r>
          </w:p>
        </w:tc>
        <w:tc>
          <w:tcPr>
            <w:tcW w:w="60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Loan</w:t>
            </w:r>
          </w:p>
        </w:tc>
        <w:tc>
          <w:tcPr>
            <w:tcW w:w="68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5.75%</w:t>
            </w:r>
          </w:p>
        </w:tc>
        <w:tc>
          <w:tcPr>
            <w:tcW w:w="8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9/29/2020</w:t>
            </w:r>
          </w:p>
        </w:tc>
        <w:tc>
          <w:tcPr>
            <w:tcW w:w="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957,143</w:t>
            </w:r>
          </w:p>
        </w:tc>
        <w:tc>
          <w:tcPr>
            <w:tcW w:w="9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949,280</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948,768</w:t>
            </w:r>
          </w:p>
        </w:tc>
      </w:tr>
      <w:tr>
        <w:trPr>
          <w:trHeight w:val="138"/>
        </w:trPr>
        <w:tc>
          <w:tcPr>
            <w:tcW w:w="2220" w:type="dxa"/>
            <w:vAlign w:val="bottom"/>
          </w:tcPr>
          <w:p>
            <w:pPr>
              <w:spacing w:after="0" w:line="138" w:lineRule="exact"/>
              <w:rPr>
                <w:sz w:val="20"/>
                <w:szCs w:val="20"/>
                <w:color w:val="auto"/>
              </w:rPr>
            </w:pPr>
            <w:r>
              <w:rPr>
                <w:rFonts w:ascii="Arial" w:cs="Arial" w:eastAsia="Arial" w:hAnsi="Arial"/>
                <w:sz w:val="14"/>
                <w:szCs w:val="14"/>
                <w:color w:val="auto"/>
                <w:w w:val="92"/>
              </w:rPr>
              <w:t>Pharmaceutical Product Development,</w:t>
            </w:r>
          </w:p>
        </w:tc>
        <w:tc>
          <w:tcPr>
            <w:tcW w:w="2240" w:type="dxa"/>
            <w:vAlign w:val="bottom"/>
          </w:tcPr>
          <w:p>
            <w:pPr>
              <w:ind w:left="80"/>
              <w:spacing w:after="0" w:line="138" w:lineRule="exact"/>
              <w:rPr>
                <w:sz w:val="20"/>
                <w:szCs w:val="20"/>
                <w:color w:val="auto"/>
              </w:rPr>
            </w:pPr>
            <w:r>
              <w:rPr>
                <w:rFonts w:ascii="Arial" w:cs="Arial" w:eastAsia="Arial" w:hAnsi="Arial"/>
                <w:sz w:val="14"/>
                <w:szCs w:val="14"/>
                <w:color w:val="auto"/>
              </w:rPr>
              <w:t>Conglomerate</w:t>
            </w:r>
          </w:p>
        </w:tc>
        <w:tc>
          <w:tcPr>
            <w:tcW w:w="2280" w:type="dxa"/>
            <w:vAlign w:val="bottom"/>
          </w:tcPr>
          <w:p>
            <w:pPr>
              <w:ind w:left="200"/>
              <w:spacing w:after="0" w:line="138" w:lineRule="exact"/>
              <w:rPr>
                <w:sz w:val="20"/>
                <w:szCs w:val="20"/>
                <w:color w:val="auto"/>
              </w:rPr>
            </w:pPr>
            <w:r>
              <w:rPr>
                <w:rFonts w:ascii="Arial" w:cs="Arial" w:eastAsia="Arial" w:hAnsi="Arial"/>
                <w:sz w:val="14"/>
                <w:szCs w:val="14"/>
                <w:color w:val="auto"/>
              </w:rPr>
              <w:t>Term Loan</w:t>
            </w:r>
          </w:p>
        </w:tc>
        <w:tc>
          <w:tcPr>
            <w:tcW w:w="600" w:type="dxa"/>
            <w:vAlign w:val="bottom"/>
          </w:tcPr>
          <w:p>
            <w:pPr>
              <w:ind w:left="80"/>
              <w:spacing w:after="0" w:line="138" w:lineRule="exact"/>
              <w:rPr>
                <w:sz w:val="20"/>
                <w:szCs w:val="20"/>
                <w:color w:val="auto"/>
              </w:rPr>
            </w:pPr>
            <w:r>
              <w:rPr>
                <w:rFonts w:ascii="Arial" w:cs="Arial" w:eastAsia="Arial" w:hAnsi="Arial"/>
                <w:sz w:val="14"/>
                <w:szCs w:val="14"/>
                <w:color w:val="auto"/>
              </w:rPr>
              <w:t>Loan</w:t>
            </w: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59"/>
        </w:trPr>
        <w:tc>
          <w:tcPr>
            <w:tcW w:w="2220" w:type="dxa"/>
            <w:vAlign w:val="bottom"/>
          </w:tcPr>
          <w:p>
            <w:pPr>
              <w:ind w:left="140"/>
              <w:spacing w:after="0" w:line="159" w:lineRule="exact"/>
              <w:rPr>
                <w:sz w:val="20"/>
                <w:szCs w:val="20"/>
                <w:color w:val="auto"/>
              </w:rPr>
            </w:pPr>
            <w:r>
              <w:rPr>
                <w:rFonts w:ascii="Arial" w:cs="Arial" w:eastAsia="Arial" w:hAnsi="Arial"/>
                <w:sz w:val="14"/>
                <w:szCs w:val="14"/>
                <w:color w:val="auto"/>
              </w:rPr>
              <w:t>Inc. (Jaguar Holdings, LLC)</w:t>
            </w:r>
          </w:p>
        </w:tc>
        <w:tc>
          <w:tcPr>
            <w:tcW w:w="224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80" w:type="dxa"/>
            <w:vAlign w:val="bottom"/>
          </w:tcPr>
          <w:p>
            <w:pPr>
              <w:jc w:val="right"/>
              <w:ind w:right="32"/>
              <w:spacing w:after="0" w:line="159" w:lineRule="exact"/>
              <w:rPr>
                <w:sz w:val="20"/>
                <w:szCs w:val="20"/>
                <w:color w:val="auto"/>
              </w:rPr>
            </w:pPr>
            <w:r>
              <w:rPr>
                <w:rFonts w:ascii="Arial" w:cs="Arial" w:eastAsia="Arial" w:hAnsi="Arial"/>
                <w:sz w:val="14"/>
                <w:szCs w:val="14"/>
                <w:color w:val="auto"/>
              </w:rPr>
              <w:t>4.25%</w:t>
            </w:r>
          </w:p>
        </w:tc>
        <w:tc>
          <w:tcPr>
            <w:tcW w:w="800" w:type="dxa"/>
            <w:vAlign w:val="bottom"/>
          </w:tcPr>
          <w:p>
            <w:pPr>
              <w:jc w:val="right"/>
              <w:ind w:right="12"/>
              <w:spacing w:after="0" w:line="159" w:lineRule="exact"/>
              <w:rPr>
                <w:sz w:val="20"/>
                <w:szCs w:val="20"/>
                <w:color w:val="auto"/>
              </w:rPr>
            </w:pPr>
            <w:r>
              <w:rPr>
                <w:rFonts w:ascii="Arial" w:cs="Arial" w:eastAsia="Arial" w:hAnsi="Arial"/>
                <w:sz w:val="14"/>
                <w:szCs w:val="14"/>
                <w:color w:val="auto"/>
              </w:rPr>
              <w:t>8/18/2022</w:t>
            </w:r>
          </w:p>
        </w:tc>
        <w:tc>
          <w:tcPr>
            <w:tcW w:w="16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112"/>
              <w:spacing w:after="0" w:line="159" w:lineRule="exact"/>
              <w:rPr>
                <w:sz w:val="20"/>
                <w:szCs w:val="20"/>
                <w:color w:val="auto"/>
              </w:rPr>
            </w:pPr>
            <w:r>
              <w:rPr>
                <w:rFonts w:ascii="Arial" w:cs="Arial" w:eastAsia="Arial" w:hAnsi="Arial"/>
                <w:sz w:val="14"/>
                <w:szCs w:val="14"/>
                <w:color w:val="auto"/>
                <w:w w:val="83"/>
              </w:rPr>
              <w:t>1,925,674</w:t>
            </w:r>
          </w:p>
        </w:tc>
        <w:tc>
          <w:tcPr>
            <w:tcW w:w="920" w:type="dxa"/>
            <w:vAlign w:val="bottom"/>
          </w:tcPr>
          <w:p>
            <w:pPr>
              <w:jc w:val="right"/>
              <w:ind w:right="112"/>
              <w:spacing w:after="0" w:line="159" w:lineRule="exact"/>
              <w:rPr>
                <w:sz w:val="20"/>
                <w:szCs w:val="20"/>
                <w:color w:val="auto"/>
              </w:rPr>
            </w:pPr>
            <w:r>
              <w:rPr>
                <w:rFonts w:ascii="Arial" w:cs="Arial" w:eastAsia="Arial" w:hAnsi="Arial"/>
                <w:sz w:val="14"/>
                <w:szCs w:val="14"/>
                <w:color w:val="auto"/>
              </w:rPr>
              <w:t>1,916,334</w:t>
            </w:r>
          </w:p>
        </w:tc>
        <w:tc>
          <w:tcPr>
            <w:tcW w:w="800" w:type="dxa"/>
            <w:vAlign w:val="bottom"/>
          </w:tcPr>
          <w:p>
            <w:pPr>
              <w:jc w:val="right"/>
              <w:spacing w:after="0" w:line="159" w:lineRule="exact"/>
              <w:rPr>
                <w:sz w:val="20"/>
                <w:szCs w:val="20"/>
                <w:color w:val="auto"/>
              </w:rPr>
            </w:pPr>
            <w:r>
              <w:rPr>
                <w:rFonts w:ascii="Arial" w:cs="Arial" w:eastAsia="Arial" w:hAnsi="Arial"/>
                <w:sz w:val="14"/>
                <w:szCs w:val="14"/>
                <w:color w:val="auto"/>
              </w:rPr>
              <w:t>1,872,718</w:t>
            </w:r>
          </w:p>
        </w:tc>
      </w:tr>
      <w:tr>
        <w:trPr>
          <w:trHeight w:val="149"/>
        </w:trPr>
        <w:tc>
          <w:tcPr>
            <w:tcW w:w="2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Phillips-Medisize Corporation</w:t>
            </w:r>
          </w:p>
        </w:tc>
        <w:tc>
          <w:tcPr>
            <w:tcW w:w="224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Healthcare &amp; Pharmaceuticals</w:t>
            </w:r>
          </w:p>
        </w:tc>
        <w:tc>
          <w:tcPr>
            <w:tcW w:w="22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Term Loan</w:t>
            </w:r>
          </w:p>
        </w:tc>
        <w:tc>
          <w:tcPr>
            <w:tcW w:w="60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Loan</w:t>
            </w:r>
          </w:p>
        </w:tc>
        <w:tc>
          <w:tcPr>
            <w:tcW w:w="68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4.75%</w:t>
            </w:r>
          </w:p>
        </w:tc>
        <w:tc>
          <w:tcPr>
            <w:tcW w:w="8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6/16/2021</w:t>
            </w:r>
          </w:p>
        </w:tc>
        <w:tc>
          <w:tcPr>
            <w:tcW w:w="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493,750</w:t>
            </w:r>
          </w:p>
        </w:tc>
        <w:tc>
          <w:tcPr>
            <w:tcW w:w="9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491,716</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482,335</w:t>
            </w:r>
          </w:p>
        </w:tc>
      </w:tr>
      <w:tr>
        <w:trPr>
          <w:trHeight w:val="149"/>
        </w:trPr>
        <w:tc>
          <w:tcPr>
            <w:tcW w:w="2220" w:type="dxa"/>
            <w:vAlign w:val="bottom"/>
          </w:tcPr>
          <w:p>
            <w:pPr>
              <w:spacing w:after="0" w:line="149" w:lineRule="exact"/>
              <w:rPr>
                <w:sz w:val="20"/>
                <w:szCs w:val="20"/>
                <w:color w:val="auto"/>
              </w:rPr>
            </w:pPr>
            <w:r>
              <w:rPr>
                <w:rFonts w:ascii="Arial" w:cs="Arial" w:eastAsia="Arial" w:hAnsi="Arial"/>
                <w:sz w:val="14"/>
                <w:szCs w:val="14"/>
                <w:color w:val="auto"/>
              </w:rPr>
              <w:t>Physio-Control International, Inc.</w:t>
            </w:r>
          </w:p>
        </w:tc>
        <w:tc>
          <w:tcPr>
            <w:tcW w:w="2240" w:type="dxa"/>
            <w:vAlign w:val="bottom"/>
          </w:tcPr>
          <w:p>
            <w:pPr>
              <w:ind w:left="80"/>
              <w:spacing w:after="0" w:line="149" w:lineRule="exact"/>
              <w:rPr>
                <w:sz w:val="20"/>
                <w:szCs w:val="20"/>
                <w:color w:val="auto"/>
              </w:rPr>
            </w:pPr>
            <w:r>
              <w:rPr>
                <w:rFonts w:ascii="Arial" w:cs="Arial" w:eastAsia="Arial" w:hAnsi="Arial"/>
                <w:sz w:val="14"/>
                <w:szCs w:val="14"/>
                <w:color w:val="auto"/>
              </w:rPr>
              <w:t>Healthcare &amp; Pharmaceuticals</w:t>
            </w:r>
          </w:p>
        </w:tc>
        <w:tc>
          <w:tcPr>
            <w:tcW w:w="2280" w:type="dxa"/>
            <w:vAlign w:val="bottom"/>
          </w:tcPr>
          <w:p>
            <w:pPr>
              <w:ind w:left="200"/>
              <w:spacing w:after="0" w:line="149" w:lineRule="exact"/>
              <w:rPr>
                <w:sz w:val="20"/>
                <w:szCs w:val="20"/>
                <w:color w:val="auto"/>
              </w:rPr>
            </w:pPr>
            <w:r>
              <w:rPr>
                <w:rFonts w:ascii="Arial" w:cs="Arial" w:eastAsia="Arial" w:hAnsi="Arial"/>
                <w:sz w:val="14"/>
                <w:szCs w:val="14"/>
                <w:color w:val="auto"/>
              </w:rPr>
              <w:t>Term Loan B</w:t>
            </w:r>
          </w:p>
        </w:tc>
        <w:tc>
          <w:tcPr>
            <w:tcW w:w="600" w:type="dxa"/>
            <w:vAlign w:val="bottom"/>
          </w:tcPr>
          <w:p>
            <w:pPr>
              <w:ind w:left="80"/>
              <w:spacing w:after="0" w:line="149" w:lineRule="exact"/>
              <w:rPr>
                <w:sz w:val="20"/>
                <w:szCs w:val="20"/>
                <w:color w:val="auto"/>
              </w:rPr>
            </w:pPr>
            <w:r>
              <w:rPr>
                <w:rFonts w:ascii="Arial" w:cs="Arial" w:eastAsia="Arial" w:hAnsi="Arial"/>
                <w:sz w:val="14"/>
                <w:szCs w:val="14"/>
                <w:color w:val="auto"/>
              </w:rPr>
              <w:t>Loan</w:t>
            </w:r>
          </w:p>
        </w:tc>
        <w:tc>
          <w:tcPr>
            <w:tcW w:w="680" w:type="dxa"/>
            <w:vAlign w:val="bottom"/>
          </w:tcPr>
          <w:p>
            <w:pPr>
              <w:jc w:val="right"/>
              <w:ind w:right="32"/>
              <w:spacing w:after="0" w:line="149" w:lineRule="exact"/>
              <w:rPr>
                <w:sz w:val="20"/>
                <w:szCs w:val="20"/>
                <w:color w:val="auto"/>
              </w:rPr>
            </w:pPr>
            <w:r>
              <w:rPr>
                <w:rFonts w:ascii="Arial" w:cs="Arial" w:eastAsia="Arial" w:hAnsi="Arial"/>
                <w:sz w:val="14"/>
                <w:szCs w:val="14"/>
                <w:color w:val="auto"/>
              </w:rPr>
              <w:t>5.50%</w:t>
            </w:r>
          </w:p>
        </w:tc>
        <w:tc>
          <w:tcPr>
            <w:tcW w:w="8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5/19/2022</w:t>
            </w:r>
          </w:p>
        </w:tc>
        <w:tc>
          <w:tcPr>
            <w:tcW w:w="1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500,000</w:t>
            </w:r>
          </w:p>
        </w:tc>
        <w:tc>
          <w:tcPr>
            <w:tcW w:w="9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497,538</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491,250</w:t>
            </w:r>
          </w:p>
        </w:tc>
      </w:tr>
      <w:tr>
        <w:trPr>
          <w:trHeight w:val="149"/>
        </w:trPr>
        <w:tc>
          <w:tcPr>
            <w:tcW w:w="2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Pinnacle Foods Finance LLC</w:t>
            </w:r>
          </w:p>
        </w:tc>
        <w:tc>
          <w:tcPr>
            <w:tcW w:w="224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Food Products</w:t>
            </w:r>
          </w:p>
        </w:tc>
        <w:tc>
          <w:tcPr>
            <w:tcW w:w="22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New Term Loan G</w:t>
            </w:r>
          </w:p>
        </w:tc>
        <w:tc>
          <w:tcPr>
            <w:tcW w:w="60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Loan</w:t>
            </w:r>
          </w:p>
        </w:tc>
        <w:tc>
          <w:tcPr>
            <w:tcW w:w="68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3.00%</w:t>
            </w:r>
          </w:p>
        </w:tc>
        <w:tc>
          <w:tcPr>
            <w:tcW w:w="8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4/29/2020</w:t>
            </w:r>
          </w:p>
        </w:tc>
        <w:tc>
          <w:tcPr>
            <w:tcW w:w="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w w:val="83"/>
              </w:rPr>
              <w:t>2,581,332</w:t>
            </w:r>
          </w:p>
        </w:tc>
        <w:tc>
          <w:tcPr>
            <w:tcW w:w="9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2,577,136</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2,549,065</w:t>
            </w:r>
          </w:p>
        </w:tc>
      </w:tr>
      <w:tr>
        <w:trPr>
          <w:trHeight w:val="149"/>
        </w:trPr>
        <w:tc>
          <w:tcPr>
            <w:tcW w:w="2220" w:type="dxa"/>
            <w:vAlign w:val="bottom"/>
          </w:tcPr>
          <w:p>
            <w:pPr>
              <w:spacing w:after="0" w:line="149" w:lineRule="exact"/>
              <w:rPr>
                <w:sz w:val="20"/>
                <w:szCs w:val="20"/>
                <w:color w:val="auto"/>
              </w:rPr>
            </w:pPr>
            <w:r>
              <w:rPr>
                <w:rFonts w:ascii="Arial" w:cs="Arial" w:eastAsia="Arial" w:hAnsi="Arial"/>
                <w:sz w:val="14"/>
                <w:szCs w:val="14"/>
                <w:color w:val="auto"/>
              </w:rPr>
              <w:t>Planet Fitness Holdings LLC</w:t>
            </w:r>
          </w:p>
        </w:tc>
        <w:tc>
          <w:tcPr>
            <w:tcW w:w="2240" w:type="dxa"/>
            <w:vAlign w:val="bottom"/>
          </w:tcPr>
          <w:p>
            <w:pPr>
              <w:ind w:left="80"/>
              <w:spacing w:after="0" w:line="149" w:lineRule="exact"/>
              <w:rPr>
                <w:sz w:val="20"/>
                <w:szCs w:val="20"/>
                <w:color w:val="auto"/>
              </w:rPr>
            </w:pPr>
            <w:r>
              <w:rPr>
                <w:rFonts w:ascii="Arial" w:cs="Arial" w:eastAsia="Arial" w:hAnsi="Arial"/>
                <w:sz w:val="14"/>
                <w:szCs w:val="14"/>
                <w:color w:val="auto"/>
              </w:rPr>
              <w:t>Leisure Goods/Activities/Movies</w:t>
            </w:r>
          </w:p>
        </w:tc>
        <w:tc>
          <w:tcPr>
            <w:tcW w:w="2280" w:type="dxa"/>
            <w:vAlign w:val="bottom"/>
          </w:tcPr>
          <w:p>
            <w:pPr>
              <w:ind w:left="200"/>
              <w:spacing w:after="0" w:line="149" w:lineRule="exact"/>
              <w:rPr>
                <w:sz w:val="20"/>
                <w:szCs w:val="20"/>
                <w:color w:val="auto"/>
              </w:rPr>
            </w:pPr>
            <w:r>
              <w:rPr>
                <w:rFonts w:ascii="Arial" w:cs="Arial" w:eastAsia="Arial" w:hAnsi="Arial"/>
                <w:sz w:val="14"/>
                <w:szCs w:val="14"/>
                <w:color w:val="auto"/>
              </w:rPr>
              <w:t>Term Loan</w:t>
            </w:r>
          </w:p>
        </w:tc>
        <w:tc>
          <w:tcPr>
            <w:tcW w:w="600" w:type="dxa"/>
            <w:vAlign w:val="bottom"/>
          </w:tcPr>
          <w:p>
            <w:pPr>
              <w:ind w:left="80"/>
              <w:spacing w:after="0" w:line="149" w:lineRule="exact"/>
              <w:rPr>
                <w:sz w:val="20"/>
                <w:szCs w:val="20"/>
                <w:color w:val="auto"/>
              </w:rPr>
            </w:pPr>
            <w:r>
              <w:rPr>
                <w:rFonts w:ascii="Arial" w:cs="Arial" w:eastAsia="Arial" w:hAnsi="Arial"/>
                <w:sz w:val="14"/>
                <w:szCs w:val="14"/>
                <w:color w:val="auto"/>
              </w:rPr>
              <w:t>Loan</w:t>
            </w:r>
          </w:p>
        </w:tc>
        <w:tc>
          <w:tcPr>
            <w:tcW w:w="680" w:type="dxa"/>
            <w:vAlign w:val="bottom"/>
          </w:tcPr>
          <w:p>
            <w:pPr>
              <w:jc w:val="right"/>
              <w:ind w:right="32"/>
              <w:spacing w:after="0" w:line="149" w:lineRule="exact"/>
              <w:rPr>
                <w:sz w:val="20"/>
                <w:szCs w:val="20"/>
                <w:color w:val="auto"/>
              </w:rPr>
            </w:pPr>
            <w:r>
              <w:rPr>
                <w:rFonts w:ascii="Arial" w:cs="Arial" w:eastAsia="Arial" w:hAnsi="Arial"/>
                <w:sz w:val="14"/>
                <w:szCs w:val="14"/>
                <w:color w:val="auto"/>
              </w:rPr>
              <w:t>4.75%</w:t>
            </w:r>
          </w:p>
        </w:tc>
        <w:tc>
          <w:tcPr>
            <w:tcW w:w="8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3/31/2021</w:t>
            </w:r>
          </w:p>
        </w:tc>
        <w:tc>
          <w:tcPr>
            <w:tcW w:w="1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112"/>
              <w:spacing w:after="0" w:line="149" w:lineRule="exact"/>
              <w:rPr>
                <w:sz w:val="20"/>
                <w:szCs w:val="20"/>
                <w:color w:val="auto"/>
              </w:rPr>
            </w:pPr>
            <w:r>
              <w:rPr>
                <w:rFonts w:ascii="Arial" w:cs="Arial" w:eastAsia="Arial" w:hAnsi="Arial"/>
                <w:sz w:val="14"/>
                <w:szCs w:val="14"/>
                <w:color w:val="auto"/>
                <w:w w:val="83"/>
              </w:rPr>
              <w:t>2,423,378</w:t>
            </w:r>
          </w:p>
        </w:tc>
        <w:tc>
          <w:tcPr>
            <w:tcW w:w="9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2,416,078</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2,393,086</w:t>
            </w:r>
          </w:p>
        </w:tc>
      </w:tr>
      <w:tr>
        <w:trPr>
          <w:trHeight w:val="149"/>
        </w:trPr>
        <w:tc>
          <w:tcPr>
            <w:tcW w:w="2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PrePaid Legal Services, Inc.</w:t>
            </w:r>
          </w:p>
        </w:tc>
        <w:tc>
          <w:tcPr>
            <w:tcW w:w="224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Services: Business</w:t>
            </w:r>
          </w:p>
        </w:tc>
        <w:tc>
          <w:tcPr>
            <w:tcW w:w="22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Term Loan B</w:t>
            </w:r>
          </w:p>
        </w:tc>
        <w:tc>
          <w:tcPr>
            <w:tcW w:w="60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Loan</w:t>
            </w:r>
          </w:p>
        </w:tc>
        <w:tc>
          <w:tcPr>
            <w:tcW w:w="68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6.50%</w:t>
            </w:r>
          </w:p>
        </w:tc>
        <w:tc>
          <w:tcPr>
            <w:tcW w:w="8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7/1/2019</w:t>
            </w:r>
          </w:p>
        </w:tc>
        <w:tc>
          <w:tcPr>
            <w:tcW w:w="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737,083</w:t>
            </w:r>
          </w:p>
        </w:tc>
        <w:tc>
          <w:tcPr>
            <w:tcW w:w="9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733,666</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730,177</w:t>
            </w:r>
          </w:p>
        </w:tc>
      </w:tr>
      <w:tr>
        <w:trPr>
          <w:trHeight w:val="149"/>
        </w:trPr>
        <w:tc>
          <w:tcPr>
            <w:tcW w:w="2220" w:type="dxa"/>
            <w:vAlign w:val="bottom"/>
          </w:tcPr>
          <w:p>
            <w:pPr>
              <w:spacing w:after="0" w:line="149" w:lineRule="exact"/>
              <w:rPr>
                <w:sz w:val="20"/>
                <w:szCs w:val="20"/>
                <w:color w:val="auto"/>
              </w:rPr>
            </w:pPr>
            <w:r>
              <w:rPr>
                <w:rFonts w:ascii="Arial" w:cs="Arial" w:eastAsia="Arial" w:hAnsi="Arial"/>
                <w:sz w:val="14"/>
                <w:szCs w:val="14"/>
                <w:color w:val="auto"/>
              </w:rPr>
              <w:t>Presidio, Inc.</w:t>
            </w:r>
          </w:p>
        </w:tc>
        <w:tc>
          <w:tcPr>
            <w:tcW w:w="2240" w:type="dxa"/>
            <w:vAlign w:val="bottom"/>
          </w:tcPr>
          <w:p>
            <w:pPr>
              <w:ind w:left="80"/>
              <w:spacing w:after="0" w:line="149" w:lineRule="exact"/>
              <w:rPr>
                <w:sz w:val="20"/>
                <w:szCs w:val="20"/>
                <w:color w:val="auto"/>
              </w:rPr>
            </w:pPr>
            <w:r>
              <w:rPr>
                <w:rFonts w:ascii="Arial" w:cs="Arial" w:eastAsia="Arial" w:hAnsi="Arial"/>
                <w:sz w:val="14"/>
                <w:szCs w:val="14"/>
                <w:color w:val="auto"/>
              </w:rPr>
              <w:t>Services: Business</w:t>
            </w:r>
          </w:p>
        </w:tc>
        <w:tc>
          <w:tcPr>
            <w:tcW w:w="2280" w:type="dxa"/>
            <w:vAlign w:val="bottom"/>
          </w:tcPr>
          <w:p>
            <w:pPr>
              <w:ind w:left="200"/>
              <w:spacing w:after="0" w:line="149" w:lineRule="exact"/>
              <w:rPr>
                <w:sz w:val="20"/>
                <w:szCs w:val="20"/>
                <w:color w:val="auto"/>
              </w:rPr>
            </w:pPr>
            <w:r>
              <w:rPr>
                <w:rFonts w:ascii="Arial" w:cs="Arial" w:eastAsia="Arial" w:hAnsi="Arial"/>
                <w:sz w:val="14"/>
                <w:szCs w:val="14"/>
                <w:color w:val="auto"/>
              </w:rPr>
              <w:t>Term Loan</w:t>
            </w:r>
          </w:p>
        </w:tc>
        <w:tc>
          <w:tcPr>
            <w:tcW w:w="600" w:type="dxa"/>
            <w:vAlign w:val="bottom"/>
          </w:tcPr>
          <w:p>
            <w:pPr>
              <w:ind w:left="80"/>
              <w:spacing w:after="0" w:line="149" w:lineRule="exact"/>
              <w:rPr>
                <w:sz w:val="20"/>
                <w:szCs w:val="20"/>
                <w:color w:val="auto"/>
              </w:rPr>
            </w:pPr>
            <w:r>
              <w:rPr>
                <w:rFonts w:ascii="Arial" w:cs="Arial" w:eastAsia="Arial" w:hAnsi="Arial"/>
                <w:sz w:val="14"/>
                <w:szCs w:val="14"/>
                <w:color w:val="auto"/>
              </w:rPr>
              <w:t>Loan</w:t>
            </w:r>
          </w:p>
        </w:tc>
        <w:tc>
          <w:tcPr>
            <w:tcW w:w="680" w:type="dxa"/>
            <w:vAlign w:val="bottom"/>
          </w:tcPr>
          <w:p>
            <w:pPr>
              <w:jc w:val="right"/>
              <w:ind w:right="32"/>
              <w:spacing w:after="0" w:line="149" w:lineRule="exact"/>
              <w:rPr>
                <w:sz w:val="20"/>
                <w:szCs w:val="20"/>
                <w:color w:val="auto"/>
              </w:rPr>
            </w:pPr>
            <w:r>
              <w:rPr>
                <w:rFonts w:ascii="Arial" w:cs="Arial" w:eastAsia="Arial" w:hAnsi="Arial"/>
                <w:sz w:val="14"/>
                <w:szCs w:val="14"/>
                <w:color w:val="auto"/>
              </w:rPr>
              <w:t>5.25%</w:t>
            </w:r>
          </w:p>
        </w:tc>
        <w:tc>
          <w:tcPr>
            <w:tcW w:w="8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2/2/2022</w:t>
            </w:r>
          </w:p>
        </w:tc>
        <w:tc>
          <w:tcPr>
            <w:tcW w:w="1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112"/>
              <w:spacing w:after="0" w:line="149" w:lineRule="exact"/>
              <w:rPr>
                <w:sz w:val="20"/>
                <w:szCs w:val="20"/>
                <w:color w:val="auto"/>
              </w:rPr>
            </w:pPr>
            <w:r>
              <w:rPr>
                <w:rFonts w:ascii="Arial" w:cs="Arial" w:eastAsia="Arial" w:hAnsi="Arial"/>
                <w:sz w:val="14"/>
                <w:szCs w:val="14"/>
                <w:color w:val="auto"/>
                <w:w w:val="83"/>
              </w:rPr>
              <w:t>1,907,083</w:t>
            </w:r>
          </w:p>
        </w:tc>
        <w:tc>
          <w:tcPr>
            <w:tcW w:w="9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1,849,950</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1,884,446</w:t>
            </w:r>
          </w:p>
        </w:tc>
      </w:tr>
      <w:tr>
        <w:trPr>
          <w:trHeight w:val="138"/>
        </w:trPr>
        <w:tc>
          <w:tcPr>
            <w:tcW w:w="22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9"/>
              </w:rPr>
              <w:t>Prime Security Services (Protection</w:t>
            </w:r>
          </w:p>
        </w:tc>
        <w:tc>
          <w:tcPr>
            <w:tcW w:w="2240" w:type="dxa"/>
            <w:vAlign w:val="bottom"/>
            <w:shd w:val="clear" w:color="auto" w:fill="CCEEFF"/>
          </w:tcPr>
          <w:p>
            <w:pPr>
              <w:ind w:left="80"/>
              <w:spacing w:after="0" w:line="138" w:lineRule="exact"/>
              <w:rPr>
                <w:sz w:val="20"/>
                <w:szCs w:val="20"/>
                <w:color w:val="auto"/>
              </w:rPr>
            </w:pPr>
            <w:r>
              <w:rPr>
                <w:rFonts w:ascii="Arial" w:cs="Arial" w:eastAsia="Arial" w:hAnsi="Arial"/>
                <w:sz w:val="14"/>
                <w:szCs w:val="14"/>
                <w:color w:val="auto"/>
              </w:rPr>
              <w:t>Services: Business</w:t>
            </w:r>
          </w:p>
        </w:tc>
        <w:tc>
          <w:tcPr>
            <w:tcW w:w="2280" w:type="dxa"/>
            <w:vAlign w:val="bottom"/>
            <w:shd w:val="clear" w:color="auto" w:fill="CCEEFF"/>
          </w:tcPr>
          <w:p>
            <w:pPr>
              <w:ind w:left="200"/>
              <w:spacing w:after="0" w:line="138" w:lineRule="exact"/>
              <w:rPr>
                <w:sz w:val="20"/>
                <w:szCs w:val="20"/>
                <w:color w:val="auto"/>
              </w:rPr>
            </w:pPr>
            <w:r>
              <w:rPr>
                <w:rFonts w:ascii="Arial" w:cs="Arial" w:eastAsia="Arial" w:hAnsi="Arial"/>
                <w:sz w:val="14"/>
                <w:szCs w:val="14"/>
                <w:color w:val="auto"/>
              </w:rPr>
              <w:t>Term Loan</w:t>
            </w:r>
          </w:p>
        </w:tc>
        <w:tc>
          <w:tcPr>
            <w:tcW w:w="600" w:type="dxa"/>
            <w:vAlign w:val="bottom"/>
            <w:shd w:val="clear" w:color="auto" w:fill="CCEEFF"/>
          </w:tcPr>
          <w:p>
            <w:pPr>
              <w:ind w:left="80"/>
              <w:spacing w:after="0" w:line="138" w:lineRule="exact"/>
              <w:rPr>
                <w:sz w:val="20"/>
                <w:szCs w:val="20"/>
                <w:color w:val="auto"/>
              </w:rPr>
            </w:pPr>
            <w:r>
              <w:rPr>
                <w:rFonts w:ascii="Arial" w:cs="Arial" w:eastAsia="Arial" w:hAnsi="Arial"/>
                <w:sz w:val="14"/>
                <w:szCs w:val="14"/>
                <w:color w:val="auto"/>
              </w:rPr>
              <w:t>Loan</w:t>
            </w:r>
          </w:p>
        </w:tc>
        <w:tc>
          <w:tcPr>
            <w:tcW w:w="6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r>
      <w:tr>
        <w:trPr>
          <w:trHeight w:val="159"/>
        </w:trPr>
        <w:tc>
          <w:tcPr>
            <w:tcW w:w="2220" w:type="dxa"/>
            <w:vAlign w:val="bottom"/>
            <w:shd w:val="clear" w:color="auto" w:fill="CCEEFF"/>
          </w:tcPr>
          <w:p>
            <w:pPr>
              <w:ind w:left="140"/>
              <w:spacing w:after="0" w:line="159" w:lineRule="exact"/>
              <w:rPr>
                <w:sz w:val="20"/>
                <w:szCs w:val="20"/>
                <w:color w:val="auto"/>
              </w:rPr>
            </w:pPr>
            <w:r>
              <w:rPr>
                <w:rFonts w:ascii="Arial" w:cs="Arial" w:eastAsia="Arial" w:hAnsi="Arial"/>
                <w:sz w:val="14"/>
                <w:szCs w:val="14"/>
                <w:color w:val="auto"/>
              </w:rPr>
              <w:t>One)</w:t>
            </w:r>
          </w:p>
        </w:tc>
        <w:tc>
          <w:tcPr>
            <w:tcW w:w="2240" w:type="dxa"/>
            <w:vAlign w:val="bottom"/>
            <w:shd w:val="clear" w:color="auto" w:fill="CCEEFF"/>
          </w:tcPr>
          <w:p>
            <w:pPr>
              <w:spacing w:after="0"/>
              <w:rPr>
                <w:sz w:val="13"/>
                <w:szCs w:val="13"/>
                <w:color w:val="auto"/>
              </w:rPr>
            </w:pPr>
          </w:p>
        </w:tc>
        <w:tc>
          <w:tcPr>
            <w:tcW w:w="22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680" w:type="dxa"/>
            <w:vAlign w:val="bottom"/>
            <w:shd w:val="clear" w:color="auto" w:fill="CCEEFF"/>
          </w:tcPr>
          <w:p>
            <w:pPr>
              <w:jc w:val="right"/>
              <w:ind w:right="32"/>
              <w:spacing w:after="0" w:line="159" w:lineRule="exact"/>
              <w:rPr>
                <w:sz w:val="20"/>
                <w:szCs w:val="20"/>
                <w:color w:val="auto"/>
              </w:rPr>
            </w:pPr>
            <w:r>
              <w:rPr>
                <w:rFonts w:ascii="Arial" w:cs="Arial" w:eastAsia="Arial" w:hAnsi="Arial"/>
                <w:sz w:val="14"/>
                <w:szCs w:val="14"/>
                <w:color w:val="auto"/>
              </w:rPr>
              <w:t>5.00%</w:t>
            </w:r>
          </w:p>
        </w:tc>
        <w:tc>
          <w:tcPr>
            <w:tcW w:w="800" w:type="dxa"/>
            <w:vAlign w:val="bottom"/>
            <w:shd w:val="clear" w:color="auto" w:fill="CCEEFF"/>
          </w:tcPr>
          <w:p>
            <w:pPr>
              <w:jc w:val="right"/>
              <w:ind w:right="12"/>
              <w:spacing w:after="0" w:line="159" w:lineRule="exact"/>
              <w:rPr>
                <w:sz w:val="20"/>
                <w:szCs w:val="20"/>
                <w:color w:val="auto"/>
              </w:rPr>
            </w:pPr>
            <w:r>
              <w:rPr>
                <w:rFonts w:ascii="Arial" w:cs="Arial" w:eastAsia="Arial" w:hAnsi="Arial"/>
                <w:sz w:val="14"/>
                <w:szCs w:val="14"/>
                <w:color w:val="auto"/>
              </w:rPr>
              <w:t>7/1/2021</w:t>
            </w:r>
          </w:p>
        </w:tc>
        <w:tc>
          <w:tcPr>
            <w:tcW w:w="1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112"/>
              <w:spacing w:after="0" w:line="159" w:lineRule="exact"/>
              <w:rPr>
                <w:sz w:val="20"/>
                <w:szCs w:val="20"/>
                <w:color w:val="auto"/>
              </w:rPr>
            </w:pPr>
            <w:r>
              <w:rPr>
                <w:rFonts w:ascii="Arial" w:cs="Arial" w:eastAsia="Arial" w:hAnsi="Arial"/>
                <w:sz w:val="14"/>
                <w:szCs w:val="14"/>
                <w:color w:val="auto"/>
                <w:w w:val="83"/>
              </w:rPr>
              <w:t>2,000,000</w:t>
            </w:r>
          </w:p>
        </w:tc>
        <w:tc>
          <w:tcPr>
            <w:tcW w:w="920" w:type="dxa"/>
            <w:vAlign w:val="bottom"/>
            <w:shd w:val="clear" w:color="auto" w:fill="CCEEFF"/>
          </w:tcPr>
          <w:p>
            <w:pPr>
              <w:jc w:val="right"/>
              <w:ind w:right="112"/>
              <w:spacing w:after="0" w:line="159" w:lineRule="exact"/>
              <w:rPr>
                <w:sz w:val="20"/>
                <w:szCs w:val="20"/>
                <w:color w:val="auto"/>
              </w:rPr>
            </w:pPr>
            <w:r>
              <w:rPr>
                <w:rFonts w:ascii="Arial" w:cs="Arial" w:eastAsia="Arial" w:hAnsi="Arial"/>
                <w:sz w:val="14"/>
                <w:szCs w:val="14"/>
                <w:color w:val="auto"/>
              </w:rPr>
              <w:t>1,990,000</w:t>
            </w:r>
          </w:p>
        </w:tc>
        <w:tc>
          <w:tcPr>
            <w:tcW w:w="8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1,975,000</w:t>
            </w:r>
          </w:p>
        </w:tc>
      </w:tr>
      <w:tr>
        <w:trPr>
          <w:trHeight w:val="149"/>
        </w:trPr>
        <w:tc>
          <w:tcPr>
            <w:tcW w:w="2220" w:type="dxa"/>
            <w:vAlign w:val="bottom"/>
          </w:tcPr>
          <w:p>
            <w:pPr>
              <w:spacing w:after="0" w:line="149" w:lineRule="exact"/>
              <w:rPr>
                <w:sz w:val="20"/>
                <w:szCs w:val="20"/>
                <w:color w:val="auto"/>
              </w:rPr>
            </w:pPr>
            <w:r>
              <w:rPr>
                <w:rFonts w:ascii="Arial" w:cs="Arial" w:eastAsia="Arial" w:hAnsi="Arial"/>
                <w:sz w:val="14"/>
                <w:szCs w:val="14"/>
                <w:color w:val="auto"/>
              </w:rPr>
              <w:t>Ranpak Holdings, Inc.</w:t>
            </w:r>
          </w:p>
        </w:tc>
        <w:tc>
          <w:tcPr>
            <w:tcW w:w="2240" w:type="dxa"/>
            <w:vAlign w:val="bottom"/>
          </w:tcPr>
          <w:p>
            <w:pPr>
              <w:ind w:left="80"/>
              <w:spacing w:after="0" w:line="149" w:lineRule="exact"/>
              <w:rPr>
                <w:sz w:val="20"/>
                <w:szCs w:val="20"/>
                <w:color w:val="auto"/>
              </w:rPr>
            </w:pPr>
            <w:r>
              <w:rPr>
                <w:rFonts w:ascii="Arial" w:cs="Arial" w:eastAsia="Arial" w:hAnsi="Arial"/>
                <w:sz w:val="14"/>
                <w:szCs w:val="14"/>
                <w:color w:val="auto"/>
              </w:rPr>
              <w:t>Services: Business</w:t>
            </w:r>
          </w:p>
        </w:tc>
        <w:tc>
          <w:tcPr>
            <w:tcW w:w="2280" w:type="dxa"/>
            <w:vAlign w:val="bottom"/>
          </w:tcPr>
          <w:p>
            <w:pPr>
              <w:ind w:left="200"/>
              <w:spacing w:after="0" w:line="149" w:lineRule="exact"/>
              <w:rPr>
                <w:sz w:val="20"/>
                <w:szCs w:val="20"/>
                <w:color w:val="auto"/>
              </w:rPr>
            </w:pPr>
            <w:r>
              <w:rPr>
                <w:rFonts w:ascii="Arial" w:cs="Arial" w:eastAsia="Arial" w:hAnsi="Arial"/>
                <w:sz w:val="14"/>
                <w:szCs w:val="14"/>
                <w:color w:val="auto"/>
              </w:rPr>
              <w:t>Term Loan</w:t>
            </w:r>
          </w:p>
        </w:tc>
        <w:tc>
          <w:tcPr>
            <w:tcW w:w="600" w:type="dxa"/>
            <w:vAlign w:val="bottom"/>
          </w:tcPr>
          <w:p>
            <w:pPr>
              <w:ind w:left="80"/>
              <w:spacing w:after="0" w:line="149" w:lineRule="exact"/>
              <w:rPr>
                <w:sz w:val="20"/>
                <w:szCs w:val="20"/>
                <w:color w:val="auto"/>
              </w:rPr>
            </w:pPr>
            <w:r>
              <w:rPr>
                <w:rFonts w:ascii="Arial" w:cs="Arial" w:eastAsia="Arial" w:hAnsi="Arial"/>
                <w:sz w:val="14"/>
                <w:szCs w:val="14"/>
                <w:color w:val="auto"/>
              </w:rPr>
              <w:t>Loan</w:t>
            </w:r>
          </w:p>
        </w:tc>
        <w:tc>
          <w:tcPr>
            <w:tcW w:w="680" w:type="dxa"/>
            <w:vAlign w:val="bottom"/>
          </w:tcPr>
          <w:p>
            <w:pPr>
              <w:jc w:val="right"/>
              <w:ind w:right="32"/>
              <w:spacing w:after="0" w:line="149" w:lineRule="exact"/>
              <w:rPr>
                <w:sz w:val="20"/>
                <w:szCs w:val="20"/>
                <w:color w:val="auto"/>
              </w:rPr>
            </w:pPr>
            <w:r>
              <w:rPr>
                <w:rFonts w:ascii="Arial" w:cs="Arial" w:eastAsia="Arial" w:hAnsi="Arial"/>
                <w:sz w:val="14"/>
                <w:szCs w:val="14"/>
                <w:color w:val="auto"/>
              </w:rPr>
              <w:t>4.25%</w:t>
            </w:r>
          </w:p>
        </w:tc>
        <w:tc>
          <w:tcPr>
            <w:tcW w:w="8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10/1/2021</w:t>
            </w:r>
          </w:p>
        </w:tc>
        <w:tc>
          <w:tcPr>
            <w:tcW w:w="1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966,488</w:t>
            </w:r>
          </w:p>
        </w:tc>
        <w:tc>
          <w:tcPr>
            <w:tcW w:w="9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964,072</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955,209</w:t>
            </w:r>
          </w:p>
        </w:tc>
      </w:tr>
      <w:tr>
        <w:trPr>
          <w:trHeight w:val="149"/>
        </w:trPr>
        <w:tc>
          <w:tcPr>
            <w:tcW w:w="2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Ranpak Holdings, Inc.</w:t>
            </w:r>
          </w:p>
        </w:tc>
        <w:tc>
          <w:tcPr>
            <w:tcW w:w="224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Services: Business</w:t>
            </w:r>
          </w:p>
        </w:tc>
        <w:tc>
          <w:tcPr>
            <w:tcW w:w="22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Term Loan (Second Lien)</w:t>
            </w:r>
          </w:p>
        </w:tc>
        <w:tc>
          <w:tcPr>
            <w:tcW w:w="60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Loan</w:t>
            </w:r>
          </w:p>
        </w:tc>
        <w:tc>
          <w:tcPr>
            <w:tcW w:w="68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8.25%</w:t>
            </w:r>
          </w:p>
        </w:tc>
        <w:tc>
          <w:tcPr>
            <w:tcW w:w="8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9/30/2022</w:t>
            </w:r>
          </w:p>
        </w:tc>
        <w:tc>
          <w:tcPr>
            <w:tcW w:w="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500,000</w:t>
            </w:r>
          </w:p>
        </w:tc>
        <w:tc>
          <w:tcPr>
            <w:tcW w:w="9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497,820</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493,750</w:t>
            </w:r>
          </w:p>
        </w:tc>
      </w:tr>
      <w:tr>
        <w:trPr>
          <w:trHeight w:val="149"/>
        </w:trPr>
        <w:tc>
          <w:tcPr>
            <w:tcW w:w="2220" w:type="dxa"/>
            <w:vAlign w:val="bottom"/>
          </w:tcPr>
          <w:p>
            <w:pPr>
              <w:spacing w:after="0" w:line="149" w:lineRule="exact"/>
              <w:rPr>
                <w:sz w:val="20"/>
                <w:szCs w:val="20"/>
                <w:color w:val="auto"/>
              </w:rPr>
            </w:pPr>
            <w:r>
              <w:rPr>
                <w:rFonts w:ascii="Arial" w:cs="Arial" w:eastAsia="Arial" w:hAnsi="Arial"/>
                <w:sz w:val="14"/>
                <w:szCs w:val="14"/>
                <w:color w:val="auto"/>
              </w:rPr>
              <w:t>Redtop Acquisitions Limited</w:t>
            </w:r>
          </w:p>
        </w:tc>
        <w:tc>
          <w:tcPr>
            <w:tcW w:w="2240" w:type="dxa"/>
            <w:vAlign w:val="bottom"/>
          </w:tcPr>
          <w:p>
            <w:pPr>
              <w:ind w:left="80"/>
              <w:spacing w:after="0" w:line="149" w:lineRule="exact"/>
              <w:rPr>
                <w:sz w:val="20"/>
                <w:szCs w:val="20"/>
                <w:color w:val="auto"/>
              </w:rPr>
            </w:pPr>
            <w:r>
              <w:rPr>
                <w:rFonts w:ascii="Arial" w:cs="Arial" w:eastAsia="Arial" w:hAnsi="Arial"/>
                <w:sz w:val="14"/>
                <w:szCs w:val="14"/>
                <w:color w:val="auto"/>
              </w:rPr>
              <w:t>Electronics/Electric</w:t>
            </w:r>
          </w:p>
        </w:tc>
        <w:tc>
          <w:tcPr>
            <w:tcW w:w="2280" w:type="dxa"/>
            <w:vAlign w:val="bottom"/>
          </w:tcPr>
          <w:p>
            <w:pPr>
              <w:ind w:left="200"/>
              <w:spacing w:after="0" w:line="149" w:lineRule="exact"/>
              <w:rPr>
                <w:sz w:val="20"/>
                <w:szCs w:val="20"/>
                <w:color w:val="auto"/>
              </w:rPr>
            </w:pPr>
            <w:r>
              <w:rPr>
                <w:rFonts w:ascii="Arial" w:cs="Arial" w:eastAsia="Arial" w:hAnsi="Arial"/>
                <w:sz w:val="14"/>
                <w:szCs w:val="14"/>
                <w:color w:val="auto"/>
                <w:w w:val="95"/>
              </w:rPr>
              <w:t>Initial Dollar Term Loan (First Lien)</w:t>
            </w:r>
          </w:p>
        </w:tc>
        <w:tc>
          <w:tcPr>
            <w:tcW w:w="600" w:type="dxa"/>
            <w:vAlign w:val="bottom"/>
          </w:tcPr>
          <w:p>
            <w:pPr>
              <w:ind w:left="80"/>
              <w:spacing w:after="0" w:line="149" w:lineRule="exact"/>
              <w:rPr>
                <w:sz w:val="20"/>
                <w:szCs w:val="20"/>
                <w:color w:val="auto"/>
              </w:rPr>
            </w:pPr>
            <w:r>
              <w:rPr>
                <w:rFonts w:ascii="Arial" w:cs="Arial" w:eastAsia="Arial" w:hAnsi="Arial"/>
                <w:sz w:val="14"/>
                <w:szCs w:val="14"/>
                <w:color w:val="auto"/>
              </w:rPr>
              <w:t>Loan</w:t>
            </w:r>
          </w:p>
        </w:tc>
        <w:tc>
          <w:tcPr>
            <w:tcW w:w="680" w:type="dxa"/>
            <w:vAlign w:val="bottom"/>
          </w:tcPr>
          <w:p>
            <w:pPr>
              <w:jc w:val="right"/>
              <w:ind w:right="32"/>
              <w:spacing w:after="0" w:line="149" w:lineRule="exact"/>
              <w:rPr>
                <w:sz w:val="20"/>
                <w:szCs w:val="20"/>
                <w:color w:val="auto"/>
              </w:rPr>
            </w:pPr>
            <w:r>
              <w:rPr>
                <w:rFonts w:ascii="Arial" w:cs="Arial" w:eastAsia="Arial" w:hAnsi="Arial"/>
                <w:sz w:val="14"/>
                <w:szCs w:val="14"/>
                <w:color w:val="auto"/>
              </w:rPr>
              <w:t>4.50%</w:t>
            </w:r>
          </w:p>
        </w:tc>
        <w:tc>
          <w:tcPr>
            <w:tcW w:w="8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12/3/2020</w:t>
            </w:r>
          </w:p>
        </w:tc>
        <w:tc>
          <w:tcPr>
            <w:tcW w:w="1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491,250</w:t>
            </w:r>
          </w:p>
        </w:tc>
        <w:tc>
          <w:tcPr>
            <w:tcW w:w="9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488,593</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487,158</w:t>
            </w:r>
          </w:p>
        </w:tc>
      </w:tr>
      <w:tr>
        <w:trPr>
          <w:trHeight w:val="149"/>
        </w:trPr>
        <w:tc>
          <w:tcPr>
            <w:tcW w:w="2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Regal Cinemas Corporation</w:t>
            </w:r>
          </w:p>
        </w:tc>
        <w:tc>
          <w:tcPr>
            <w:tcW w:w="224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Services: Consumer</w:t>
            </w:r>
          </w:p>
        </w:tc>
        <w:tc>
          <w:tcPr>
            <w:tcW w:w="22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Term Loan</w:t>
            </w:r>
          </w:p>
        </w:tc>
        <w:tc>
          <w:tcPr>
            <w:tcW w:w="60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Loan</w:t>
            </w:r>
          </w:p>
        </w:tc>
        <w:tc>
          <w:tcPr>
            <w:tcW w:w="68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3.75%</w:t>
            </w:r>
          </w:p>
        </w:tc>
        <w:tc>
          <w:tcPr>
            <w:tcW w:w="8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4/1/2022</w:t>
            </w:r>
          </w:p>
        </w:tc>
        <w:tc>
          <w:tcPr>
            <w:tcW w:w="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498,750</w:t>
            </w:r>
          </w:p>
        </w:tc>
        <w:tc>
          <w:tcPr>
            <w:tcW w:w="9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497,545</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497,583</w:t>
            </w:r>
          </w:p>
        </w:tc>
      </w:tr>
      <w:tr>
        <w:trPr>
          <w:trHeight w:val="149"/>
        </w:trPr>
        <w:tc>
          <w:tcPr>
            <w:tcW w:w="2220" w:type="dxa"/>
            <w:vAlign w:val="bottom"/>
          </w:tcPr>
          <w:p>
            <w:pPr>
              <w:spacing w:after="0" w:line="149" w:lineRule="exact"/>
              <w:rPr>
                <w:sz w:val="20"/>
                <w:szCs w:val="20"/>
                <w:color w:val="auto"/>
              </w:rPr>
            </w:pPr>
            <w:r>
              <w:rPr>
                <w:rFonts w:ascii="Arial" w:cs="Arial" w:eastAsia="Arial" w:hAnsi="Arial"/>
                <w:sz w:val="14"/>
                <w:szCs w:val="14"/>
                <w:color w:val="auto"/>
              </w:rPr>
              <w:t>Research Now Group, Inc</w:t>
            </w:r>
          </w:p>
        </w:tc>
        <w:tc>
          <w:tcPr>
            <w:tcW w:w="2240" w:type="dxa"/>
            <w:vAlign w:val="bottom"/>
          </w:tcPr>
          <w:p>
            <w:pPr>
              <w:ind w:left="80"/>
              <w:spacing w:after="0" w:line="149" w:lineRule="exact"/>
              <w:rPr>
                <w:sz w:val="20"/>
                <w:szCs w:val="20"/>
                <w:color w:val="auto"/>
              </w:rPr>
            </w:pPr>
            <w:r>
              <w:rPr>
                <w:rFonts w:ascii="Arial" w:cs="Arial" w:eastAsia="Arial" w:hAnsi="Arial"/>
                <w:sz w:val="14"/>
                <w:szCs w:val="14"/>
                <w:color w:val="auto"/>
              </w:rPr>
              <w:t>Media</w:t>
            </w:r>
          </w:p>
        </w:tc>
        <w:tc>
          <w:tcPr>
            <w:tcW w:w="2280" w:type="dxa"/>
            <w:vAlign w:val="bottom"/>
          </w:tcPr>
          <w:p>
            <w:pPr>
              <w:ind w:left="200"/>
              <w:spacing w:after="0" w:line="149" w:lineRule="exact"/>
              <w:rPr>
                <w:sz w:val="20"/>
                <w:szCs w:val="20"/>
                <w:color w:val="auto"/>
              </w:rPr>
            </w:pPr>
            <w:r>
              <w:rPr>
                <w:rFonts w:ascii="Arial" w:cs="Arial" w:eastAsia="Arial" w:hAnsi="Arial"/>
                <w:sz w:val="14"/>
                <w:szCs w:val="14"/>
                <w:color w:val="auto"/>
              </w:rPr>
              <w:t>Term Loan B</w:t>
            </w:r>
          </w:p>
        </w:tc>
        <w:tc>
          <w:tcPr>
            <w:tcW w:w="600" w:type="dxa"/>
            <w:vAlign w:val="bottom"/>
          </w:tcPr>
          <w:p>
            <w:pPr>
              <w:ind w:left="80"/>
              <w:spacing w:after="0" w:line="149" w:lineRule="exact"/>
              <w:rPr>
                <w:sz w:val="20"/>
                <w:szCs w:val="20"/>
                <w:color w:val="auto"/>
              </w:rPr>
            </w:pPr>
            <w:r>
              <w:rPr>
                <w:rFonts w:ascii="Arial" w:cs="Arial" w:eastAsia="Arial" w:hAnsi="Arial"/>
                <w:sz w:val="14"/>
                <w:szCs w:val="14"/>
                <w:color w:val="auto"/>
              </w:rPr>
              <w:t>Loan</w:t>
            </w:r>
          </w:p>
        </w:tc>
        <w:tc>
          <w:tcPr>
            <w:tcW w:w="680" w:type="dxa"/>
            <w:vAlign w:val="bottom"/>
          </w:tcPr>
          <w:p>
            <w:pPr>
              <w:jc w:val="right"/>
              <w:ind w:right="32"/>
              <w:spacing w:after="0" w:line="149" w:lineRule="exact"/>
              <w:rPr>
                <w:sz w:val="20"/>
                <w:szCs w:val="20"/>
                <w:color w:val="auto"/>
              </w:rPr>
            </w:pPr>
            <w:r>
              <w:rPr>
                <w:rFonts w:ascii="Arial" w:cs="Arial" w:eastAsia="Arial" w:hAnsi="Arial"/>
                <w:sz w:val="14"/>
                <w:szCs w:val="14"/>
                <w:color w:val="auto"/>
              </w:rPr>
              <w:t>5.50%</w:t>
            </w:r>
          </w:p>
        </w:tc>
        <w:tc>
          <w:tcPr>
            <w:tcW w:w="8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3/18/2021</w:t>
            </w:r>
          </w:p>
        </w:tc>
        <w:tc>
          <w:tcPr>
            <w:tcW w:w="1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497,500</w:t>
            </w:r>
          </w:p>
        </w:tc>
        <w:tc>
          <w:tcPr>
            <w:tcW w:w="9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495,214</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490,038</w:t>
            </w:r>
          </w:p>
        </w:tc>
      </w:tr>
      <w:tr>
        <w:trPr>
          <w:trHeight w:val="149"/>
        </w:trPr>
        <w:tc>
          <w:tcPr>
            <w:tcW w:w="2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Rexnord LLC/RBS Global, Inc.</w:t>
            </w:r>
          </w:p>
        </w:tc>
        <w:tc>
          <w:tcPr>
            <w:tcW w:w="224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Industrial Equipment</w:t>
            </w:r>
          </w:p>
        </w:tc>
        <w:tc>
          <w:tcPr>
            <w:tcW w:w="22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Term B Loan</w:t>
            </w:r>
          </w:p>
        </w:tc>
        <w:tc>
          <w:tcPr>
            <w:tcW w:w="60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Loan</w:t>
            </w:r>
          </w:p>
        </w:tc>
        <w:tc>
          <w:tcPr>
            <w:tcW w:w="68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4.00%</w:t>
            </w:r>
          </w:p>
        </w:tc>
        <w:tc>
          <w:tcPr>
            <w:tcW w:w="8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8/21/2020</w:t>
            </w:r>
          </w:p>
        </w:tc>
        <w:tc>
          <w:tcPr>
            <w:tcW w:w="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w w:val="83"/>
              </w:rPr>
              <w:t>1,634,292</w:t>
            </w:r>
          </w:p>
        </w:tc>
        <w:tc>
          <w:tcPr>
            <w:tcW w:w="9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1,635,630</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1,596,294</w:t>
            </w:r>
          </w:p>
        </w:tc>
      </w:tr>
      <w:tr>
        <w:trPr>
          <w:trHeight w:val="149"/>
        </w:trPr>
        <w:tc>
          <w:tcPr>
            <w:tcW w:w="2220" w:type="dxa"/>
            <w:vAlign w:val="bottom"/>
          </w:tcPr>
          <w:p>
            <w:pPr>
              <w:spacing w:after="0" w:line="149" w:lineRule="exact"/>
              <w:rPr>
                <w:sz w:val="20"/>
                <w:szCs w:val="20"/>
                <w:color w:val="auto"/>
              </w:rPr>
            </w:pPr>
            <w:r>
              <w:rPr>
                <w:rFonts w:ascii="Arial" w:cs="Arial" w:eastAsia="Arial" w:hAnsi="Arial"/>
                <w:sz w:val="14"/>
                <w:szCs w:val="14"/>
                <w:color w:val="auto"/>
              </w:rPr>
              <w:t>Reynolds Group Holdings Inc.</w:t>
            </w:r>
          </w:p>
        </w:tc>
        <w:tc>
          <w:tcPr>
            <w:tcW w:w="2240" w:type="dxa"/>
            <w:vAlign w:val="bottom"/>
          </w:tcPr>
          <w:p>
            <w:pPr>
              <w:ind w:left="80"/>
              <w:spacing w:after="0" w:line="149" w:lineRule="exact"/>
              <w:rPr>
                <w:sz w:val="20"/>
                <w:szCs w:val="20"/>
                <w:color w:val="auto"/>
              </w:rPr>
            </w:pPr>
            <w:r>
              <w:rPr>
                <w:rFonts w:ascii="Arial" w:cs="Arial" w:eastAsia="Arial" w:hAnsi="Arial"/>
                <w:sz w:val="14"/>
                <w:szCs w:val="14"/>
                <w:color w:val="auto"/>
              </w:rPr>
              <w:t>Industrial Equipment</w:t>
            </w:r>
          </w:p>
        </w:tc>
        <w:tc>
          <w:tcPr>
            <w:tcW w:w="2280" w:type="dxa"/>
            <w:vAlign w:val="bottom"/>
          </w:tcPr>
          <w:p>
            <w:pPr>
              <w:ind w:left="200"/>
              <w:spacing w:after="0" w:line="149" w:lineRule="exact"/>
              <w:rPr>
                <w:sz w:val="20"/>
                <w:szCs w:val="20"/>
                <w:color w:val="auto"/>
              </w:rPr>
            </w:pPr>
            <w:r>
              <w:rPr>
                <w:rFonts w:ascii="Arial" w:cs="Arial" w:eastAsia="Arial" w:hAnsi="Arial"/>
                <w:sz w:val="14"/>
                <w:szCs w:val="14"/>
                <w:color w:val="auto"/>
              </w:rPr>
              <w:t>Incremental U.S. Term Loan</w:t>
            </w:r>
          </w:p>
        </w:tc>
        <w:tc>
          <w:tcPr>
            <w:tcW w:w="600" w:type="dxa"/>
            <w:vAlign w:val="bottom"/>
          </w:tcPr>
          <w:p>
            <w:pPr>
              <w:ind w:left="80"/>
              <w:spacing w:after="0" w:line="149" w:lineRule="exact"/>
              <w:rPr>
                <w:sz w:val="20"/>
                <w:szCs w:val="20"/>
                <w:color w:val="auto"/>
              </w:rPr>
            </w:pPr>
            <w:r>
              <w:rPr>
                <w:rFonts w:ascii="Arial" w:cs="Arial" w:eastAsia="Arial" w:hAnsi="Arial"/>
                <w:sz w:val="14"/>
                <w:szCs w:val="14"/>
                <w:color w:val="auto"/>
              </w:rPr>
              <w:t>Loan</w:t>
            </w:r>
          </w:p>
        </w:tc>
        <w:tc>
          <w:tcPr>
            <w:tcW w:w="680" w:type="dxa"/>
            <w:vAlign w:val="bottom"/>
          </w:tcPr>
          <w:p>
            <w:pPr>
              <w:jc w:val="right"/>
              <w:ind w:right="32"/>
              <w:spacing w:after="0" w:line="149" w:lineRule="exact"/>
              <w:rPr>
                <w:sz w:val="20"/>
                <w:szCs w:val="20"/>
                <w:color w:val="auto"/>
              </w:rPr>
            </w:pPr>
            <w:r>
              <w:rPr>
                <w:rFonts w:ascii="Arial" w:cs="Arial" w:eastAsia="Arial" w:hAnsi="Arial"/>
                <w:sz w:val="14"/>
                <w:szCs w:val="14"/>
                <w:color w:val="auto"/>
              </w:rPr>
              <w:t>4.50%</w:t>
            </w:r>
          </w:p>
        </w:tc>
        <w:tc>
          <w:tcPr>
            <w:tcW w:w="8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12/1/2018</w:t>
            </w:r>
          </w:p>
        </w:tc>
        <w:tc>
          <w:tcPr>
            <w:tcW w:w="1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112"/>
              <w:spacing w:after="0" w:line="149" w:lineRule="exact"/>
              <w:rPr>
                <w:sz w:val="20"/>
                <w:szCs w:val="20"/>
                <w:color w:val="auto"/>
              </w:rPr>
            </w:pPr>
            <w:r>
              <w:rPr>
                <w:rFonts w:ascii="Arial" w:cs="Arial" w:eastAsia="Arial" w:hAnsi="Arial"/>
                <w:sz w:val="14"/>
                <w:szCs w:val="14"/>
                <w:color w:val="auto"/>
                <w:w w:val="83"/>
              </w:rPr>
              <w:t>1,910,551</w:t>
            </w:r>
          </w:p>
        </w:tc>
        <w:tc>
          <w:tcPr>
            <w:tcW w:w="9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1,910,551</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1,902,851</w:t>
            </w:r>
          </w:p>
        </w:tc>
      </w:tr>
      <w:tr>
        <w:trPr>
          <w:trHeight w:val="149"/>
        </w:trPr>
        <w:tc>
          <w:tcPr>
            <w:tcW w:w="2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Riverbed Technology, Inc.</w:t>
            </w:r>
          </w:p>
        </w:tc>
        <w:tc>
          <w:tcPr>
            <w:tcW w:w="224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Technology</w:t>
            </w:r>
          </w:p>
        </w:tc>
        <w:tc>
          <w:tcPr>
            <w:tcW w:w="22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Term Loan B</w:t>
            </w:r>
          </w:p>
        </w:tc>
        <w:tc>
          <w:tcPr>
            <w:tcW w:w="60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Loan</w:t>
            </w:r>
          </w:p>
        </w:tc>
        <w:tc>
          <w:tcPr>
            <w:tcW w:w="68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6.00%</w:t>
            </w:r>
          </w:p>
        </w:tc>
        <w:tc>
          <w:tcPr>
            <w:tcW w:w="8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2/25/2022</w:t>
            </w:r>
          </w:p>
        </w:tc>
        <w:tc>
          <w:tcPr>
            <w:tcW w:w="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995,000</w:t>
            </w:r>
          </w:p>
        </w:tc>
        <w:tc>
          <w:tcPr>
            <w:tcW w:w="9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990,510</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992,513</w:t>
            </w:r>
          </w:p>
        </w:tc>
      </w:tr>
      <w:tr>
        <w:trPr>
          <w:trHeight w:val="149"/>
        </w:trPr>
        <w:tc>
          <w:tcPr>
            <w:tcW w:w="2220" w:type="dxa"/>
            <w:vAlign w:val="bottom"/>
          </w:tcPr>
          <w:p>
            <w:pPr>
              <w:spacing w:after="0" w:line="149" w:lineRule="exact"/>
              <w:rPr>
                <w:sz w:val="20"/>
                <w:szCs w:val="20"/>
                <w:color w:val="auto"/>
              </w:rPr>
            </w:pPr>
            <w:r>
              <w:rPr>
                <w:rFonts w:ascii="Arial" w:cs="Arial" w:eastAsia="Arial" w:hAnsi="Arial"/>
                <w:sz w:val="14"/>
                <w:szCs w:val="14"/>
                <w:color w:val="auto"/>
              </w:rPr>
              <w:t>Rocket Software, Inc.</w:t>
            </w:r>
          </w:p>
        </w:tc>
        <w:tc>
          <w:tcPr>
            <w:tcW w:w="2240" w:type="dxa"/>
            <w:vAlign w:val="bottom"/>
          </w:tcPr>
          <w:p>
            <w:pPr>
              <w:ind w:left="80"/>
              <w:spacing w:after="0" w:line="149" w:lineRule="exact"/>
              <w:rPr>
                <w:sz w:val="20"/>
                <w:szCs w:val="20"/>
                <w:color w:val="auto"/>
              </w:rPr>
            </w:pPr>
            <w:r>
              <w:rPr>
                <w:rFonts w:ascii="Arial" w:cs="Arial" w:eastAsia="Arial" w:hAnsi="Arial"/>
                <w:sz w:val="14"/>
                <w:szCs w:val="14"/>
                <w:color w:val="auto"/>
              </w:rPr>
              <w:t>Services: Business</w:t>
            </w:r>
          </w:p>
        </w:tc>
        <w:tc>
          <w:tcPr>
            <w:tcW w:w="2280" w:type="dxa"/>
            <w:vAlign w:val="bottom"/>
          </w:tcPr>
          <w:p>
            <w:pPr>
              <w:ind w:left="200"/>
              <w:spacing w:after="0" w:line="149" w:lineRule="exact"/>
              <w:rPr>
                <w:sz w:val="20"/>
                <w:szCs w:val="20"/>
                <w:color w:val="auto"/>
              </w:rPr>
            </w:pPr>
            <w:r>
              <w:rPr>
                <w:rFonts w:ascii="Arial" w:cs="Arial" w:eastAsia="Arial" w:hAnsi="Arial"/>
                <w:sz w:val="14"/>
                <w:szCs w:val="14"/>
                <w:color w:val="auto"/>
              </w:rPr>
              <w:t>Term Loan (First Lien)</w:t>
            </w:r>
          </w:p>
        </w:tc>
        <w:tc>
          <w:tcPr>
            <w:tcW w:w="600" w:type="dxa"/>
            <w:vAlign w:val="bottom"/>
          </w:tcPr>
          <w:p>
            <w:pPr>
              <w:ind w:left="80"/>
              <w:spacing w:after="0" w:line="149" w:lineRule="exact"/>
              <w:rPr>
                <w:sz w:val="20"/>
                <w:szCs w:val="20"/>
                <w:color w:val="auto"/>
              </w:rPr>
            </w:pPr>
            <w:r>
              <w:rPr>
                <w:rFonts w:ascii="Arial" w:cs="Arial" w:eastAsia="Arial" w:hAnsi="Arial"/>
                <w:sz w:val="14"/>
                <w:szCs w:val="14"/>
                <w:color w:val="auto"/>
              </w:rPr>
              <w:t>Loan</w:t>
            </w:r>
          </w:p>
        </w:tc>
        <w:tc>
          <w:tcPr>
            <w:tcW w:w="680" w:type="dxa"/>
            <w:vAlign w:val="bottom"/>
          </w:tcPr>
          <w:p>
            <w:pPr>
              <w:jc w:val="right"/>
              <w:ind w:right="32"/>
              <w:spacing w:after="0" w:line="149" w:lineRule="exact"/>
              <w:rPr>
                <w:sz w:val="20"/>
                <w:szCs w:val="20"/>
                <w:color w:val="auto"/>
              </w:rPr>
            </w:pPr>
            <w:r>
              <w:rPr>
                <w:rFonts w:ascii="Arial" w:cs="Arial" w:eastAsia="Arial" w:hAnsi="Arial"/>
                <w:sz w:val="14"/>
                <w:szCs w:val="14"/>
                <w:color w:val="auto"/>
              </w:rPr>
              <w:t>5.75%</w:t>
            </w:r>
          </w:p>
        </w:tc>
        <w:tc>
          <w:tcPr>
            <w:tcW w:w="8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2/8/2018</w:t>
            </w:r>
          </w:p>
        </w:tc>
        <w:tc>
          <w:tcPr>
            <w:tcW w:w="1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112"/>
              <w:spacing w:after="0" w:line="149" w:lineRule="exact"/>
              <w:rPr>
                <w:sz w:val="20"/>
                <w:szCs w:val="20"/>
                <w:color w:val="auto"/>
              </w:rPr>
            </w:pPr>
            <w:r>
              <w:rPr>
                <w:rFonts w:ascii="Arial" w:cs="Arial" w:eastAsia="Arial" w:hAnsi="Arial"/>
                <w:sz w:val="14"/>
                <w:szCs w:val="14"/>
                <w:color w:val="auto"/>
                <w:w w:val="83"/>
              </w:rPr>
              <w:t>1,906,781</w:t>
            </w:r>
          </w:p>
        </w:tc>
        <w:tc>
          <w:tcPr>
            <w:tcW w:w="9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1,893,186</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1,901,213</w:t>
            </w:r>
          </w:p>
        </w:tc>
      </w:tr>
      <w:tr>
        <w:trPr>
          <w:trHeight w:val="138"/>
        </w:trPr>
        <w:tc>
          <w:tcPr>
            <w:tcW w:w="22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Rovi Solutions Corporation / Rovi</w:t>
            </w:r>
          </w:p>
        </w:tc>
        <w:tc>
          <w:tcPr>
            <w:tcW w:w="2240" w:type="dxa"/>
            <w:vAlign w:val="bottom"/>
            <w:shd w:val="clear" w:color="auto" w:fill="CCEEFF"/>
          </w:tcPr>
          <w:p>
            <w:pPr>
              <w:ind w:left="80"/>
              <w:spacing w:after="0" w:line="138" w:lineRule="exact"/>
              <w:rPr>
                <w:sz w:val="20"/>
                <w:szCs w:val="20"/>
                <w:color w:val="auto"/>
              </w:rPr>
            </w:pPr>
            <w:r>
              <w:rPr>
                <w:rFonts w:ascii="Arial" w:cs="Arial" w:eastAsia="Arial" w:hAnsi="Arial"/>
                <w:sz w:val="14"/>
                <w:szCs w:val="14"/>
                <w:color w:val="auto"/>
              </w:rPr>
              <w:t>Electronics/Electric</w:t>
            </w:r>
          </w:p>
        </w:tc>
        <w:tc>
          <w:tcPr>
            <w:tcW w:w="2280" w:type="dxa"/>
            <w:vAlign w:val="bottom"/>
            <w:shd w:val="clear" w:color="auto" w:fill="CCEEFF"/>
          </w:tcPr>
          <w:p>
            <w:pPr>
              <w:ind w:left="200"/>
              <w:spacing w:after="0" w:line="138" w:lineRule="exact"/>
              <w:rPr>
                <w:sz w:val="20"/>
                <w:szCs w:val="20"/>
                <w:color w:val="auto"/>
              </w:rPr>
            </w:pPr>
            <w:r>
              <w:rPr>
                <w:rFonts w:ascii="Arial" w:cs="Arial" w:eastAsia="Arial" w:hAnsi="Arial"/>
                <w:sz w:val="14"/>
                <w:szCs w:val="14"/>
                <w:color w:val="auto"/>
              </w:rPr>
              <w:t>Tranche B-3 Term Loan</w:t>
            </w:r>
          </w:p>
        </w:tc>
        <w:tc>
          <w:tcPr>
            <w:tcW w:w="600" w:type="dxa"/>
            <w:vAlign w:val="bottom"/>
            <w:shd w:val="clear" w:color="auto" w:fill="CCEEFF"/>
          </w:tcPr>
          <w:p>
            <w:pPr>
              <w:ind w:left="80"/>
              <w:spacing w:after="0" w:line="138" w:lineRule="exact"/>
              <w:rPr>
                <w:sz w:val="20"/>
                <w:szCs w:val="20"/>
                <w:color w:val="auto"/>
              </w:rPr>
            </w:pPr>
            <w:r>
              <w:rPr>
                <w:rFonts w:ascii="Arial" w:cs="Arial" w:eastAsia="Arial" w:hAnsi="Arial"/>
                <w:sz w:val="14"/>
                <w:szCs w:val="14"/>
                <w:color w:val="auto"/>
              </w:rPr>
              <w:t>Loan</w:t>
            </w:r>
          </w:p>
        </w:tc>
        <w:tc>
          <w:tcPr>
            <w:tcW w:w="6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r>
      <w:tr>
        <w:trPr>
          <w:trHeight w:val="159"/>
        </w:trPr>
        <w:tc>
          <w:tcPr>
            <w:tcW w:w="2220" w:type="dxa"/>
            <w:vAlign w:val="bottom"/>
            <w:shd w:val="clear" w:color="auto" w:fill="CCEEFF"/>
          </w:tcPr>
          <w:p>
            <w:pPr>
              <w:ind w:left="140"/>
              <w:spacing w:after="0" w:line="159" w:lineRule="exact"/>
              <w:rPr>
                <w:sz w:val="20"/>
                <w:szCs w:val="20"/>
                <w:color w:val="auto"/>
              </w:rPr>
            </w:pPr>
            <w:r>
              <w:rPr>
                <w:rFonts w:ascii="Arial" w:cs="Arial" w:eastAsia="Arial" w:hAnsi="Arial"/>
                <w:sz w:val="14"/>
                <w:szCs w:val="14"/>
                <w:color w:val="auto"/>
              </w:rPr>
              <w:t>Guides, Inc.</w:t>
            </w:r>
          </w:p>
        </w:tc>
        <w:tc>
          <w:tcPr>
            <w:tcW w:w="2240" w:type="dxa"/>
            <w:vAlign w:val="bottom"/>
            <w:shd w:val="clear" w:color="auto" w:fill="CCEEFF"/>
          </w:tcPr>
          <w:p>
            <w:pPr>
              <w:spacing w:after="0"/>
              <w:rPr>
                <w:sz w:val="13"/>
                <w:szCs w:val="13"/>
                <w:color w:val="auto"/>
              </w:rPr>
            </w:pPr>
          </w:p>
        </w:tc>
        <w:tc>
          <w:tcPr>
            <w:tcW w:w="22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680" w:type="dxa"/>
            <w:vAlign w:val="bottom"/>
            <w:shd w:val="clear" w:color="auto" w:fill="CCEEFF"/>
          </w:tcPr>
          <w:p>
            <w:pPr>
              <w:jc w:val="right"/>
              <w:ind w:right="32"/>
              <w:spacing w:after="0" w:line="159" w:lineRule="exact"/>
              <w:rPr>
                <w:sz w:val="20"/>
                <w:szCs w:val="20"/>
                <w:color w:val="auto"/>
              </w:rPr>
            </w:pPr>
            <w:r>
              <w:rPr>
                <w:rFonts w:ascii="Arial" w:cs="Arial" w:eastAsia="Arial" w:hAnsi="Arial"/>
                <w:sz w:val="14"/>
                <w:szCs w:val="14"/>
                <w:color w:val="auto"/>
              </w:rPr>
              <w:t>3.75%</w:t>
            </w:r>
          </w:p>
        </w:tc>
        <w:tc>
          <w:tcPr>
            <w:tcW w:w="800" w:type="dxa"/>
            <w:vAlign w:val="bottom"/>
            <w:shd w:val="clear" w:color="auto" w:fill="CCEEFF"/>
          </w:tcPr>
          <w:p>
            <w:pPr>
              <w:jc w:val="right"/>
              <w:ind w:right="12"/>
              <w:spacing w:after="0" w:line="159" w:lineRule="exact"/>
              <w:rPr>
                <w:sz w:val="20"/>
                <w:szCs w:val="20"/>
                <w:color w:val="auto"/>
              </w:rPr>
            </w:pPr>
            <w:r>
              <w:rPr>
                <w:rFonts w:ascii="Arial" w:cs="Arial" w:eastAsia="Arial" w:hAnsi="Arial"/>
                <w:sz w:val="14"/>
                <w:szCs w:val="14"/>
                <w:color w:val="auto"/>
              </w:rPr>
              <w:t>7/2/2021</w:t>
            </w:r>
          </w:p>
        </w:tc>
        <w:tc>
          <w:tcPr>
            <w:tcW w:w="1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112"/>
              <w:spacing w:after="0" w:line="159" w:lineRule="exact"/>
              <w:rPr>
                <w:sz w:val="20"/>
                <w:szCs w:val="20"/>
                <w:color w:val="auto"/>
              </w:rPr>
            </w:pPr>
            <w:r>
              <w:rPr>
                <w:rFonts w:ascii="Arial" w:cs="Arial" w:eastAsia="Arial" w:hAnsi="Arial"/>
                <w:sz w:val="14"/>
                <w:szCs w:val="14"/>
                <w:color w:val="auto"/>
                <w:w w:val="83"/>
              </w:rPr>
              <w:t>1,481,250</w:t>
            </w:r>
          </w:p>
        </w:tc>
        <w:tc>
          <w:tcPr>
            <w:tcW w:w="920" w:type="dxa"/>
            <w:vAlign w:val="bottom"/>
            <w:shd w:val="clear" w:color="auto" w:fill="CCEEFF"/>
          </w:tcPr>
          <w:p>
            <w:pPr>
              <w:jc w:val="right"/>
              <w:ind w:right="112"/>
              <w:spacing w:after="0" w:line="159" w:lineRule="exact"/>
              <w:rPr>
                <w:sz w:val="20"/>
                <w:szCs w:val="20"/>
                <w:color w:val="auto"/>
              </w:rPr>
            </w:pPr>
            <w:r>
              <w:rPr>
                <w:rFonts w:ascii="Arial" w:cs="Arial" w:eastAsia="Arial" w:hAnsi="Arial"/>
                <w:sz w:val="14"/>
                <w:szCs w:val="14"/>
                <w:color w:val="auto"/>
              </w:rPr>
              <w:t>1,475,158</w:t>
            </w:r>
          </w:p>
        </w:tc>
        <w:tc>
          <w:tcPr>
            <w:tcW w:w="8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1,385,502</w:t>
            </w:r>
          </w:p>
        </w:tc>
      </w:tr>
      <w:tr>
        <w:trPr>
          <w:trHeight w:val="149"/>
        </w:trPr>
        <w:tc>
          <w:tcPr>
            <w:tcW w:w="2220" w:type="dxa"/>
            <w:vAlign w:val="bottom"/>
          </w:tcPr>
          <w:p>
            <w:pPr>
              <w:spacing w:after="0" w:line="149" w:lineRule="exact"/>
              <w:rPr>
                <w:sz w:val="20"/>
                <w:szCs w:val="20"/>
                <w:color w:val="auto"/>
              </w:rPr>
            </w:pPr>
            <w:r>
              <w:rPr>
                <w:rFonts w:ascii="Arial" w:cs="Arial" w:eastAsia="Arial" w:hAnsi="Arial"/>
                <w:sz w:val="14"/>
                <w:szCs w:val="14"/>
                <w:color w:val="auto"/>
              </w:rPr>
              <w:t>Royal Adhesives and Sealants</w:t>
            </w:r>
          </w:p>
        </w:tc>
        <w:tc>
          <w:tcPr>
            <w:tcW w:w="2240" w:type="dxa"/>
            <w:vAlign w:val="bottom"/>
          </w:tcPr>
          <w:p>
            <w:pPr>
              <w:ind w:left="80"/>
              <w:spacing w:after="0" w:line="149" w:lineRule="exact"/>
              <w:rPr>
                <w:sz w:val="20"/>
                <w:szCs w:val="20"/>
                <w:color w:val="auto"/>
              </w:rPr>
            </w:pPr>
            <w:r>
              <w:rPr>
                <w:rFonts w:ascii="Arial" w:cs="Arial" w:eastAsia="Arial" w:hAnsi="Arial"/>
                <w:sz w:val="14"/>
                <w:szCs w:val="14"/>
                <w:color w:val="auto"/>
              </w:rPr>
              <w:t>Chemicals/Plastics</w:t>
            </w:r>
          </w:p>
        </w:tc>
        <w:tc>
          <w:tcPr>
            <w:tcW w:w="2280" w:type="dxa"/>
            <w:vAlign w:val="bottom"/>
          </w:tcPr>
          <w:p>
            <w:pPr>
              <w:ind w:left="200"/>
              <w:spacing w:after="0" w:line="149" w:lineRule="exact"/>
              <w:rPr>
                <w:sz w:val="20"/>
                <w:szCs w:val="20"/>
                <w:color w:val="auto"/>
              </w:rPr>
            </w:pPr>
            <w:r>
              <w:rPr>
                <w:rFonts w:ascii="Arial" w:cs="Arial" w:eastAsia="Arial" w:hAnsi="Arial"/>
                <w:sz w:val="14"/>
                <w:szCs w:val="14"/>
                <w:color w:val="auto"/>
              </w:rPr>
              <w:t>Term Loan (First Lien)</w:t>
            </w:r>
          </w:p>
        </w:tc>
        <w:tc>
          <w:tcPr>
            <w:tcW w:w="600" w:type="dxa"/>
            <w:vAlign w:val="bottom"/>
          </w:tcPr>
          <w:p>
            <w:pPr>
              <w:ind w:left="80"/>
              <w:spacing w:after="0" w:line="149" w:lineRule="exact"/>
              <w:rPr>
                <w:sz w:val="20"/>
                <w:szCs w:val="20"/>
                <w:color w:val="auto"/>
              </w:rPr>
            </w:pPr>
            <w:r>
              <w:rPr>
                <w:rFonts w:ascii="Arial" w:cs="Arial" w:eastAsia="Arial" w:hAnsi="Arial"/>
                <w:sz w:val="14"/>
                <w:szCs w:val="14"/>
                <w:color w:val="auto"/>
              </w:rPr>
              <w:t>Loan</w:t>
            </w:r>
          </w:p>
        </w:tc>
        <w:tc>
          <w:tcPr>
            <w:tcW w:w="680" w:type="dxa"/>
            <w:vAlign w:val="bottom"/>
          </w:tcPr>
          <w:p>
            <w:pPr>
              <w:jc w:val="right"/>
              <w:ind w:right="32"/>
              <w:spacing w:after="0" w:line="149" w:lineRule="exact"/>
              <w:rPr>
                <w:sz w:val="20"/>
                <w:szCs w:val="20"/>
                <w:color w:val="auto"/>
              </w:rPr>
            </w:pPr>
            <w:r>
              <w:rPr>
                <w:rFonts w:ascii="Arial" w:cs="Arial" w:eastAsia="Arial" w:hAnsi="Arial"/>
                <w:sz w:val="14"/>
                <w:szCs w:val="14"/>
                <w:color w:val="auto"/>
              </w:rPr>
              <w:t>4.50%</w:t>
            </w:r>
          </w:p>
        </w:tc>
        <w:tc>
          <w:tcPr>
            <w:tcW w:w="8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6/20/2022</w:t>
            </w:r>
          </w:p>
        </w:tc>
        <w:tc>
          <w:tcPr>
            <w:tcW w:w="1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498,750</w:t>
            </w:r>
          </w:p>
        </w:tc>
        <w:tc>
          <w:tcPr>
            <w:tcW w:w="9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496,347</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494,137</w:t>
            </w:r>
          </w:p>
        </w:tc>
      </w:tr>
      <w:tr>
        <w:trPr>
          <w:trHeight w:val="149"/>
        </w:trPr>
        <w:tc>
          <w:tcPr>
            <w:tcW w:w="2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Royal Adhesives and Sealants</w:t>
            </w:r>
          </w:p>
        </w:tc>
        <w:tc>
          <w:tcPr>
            <w:tcW w:w="224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Chemicals/Plastics</w:t>
            </w:r>
          </w:p>
        </w:tc>
        <w:tc>
          <w:tcPr>
            <w:tcW w:w="22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Term Loan (Second Lien)</w:t>
            </w:r>
          </w:p>
        </w:tc>
        <w:tc>
          <w:tcPr>
            <w:tcW w:w="60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Loan</w:t>
            </w:r>
          </w:p>
        </w:tc>
        <w:tc>
          <w:tcPr>
            <w:tcW w:w="68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8.50%</w:t>
            </w:r>
          </w:p>
        </w:tc>
        <w:tc>
          <w:tcPr>
            <w:tcW w:w="8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6/19/2023</w:t>
            </w:r>
          </w:p>
        </w:tc>
        <w:tc>
          <w:tcPr>
            <w:tcW w:w="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500,000</w:t>
            </w:r>
          </w:p>
        </w:tc>
        <w:tc>
          <w:tcPr>
            <w:tcW w:w="9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496,296</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495,415</w:t>
            </w:r>
          </w:p>
        </w:tc>
      </w:tr>
      <w:tr>
        <w:trPr>
          <w:trHeight w:val="149"/>
        </w:trPr>
        <w:tc>
          <w:tcPr>
            <w:tcW w:w="2220" w:type="dxa"/>
            <w:vAlign w:val="bottom"/>
          </w:tcPr>
          <w:p>
            <w:pPr>
              <w:spacing w:after="0" w:line="149" w:lineRule="exact"/>
              <w:rPr>
                <w:sz w:val="20"/>
                <w:szCs w:val="20"/>
                <w:color w:val="auto"/>
              </w:rPr>
            </w:pPr>
            <w:r>
              <w:rPr>
                <w:rFonts w:ascii="Arial" w:cs="Arial" w:eastAsia="Arial" w:hAnsi="Arial"/>
                <w:sz w:val="14"/>
                <w:szCs w:val="14"/>
                <w:color w:val="auto"/>
              </w:rPr>
              <w:t>RPI Finance Trust</w:t>
            </w:r>
          </w:p>
        </w:tc>
        <w:tc>
          <w:tcPr>
            <w:tcW w:w="2240" w:type="dxa"/>
            <w:vAlign w:val="bottom"/>
          </w:tcPr>
          <w:p>
            <w:pPr>
              <w:ind w:left="80"/>
              <w:spacing w:after="0" w:line="149" w:lineRule="exact"/>
              <w:rPr>
                <w:sz w:val="20"/>
                <w:szCs w:val="20"/>
                <w:color w:val="auto"/>
              </w:rPr>
            </w:pPr>
            <w:r>
              <w:rPr>
                <w:rFonts w:ascii="Arial" w:cs="Arial" w:eastAsia="Arial" w:hAnsi="Arial"/>
                <w:sz w:val="14"/>
                <w:szCs w:val="14"/>
                <w:color w:val="auto"/>
              </w:rPr>
              <w:t>Financial Intermediaries</w:t>
            </w:r>
          </w:p>
        </w:tc>
        <w:tc>
          <w:tcPr>
            <w:tcW w:w="2280" w:type="dxa"/>
            <w:vAlign w:val="bottom"/>
          </w:tcPr>
          <w:p>
            <w:pPr>
              <w:ind w:left="200"/>
              <w:spacing w:after="0" w:line="149" w:lineRule="exact"/>
              <w:rPr>
                <w:sz w:val="20"/>
                <w:szCs w:val="20"/>
                <w:color w:val="auto"/>
              </w:rPr>
            </w:pPr>
            <w:r>
              <w:rPr>
                <w:rFonts w:ascii="Arial" w:cs="Arial" w:eastAsia="Arial" w:hAnsi="Arial"/>
                <w:sz w:val="14"/>
                <w:szCs w:val="14"/>
                <w:color w:val="auto"/>
              </w:rPr>
              <w:t>Term B-4 Term Loan</w:t>
            </w:r>
          </w:p>
        </w:tc>
        <w:tc>
          <w:tcPr>
            <w:tcW w:w="600" w:type="dxa"/>
            <w:vAlign w:val="bottom"/>
          </w:tcPr>
          <w:p>
            <w:pPr>
              <w:ind w:left="80"/>
              <w:spacing w:after="0" w:line="149" w:lineRule="exact"/>
              <w:rPr>
                <w:sz w:val="20"/>
                <w:szCs w:val="20"/>
                <w:color w:val="auto"/>
              </w:rPr>
            </w:pPr>
            <w:r>
              <w:rPr>
                <w:rFonts w:ascii="Arial" w:cs="Arial" w:eastAsia="Arial" w:hAnsi="Arial"/>
                <w:sz w:val="14"/>
                <w:szCs w:val="14"/>
                <w:color w:val="auto"/>
              </w:rPr>
              <w:t>Loan</w:t>
            </w:r>
          </w:p>
        </w:tc>
        <w:tc>
          <w:tcPr>
            <w:tcW w:w="680" w:type="dxa"/>
            <w:vAlign w:val="bottom"/>
          </w:tcPr>
          <w:p>
            <w:pPr>
              <w:jc w:val="right"/>
              <w:ind w:right="32"/>
              <w:spacing w:after="0" w:line="149" w:lineRule="exact"/>
              <w:rPr>
                <w:sz w:val="20"/>
                <w:szCs w:val="20"/>
                <w:color w:val="auto"/>
              </w:rPr>
            </w:pPr>
            <w:r>
              <w:rPr>
                <w:rFonts w:ascii="Arial" w:cs="Arial" w:eastAsia="Arial" w:hAnsi="Arial"/>
                <w:sz w:val="14"/>
                <w:szCs w:val="14"/>
                <w:color w:val="auto"/>
              </w:rPr>
              <w:t>3.50%</w:t>
            </w:r>
          </w:p>
        </w:tc>
        <w:tc>
          <w:tcPr>
            <w:tcW w:w="8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11/9/2020</w:t>
            </w:r>
          </w:p>
        </w:tc>
        <w:tc>
          <w:tcPr>
            <w:tcW w:w="1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112"/>
              <w:spacing w:after="0" w:line="149" w:lineRule="exact"/>
              <w:rPr>
                <w:sz w:val="20"/>
                <w:szCs w:val="20"/>
                <w:color w:val="auto"/>
              </w:rPr>
            </w:pPr>
            <w:r>
              <w:rPr>
                <w:rFonts w:ascii="Arial" w:cs="Arial" w:eastAsia="Arial" w:hAnsi="Arial"/>
                <w:sz w:val="14"/>
                <w:szCs w:val="14"/>
                <w:color w:val="auto"/>
                <w:w w:val="83"/>
              </w:rPr>
              <w:t>5,168,211</w:t>
            </w:r>
          </w:p>
        </w:tc>
        <w:tc>
          <w:tcPr>
            <w:tcW w:w="9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5,168,211</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5,119,785</w:t>
            </w:r>
          </w:p>
        </w:tc>
      </w:tr>
      <w:tr>
        <w:trPr>
          <w:trHeight w:val="149"/>
        </w:trPr>
        <w:tc>
          <w:tcPr>
            <w:tcW w:w="2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SBP Holdings LP</w:t>
            </w:r>
          </w:p>
        </w:tc>
        <w:tc>
          <w:tcPr>
            <w:tcW w:w="224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Industrial Equipment</w:t>
            </w:r>
          </w:p>
        </w:tc>
        <w:tc>
          <w:tcPr>
            <w:tcW w:w="22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Term Loan (First Lien)</w:t>
            </w:r>
          </w:p>
        </w:tc>
        <w:tc>
          <w:tcPr>
            <w:tcW w:w="60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Loan</w:t>
            </w:r>
          </w:p>
        </w:tc>
        <w:tc>
          <w:tcPr>
            <w:tcW w:w="68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5.00%</w:t>
            </w:r>
          </w:p>
        </w:tc>
        <w:tc>
          <w:tcPr>
            <w:tcW w:w="8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3/27/2021</w:t>
            </w:r>
          </w:p>
        </w:tc>
        <w:tc>
          <w:tcPr>
            <w:tcW w:w="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985,000</w:t>
            </w:r>
          </w:p>
        </w:tc>
        <w:tc>
          <w:tcPr>
            <w:tcW w:w="9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980,996</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810,163</w:t>
            </w:r>
          </w:p>
        </w:tc>
      </w:tr>
      <w:tr>
        <w:trPr>
          <w:trHeight w:val="149"/>
        </w:trPr>
        <w:tc>
          <w:tcPr>
            <w:tcW w:w="2220" w:type="dxa"/>
            <w:vAlign w:val="bottom"/>
          </w:tcPr>
          <w:p>
            <w:pPr>
              <w:spacing w:after="0" w:line="149" w:lineRule="exact"/>
              <w:rPr>
                <w:sz w:val="20"/>
                <w:szCs w:val="20"/>
                <w:color w:val="auto"/>
              </w:rPr>
            </w:pPr>
            <w:r>
              <w:rPr>
                <w:rFonts w:ascii="Arial" w:cs="Arial" w:eastAsia="Arial" w:hAnsi="Arial"/>
                <w:sz w:val="14"/>
                <w:szCs w:val="14"/>
                <w:color w:val="auto"/>
              </w:rPr>
              <w:t>Scientific Games International, Inc.</w:t>
            </w:r>
          </w:p>
        </w:tc>
        <w:tc>
          <w:tcPr>
            <w:tcW w:w="2240" w:type="dxa"/>
            <w:vAlign w:val="bottom"/>
          </w:tcPr>
          <w:p>
            <w:pPr>
              <w:ind w:left="80"/>
              <w:spacing w:after="0" w:line="149" w:lineRule="exact"/>
              <w:rPr>
                <w:sz w:val="20"/>
                <w:szCs w:val="20"/>
                <w:color w:val="auto"/>
              </w:rPr>
            </w:pPr>
            <w:r>
              <w:rPr>
                <w:rFonts w:ascii="Arial" w:cs="Arial" w:eastAsia="Arial" w:hAnsi="Arial"/>
                <w:sz w:val="14"/>
                <w:szCs w:val="14"/>
                <w:color w:val="auto"/>
              </w:rPr>
              <w:t>Electronics/Electric</w:t>
            </w:r>
          </w:p>
        </w:tc>
        <w:tc>
          <w:tcPr>
            <w:tcW w:w="2280" w:type="dxa"/>
            <w:vAlign w:val="bottom"/>
          </w:tcPr>
          <w:p>
            <w:pPr>
              <w:ind w:left="200"/>
              <w:spacing w:after="0" w:line="149" w:lineRule="exact"/>
              <w:rPr>
                <w:sz w:val="20"/>
                <w:szCs w:val="20"/>
                <w:color w:val="auto"/>
              </w:rPr>
            </w:pPr>
            <w:r>
              <w:rPr>
                <w:rFonts w:ascii="Arial" w:cs="Arial" w:eastAsia="Arial" w:hAnsi="Arial"/>
                <w:sz w:val="14"/>
                <w:szCs w:val="14"/>
                <w:color w:val="auto"/>
              </w:rPr>
              <w:t>Term Loan B2</w:t>
            </w:r>
          </w:p>
        </w:tc>
        <w:tc>
          <w:tcPr>
            <w:tcW w:w="600" w:type="dxa"/>
            <w:vAlign w:val="bottom"/>
          </w:tcPr>
          <w:p>
            <w:pPr>
              <w:ind w:left="80"/>
              <w:spacing w:after="0" w:line="149" w:lineRule="exact"/>
              <w:rPr>
                <w:sz w:val="20"/>
                <w:szCs w:val="20"/>
                <w:color w:val="auto"/>
              </w:rPr>
            </w:pPr>
            <w:r>
              <w:rPr>
                <w:rFonts w:ascii="Arial" w:cs="Arial" w:eastAsia="Arial" w:hAnsi="Arial"/>
                <w:sz w:val="14"/>
                <w:szCs w:val="14"/>
                <w:color w:val="auto"/>
              </w:rPr>
              <w:t>Loan</w:t>
            </w:r>
          </w:p>
        </w:tc>
        <w:tc>
          <w:tcPr>
            <w:tcW w:w="680" w:type="dxa"/>
            <w:vAlign w:val="bottom"/>
          </w:tcPr>
          <w:p>
            <w:pPr>
              <w:jc w:val="right"/>
              <w:ind w:right="32"/>
              <w:spacing w:after="0" w:line="149" w:lineRule="exact"/>
              <w:rPr>
                <w:sz w:val="20"/>
                <w:szCs w:val="20"/>
                <w:color w:val="auto"/>
              </w:rPr>
            </w:pPr>
            <w:r>
              <w:rPr>
                <w:rFonts w:ascii="Arial" w:cs="Arial" w:eastAsia="Arial" w:hAnsi="Arial"/>
                <w:sz w:val="14"/>
                <w:szCs w:val="14"/>
                <w:color w:val="auto"/>
              </w:rPr>
              <w:t>6.00%</w:t>
            </w:r>
          </w:p>
        </w:tc>
        <w:tc>
          <w:tcPr>
            <w:tcW w:w="8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10/1/2021</w:t>
            </w:r>
          </w:p>
        </w:tc>
        <w:tc>
          <w:tcPr>
            <w:tcW w:w="1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992,500</w:t>
            </w:r>
          </w:p>
        </w:tc>
        <w:tc>
          <w:tcPr>
            <w:tcW w:w="9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984,017</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919,482</w:t>
            </w:r>
          </w:p>
        </w:tc>
      </w:tr>
      <w:tr>
        <w:trPr>
          <w:trHeight w:val="149"/>
        </w:trPr>
        <w:tc>
          <w:tcPr>
            <w:tcW w:w="2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SCS Holdings (Sirius Computer)</w:t>
            </w:r>
          </w:p>
        </w:tc>
        <w:tc>
          <w:tcPr>
            <w:tcW w:w="224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High Tech Industries</w:t>
            </w:r>
          </w:p>
        </w:tc>
        <w:tc>
          <w:tcPr>
            <w:tcW w:w="22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Term Loan (First Lien)</w:t>
            </w:r>
          </w:p>
        </w:tc>
        <w:tc>
          <w:tcPr>
            <w:tcW w:w="60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Loan</w:t>
            </w:r>
          </w:p>
        </w:tc>
        <w:tc>
          <w:tcPr>
            <w:tcW w:w="68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6.00%</w:t>
            </w:r>
          </w:p>
        </w:tc>
        <w:tc>
          <w:tcPr>
            <w:tcW w:w="8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w w:val="99"/>
              </w:rPr>
              <w:t>10/30/2022</w:t>
            </w:r>
          </w:p>
        </w:tc>
        <w:tc>
          <w:tcPr>
            <w:tcW w:w="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w w:val="83"/>
              </w:rPr>
              <w:t>1,977,528</w:t>
            </w:r>
          </w:p>
        </w:tc>
        <w:tc>
          <w:tcPr>
            <w:tcW w:w="9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1,938,192</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1,950,337</w:t>
            </w:r>
          </w:p>
        </w:tc>
      </w:tr>
      <w:tr>
        <w:trPr>
          <w:trHeight w:val="149"/>
        </w:trPr>
        <w:tc>
          <w:tcPr>
            <w:tcW w:w="2220" w:type="dxa"/>
            <w:vAlign w:val="bottom"/>
          </w:tcPr>
          <w:p>
            <w:pPr>
              <w:spacing w:after="0" w:line="149" w:lineRule="exact"/>
              <w:rPr>
                <w:sz w:val="20"/>
                <w:szCs w:val="20"/>
                <w:color w:val="auto"/>
              </w:rPr>
            </w:pPr>
            <w:r>
              <w:rPr>
                <w:rFonts w:ascii="Arial" w:cs="Arial" w:eastAsia="Arial" w:hAnsi="Arial"/>
                <w:sz w:val="14"/>
                <w:szCs w:val="14"/>
                <w:color w:val="auto"/>
              </w:rPr>
              <w:t>Seadrill Operating LP</w:t>
            </w:r>
          </w:p>
        </w:tc>
        <w:tc>
          <w:tcPr>
            <w:tcW w:w="2240" w:type="dxa"/>
            <w:vAlign w:val="bottom"/>
          </w:tcPr>
          <w:p>
            <w:pPr>
              <w:ind w:left="80"/>
              <w:spacing w:after="0" w:line="149" w:lineRule="exact"/>
              <w:rPr>
                <w:sz w:val="20"/>
                <w:szCs w:val="20"/>
                <w:color w:val="auto"/>
              </w:rPr>
            </w:pPr>
            <w:r>
              <w:rPr>
                <w:rFonts w:ascii="Arial" w:cs="Arial" w:eastAsia="Arial" w:hAnsi="Arial"/>
                <w:sz w:val="14"/>
                <w:szCs w:val="14"/>
                <w:color w:val="auto"/>
              </w:rPr>
              <w:t>Oil &amp; Gas</w:t>
            </w:r>
          </w:p>
        </w:tc>
        <w:tc>
          <w:tcPr>
            <w:tcW w:w="2280" w:type="dxa"/>
            <w:vAlign w:val="bottom"/>
          </w:tcPr>
          <w:p>
            <w:pPr>
              <w:ind w:left="200"/>
              <w:spacing w:after="0" w:line="149" w:lineRule="exact"/>
              <w:rPr>
                <w:sz w:val="20"/>
                <w:szCs w:val="20"/>
                <w:color w:val="auto"/>
              </w:rPr>
            </w:pPr>
            <w:r>
              <w:rPr>
                <w:rFonts w:ascii="Arial" w:cs="Arial" w:eastAsia="Arial" w:hAnsi="Arial"/>
                <w:sz w:val="14"/>
                <w:szCs w:val="14"/>
                <w:color w:val="auto"/>
              </w:rPr>
              <w:t>Term Loan B</w:t>
            </w:r>
          </w:p>
        </w:tc>
        <w:tc>
          <w:tcPr>
            <w:tcW w:w="600" w:type="dxa"/>
            <w:vAlign w:val="bottom"/>
          </w:tcPr>
          <w:p>
            <w:pPr>
              <w:ind w:left="80"/>
              <w:spacing w:after="0" w:line="149" w:lineRule="exact"/>
              <w:rPr>
                <w:sz w:val="20"/>
                <w:szCs w:val="20"/>
                <w:color w:val="auto"/>
              </w:rPr>
            </w:pPr>
            <w:r>
              <w:rPr>
                <w:rFonts w:ascii="Arial" w:cs="Arial" w:eastAsia="Arial" w:hAnsi="Arial"/>
                <w:sz w:val="14"/>
                <w:szCs w:val="14"/>
                <w:color w:val="auto"/>
              </w:rPr>
              <w:t>Loan</w:t>
            </w:r>
          </w:p>
        </w:tc>
        <w:tc>
          <w:tcPr>
            <w:tcW w:w="680" w:type="dxa"/>
            <w:vAlign w:val="bottom"/>
          </w:tcPr>
          <w:p>
            <w:pPr>
              <w:jc w:val="right"/>
              <w:ind w:right="32"/>
              <w:spacing w:after="0" w:line="149" w:lineRule="exact"/>
              <w:rPr>
                <w:sz w:val="20"/>
                <w:szCs w:val="20"/>
                <w:color w:val="auto"/>
              </w:rPr>
            </w:pPr>
            <w:r>
              <w:rPr>
                <w:rFonts w:ascii="Arial" w:cs="Arial" w:eastAsia="Arial" w:hAnsi="Arial"/>
                <w:sz w:val="14"/>
                <w:szCs w:val="14"/>
                <w:color w:val="auto"/>
              </w:rPr>
              <w:t>4.00%</w:t>
            </w:r>
          </w:p>
        </w:tc>
        <w:tc>
          <w:tcPr>
            <w:tcW w:w="8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2/21/2021</w:t>
            </w:r>
          </w:p>
        </w:tc>
        <w:tc>
          <w:tcPr>
            <w:tcW w:w="1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989,924</w:t>
            </w:r>
          </w:p>
        </w:tc>
        <w:tc>
          <w:tcPr>
            <w:tcW w:w="9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919,233</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491,389</w:t>
            </w:r>
          </w:p>
        </w:tc>
      </w:tr>
      <w:tr>
        <w:trPr>
          <w:trHeight w:val="138"/>
        </w:trPr>
        <w:tc>
          <w:tcPr>
            <w:tcW w:w="22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0"/>
              </w:rPr>
              <w:t>Sensus USA Inc. (fka Sensus Metering</w:t>
            </w:r>
          </w:p>
        </w:tc>
        <w:tc>
          <w:tcPr>
            <w:tcW w:w="2240" w:type="dxa"/>
            <w:vAlign w:val="bottom"/>
            <w:shd w:val="clear" w:color="auto" w:fill="CCEEFF"/>
          </w:tcPr>
          <w:p>
            <w:pPr>
              <w:ind w:left="80"/>
              <w:spacing w:after="0" w:line="138" w:lineRule="exact"/>
              <w:rPr>
                <w:sz w:val="20"/>
                <w:szCs w:val="20"/>
                <w:color w:val="auto"/>
              </w:rPr>
            </w:pPr>
            <w:r>
              <w:rPr>
                <w:rFonts w:ascii="Arial" w:cs="Arial" w:eastAsia="Arial" w:hAnsi="Arial"/>
                <w:sz w:val="14"/>
                <w:szCs w:val="14"/>
                <w:color w:val="auto"/>
              </w:rPr>
              <w:t>Utilities</w:t>
            </w:r>
          </w:p>
        </w:tc>
        <w:tc>
          <w:tcPr>
            <w:tcW w:w="2280" w:type="dxa"/>
            <w:vAlign w:val="bottom"/>
            <w:shd w:val="clear" w:color="auto" w:fill="CCEEFF"/>
          </w:tcPr>
          <w:p>
            <w:pPr>
              <w:ind w:left="200"/>
              <w:spacing w:after="0" w:line="138" w:lineRule="exact"/>
              <w:rPr>
                <w:sz w:val="20"/>
                <w:szCs w:val="20"/>
                <w:color w:val="auto"/>
              </w:rPr>
            </w:pPr>
            <w:r>
              <w:rPr>
                <w:rFonts w:ascii="Arial" w:cs="Arial" w:eastAsia="Arial" w:hAnsi="Arial"/>
                <w:sz w:val="14"/>
                <w:szCs w:val="14"/>
                <w:color w:val="auto"/>
              </w:rPr>
              <w:t>Term Loan (First Lien)</w:t>
            </w:r>
          </w:p>
        </w:tc>
        <w:tc>
          <w:tcPr>
            <w:tcW w:w="600" w:type="dxa"/>
            <w:vAlign w:val="bottom"/>
            <w:shd w:val="clear" w:color="auto" w:fill="CCEEFF"/>
          </w:tcPr>
          <w:p>
            <w:pPr>
              <w:ind w:left="80"/>
              <w:spacing w:after="0" w:line="138" w:lineRule="exact"/>
              <w:rPr>
                <w:sz w:val="20"/>
                <w:szCs w:val="20"/>
                <w:color w:val="auto"/>
              </w:rPr>
            </w:pPr>
            <w:r>
              <w:rPr>
                <w:rFonts w:ascii="Arial" w:cs="Arial" w:eastAsia="Arial" w:hAnsi="Arial"/>
                <w:sz w:val="14"/>
                <w:szCs w:val="14"/>
                <w:color w:val="auto"/>
              </w:rPr>
              <w:t>Loan</w:t>
            </w:r>
          </w:p>
        </w:tc>
        <w:tc>
          <w:tcPr>
            <w:tcW w:w="6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r>
      <w:tr>
        <w:trPr>
          <w:trHeight w:val="159"/>
        </w:trPr>
        <w:tc>
          <w:tcPr>
            <w:tcW w:w="2220" w:type="dxa"/>
            <w:vAlign w:val="bottom"/>
            <w:shd w:val="clear" w:color="auto" w:fill="CCEEFF"/>
          </w:tcPr>
          <w:p>
            <w:pPr>
              <w:ind w:left="140"/>
              <w:spacing w:after="0" w:line="159" w:lineRule="exact"/>
              <w:rPr>
                <w:sz w:val="20"/>
                <w:szCs w:val="20"/>
                <w:color w:val="auto"/>
              </w:rPr>
            </w:pPr>
            <w:r>
              <w:rPr>
                <w:rFonts w:ascii="Arial" w:cs="Arial" w:eastAsia="Arial" w:hAnsi="Arial"/>
                <w:sz w:val="14"/>
                <w:szCs w:val="14"/>
                <w:color w:val="auto"/>
              </w:rPr>
              <w:t>Systems)</w:t>
            </w:r>
          </w:p>
        </w:tc>
        <w:tc>
          <w:tcPr>
            <w:tcW w:w="2240" w:type="dxa"/>
            <w:vAlign w:val="bottom"/>
            <w:shd w:val="clear" w:color="auto" w:fill="CCEEFF"/>
          </w:tcPr>
          <w:p>
            <w:pPr>
              <w:spacing w:after="0"/>
              <w:rPr>
                <w:sz w:val="13"/>
                <w:szCs w:val="13"/>
                <w:color w:val="auto"/>
              </w:rPr>
            </w:pPr>
          </w:p>
        </w:tc>
        <w:tc>
          <w:tcPr>
            <w:tcW w:w="22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680" w:type="dxa"/>
            <w:vAlign w:val="bottom"/>
            <w:shd w:val="clear" w:color="auto" w:fill="CCEEFF"/>
          </w:tcPr>
          <w:p>
            <w:pPr>
              <w:jc w:val="right"/>
              <w:ind w:right="32"/>
              <w:spacing w:after="0" w:line="159" w:lineRule="exact"/>
              <w:rPr>
                <w:sz w:val="20"/>
                <w:szCs w:val="20"/>
                <w:color w:val="auto"/>
              </w:rPr>
            </w:pPr>
            <w:r>
              <w:rPr>
                <w:rFonts w:ascii="Arial" w:cs="Arial" w:eastAsia="Arial" w:hAnsi="Arial"/>
                <w:sz w:val="14"/>
                <w:szCs w:val="14"/>
                <w:color w:val="auto"/>
              </w:rPr>
              <w:t>4.50%</w:t>
            </w:r>
          </w:p>
        </w:tc>
        <w:tc>
          <w:tcPr>
            <w:tcW w:w="800" w:type="dxa"/>
            <w:vAlign w:val="bottom"/>
            <w:shd w:val="clear" w:color="auto" w:fill="CCEEFF"/>
          </w:tcPr>
          <w:p>
            <w:pPr>
              <w:jc w:val="right"/>
              <w:ind w:right="12"/>
              <w:spacing w:after="0" w:line="159" w:lineRule="exact"/>
              <w:rPr>
                <w:sz w:val="20"/>
                <w:szCs w:val="20"/>
                <w:color w:val="auto"/>
              </w:rPr>
            </w:pPr>
            <w:r>
              <w:rPr>
                <w:rFonts w:ascii="Arial" w:cs="Arial" w:eastAsia="Arial" w:hAnsi="Arial"/>
                <w:sz w:val="14"/>
                <w:szCs w:val="14"/>
                <w:color w:val="auto"/>
              </w:rPr>
              <w:t>5/9/2017</w:t>
            </w:r>
          </w:p>
        </w:tc>
        <w:tc>
          <w:tcPr>
            <w:tcW w:w="1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112"/>
              <w:spacing w:after="0" w:line="159" w:lineRule="exact"/>
              <w:rPr>
                <w:sz w:val="20"/>
                <w:szCs w:val="20"/>
                <w:color w:val="auto"/>
              </w:rPr>
            </w:pPr>
            <w:r>
              <w:rPr>
                <w:rFonts w:ascii="Arial" w:cs="Arial" w:eastAsia="Arial" w:hAnsi="Arial"/>
                <w:sz w:val="14"/>
                <w:szCs w:val="14"/>
                <w:color w:val="auto"/>
                <w:w w:val="83"/>
              </w:rPr>
              <w:t>1,907,486</w:t>
            </w:r>
          </w:p>
        </w:tc>
        <w:tc>
          <w:tcPr>
            <w:tcW w:w="920" w:type="dxa"/>
            <w:vAlign w:val="bottom"/>
            <w:shd w:val="clear" w:color="auto" w:fill="CCEEFF"/>
          </w:tcPr>
          <w:p>
            <w:pPr>
              <w:jc w:val="right"/>
              <w:ind w:right="112"/>
              <w:spacing w:after="0" w:line="159" w:lineRule="exact"/>
              <w:rPr>
                <w:sz w:val="20"/>
                <w:szCs w:val="20"/>
                <w:color w:val="auto"/>
              </w:rPr>
            </w:pPr>
            <w:r>
              <w:rPr>
                <w:rFonts w:ascii="Arial" w:cs="Arial" w:eastAsia="Arial" w:hAnsi="Arial"/>
                <w:sz w:val="14"/>
                <w:szCs w:val="14"/>
                <w:color w:val="auto"/>
              </w:rPr>
              <w:t>1,904,349</w:t>
            </w:r>
          </w:p>
        </w:tc>
        <w:tc>
          <w:tcPr>
            <w:tcW w:w="8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1,874,105</w:t>
            </w:r>
          </w:p>
        </w:tc>
      </w:tr>
      <w:tr>
        <w:trPr>
          <w:trHeight w:val="149"/>
        </w:trPr>
        <w:tc>
          <w:tcPr>
            <w:tcW w:w="2220" w:type="dxa"/>
            <w:vAlign w:val="bottom"/>
          </w:tcPr>
          <w:p>
            <w:pPr>
              <w:spacing w:after="0" w:line="149" w:lineRule="exact"/>
              <w:rPr>
                <w:sz w:val="20"/>
                <w:szCs w:val="20"/>
                <w:color w:val="auto"/>
              </w:rPr>
            </w:pPr>
            <w:r>
              <w:rPr>
                <w:rFonts w:ascii="Arial" w:cs="Arial" w:eastAsia="Arial" w:hAnsi="Arial"/>
                <w:sz w:val="14"/>
                <w:szCs w:val="14"/>
                <w:color w:val="auto"/>
              </w:rPr>
              <w:t>ServiceMaster Company, The</w:t>
            </w:r>
          </w:p>
        </w:tc>
        <w:tc>
          <w:tcPr>
            <w:tcW w:w="2240" w:type="dxa"/>
            <w:vAlign w:val="bottom"/>
          </w:tcPr>
          <w:p>
            <w:pPr>
              <w:ind w:left="80"/>
              <w:spacing w:after="0" w:line="149" w:lineRule="exact"/>
              <w:rPr>
                <w:sz w:val="20"/>
                <w:szCs w:val="20"/>
                <w:color w:val="auto"/>
              </w:rPr>
            </w:pPr>
            <w:r>
              <w:rPr>
                <w:rFonts w:ascii="Arial" w:cs="Arial" w:eastAsia="Arial" w:hAnsi="Arial"/>
                <w:sz w:val="14"/>
                <w:szCs w:val="14"/>
                <w:color w:val="auto"/>
              </w:rPr>
              <w:t>Conglomerate</w:t>
            </w:r>
          </w:p>
        </w:tc>
        <w:tc>
          <w:tcPr>
            <w:tcW w:w="2280" w:type="dxa"/>
            <w:vAlign w:val="bottom"/>
          </w:tcPr>
          <w:p>
            <w:pPr>
              <w:ind w:left="200"/>
              <w:spacing w:after="0" w:line="149" w:lineRule="exact"/>
              <w:rPr>
                <w:sz w:val="20"/>
                <w:szCs w:val="20"/>
                <w:color w:val="auto"/>
              </w:rPr>
            </w:pPr>
            <w:r>
              <w:rPr>
                <w:rFonts w:ascii="Arial" w:cs="Arial" w:eastAsia="Arial" w:hAnsi="Arial"/>
                <w:sz w:val="14"/>
                <w:szCs w:val="14"/>
                <w:color w:val="auto"/>
              </w:rPr>
              <w:t>Tranche B Term Loan</w:t>
            </w:r>
          </w:p>
        </w:tc>
        <w:tc>
          <w:tcPr>
            <w:tcW w:w="600" w:type="dxa"/>
            <w:vAlign w:val="bottom"/>
          </w:tcPr>
          <w:p>
            <w:pPr>
              <w:ind w:left="80"/>
              <w:spacing w:after="0" w:line="149" w:lineRule="exact"/>
              <w:rPr>
                <w:sz w:val="20"/>
                <w:szCs w:val="20"/>
                <w:color w:val="auto"/>
              </w:rPr>
            </w:pPr>
            <w:r>
              <w:rPr>
                <w:rFonts w:ascii="Arial" w:cs="Arial" w:eastAsia="Arial" w:hAnsi="Arial"/>
                <w:sz w:val="14"/>
                <w:szCs w:val="14"/>
                <w:color w:val="auto"/>
              </w:rPr>
              <w:t>Loan</w:t>
            </w:r>
          </w:p>
        </w:tc>
        <w:tc>
          <w:tcPr>
            <w:tcW w:w="680" w:type="dxa"/>
            <w:vAlign w:val="bottom"/>
          </w:tcPr>
          <w:p>
            <w:pPr>
              <w:jc w:val="right"/>
              <w:ind w:right="32"/>
              <w:spacing w:after="0" w:line="149" w:lineRule="exact"/>
              <w:rPr>
                <w:sz w:val="20"/>
                <w:szCs w:val="20"/>
                <w:color w:val="auto"/>
              </w:rPr>
            </w:pPr>
            <w:r>
              <w:rPr>
                <w:rFonts w:ascii="Arial" w:cs="Arial" w:eastAsia="Arial" w:hAnsi="Arial"/>
                <w:sz w:val="14"/>
                <w:szCs w:val="14"/>
                <w:color w:val="auto"/>
              </w:rPr>
              <w:t>4.25%</w:t>
            </w:r>
          </w:p>
        </w:tc>
        <w:tc>
          <w:tcPr>
            <w:tcW w:w="8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7/1/2021</w:t>
            </w:r>
          </w:p>
        </w:tc>
        <w:tc>
          <w:tcPr>
            <w:tcW w:w="1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112"/>
              <w:spacing w:after="0" w:line="149" w:lineRule="exact"/>
              <w:rPr>
                <w:sz w:val="20"/>
                <w:szCs w:val="20"/>
                <w:color w:val="auto"/>
              </w:rPr>
            </w:pPr>
            <w:r>
              <w:rPr>
                <w:rFonts w:ascii="Arial" w:cs="Arial" w:eastAsia="Arial" w:hAnsi="Arial"/>
                <w:sz w:val="14"/>
                <w:szCs w:val="14"/>
                <w:color w:val="auto"/>
                <w:w w:val="83"/>
              </w:rPr>
              <w:t>1,980,000</w:t>
            </w:r>
          </w:p>
        </w:tc>
        <w:tc>
          <w:tcPr>
            <w:tcW w:w="9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1,963,607</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1,967,011</w:t>
            </w:r>
          </w:p>
        </w:tc>
      </w:tr>
      <w:tr>
        <w:trPr>
          <w:trHeight w:val="70"/>
        </w:trPr>
        <w:tc>
          <w:tcPr>
            <w:tcW w:w="2220" w:type="dxa"/>
            <w:vAlign w:val="bottom"/>
            <w:shd w:val="clear" w:color="auto" w:fill="CCEEFF"/>
          </w:tcPr>
          <w:p>
            <w:pPr>
              <w:spacing w:after="0"/>
              <w:rPr>
                <w:sz w:val="6"/>
                <w:szCs w:val="6"/>
                <w:color w:val="auto"/>
              </w:rPr>
            </w:pPr>
          </w:p>
        </w:tc>
        <w:tc>
          <w:tcPr>
            <w:tcW w:w="2240" w:type="dxa"/>
            <w:vAlign w:val="bottom"/>
            <w:shd w:val="clear" w:color="auto" w:fill="CCEEFF"/>
          </w:tcPr>
          <w:p>
            <w:pPr>
              <w:spacing w:after="0"/>
              <w:rPr>
                <w:sz w:val="6"/>
                <w:szCs w:val="6"/>
                <w:color w:val="auto"/>
              </w:rPr>
            </w:pPr>
          </w:p>
        </w:tc>
        <w:tc>
          <w:tcPr>
            <w:tcW w:w="2280" w:type="dxa"/>
            <w:vAlign w:val="bottom"/>
            <w:shd w:val="clear" w:color="auto" w:fill="CCEEFF"/>
          </w:tcPr>
          <w:p>
            <w:pPr>
              <w:spacing w:after="0"/>
              <w:rPr>
                <w:sz w:val="6"/>
                <w:szCs w:val="6"/>
                <w:color w:val="auto"/>
              </w:rPr>
            </w:pPr>
          </w:p>
        </w:tc>
        <w:tc>
          <w:tcPr>
            <w:tcW w:w="600" w:type="dxa"/>
            <w:vAlign w:val="bottom"/>
            <w:shd w:val="clear" w:color="auto" w:fill="CCEEFF"/>
          </w:tcPr>
          <w:p>
            <w:pPr>
              <w:spacing w:after="0"/>
              <w:rPr>
                <w:sz w:val="6"/>
                <w:szCs w:val="6"/>
                <w:color w:val="auto"/>
              </w:rPr>
            </w:pPr>
          </w:p>
        </w:tc>
        <w:tc>
          <w:tcPr>
            <w:tcW w:w="680" w:type="dxa"/>
            <w:vAlign w:val="bottom"/>
            <w:shd w:val="clear" w:color="auto" w:fill="CCEEFF"/>
          </w:tcPr>
          <w:p>
            <w:pPr>
              <w:spacing w:after="0"/>
              <w:rPr>
                <w:sz w:val="6"/>
                <w:szCs w:val="6"/>
                <w:color w:val="auto"/>
              </w:rPr>
            </w:pPr>
          </w:p>
        </w:tc>
        <w:tc>
          <w:tcPr>
            <w:tcW w:w="8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20" w:type="dxa"/>
            <w:vAlign w:val="bottom"/>
            <w:shd w:val="clear" w:color="auto" w:fill="CCEEFF"/>
          </w:tcPr>
          <w:p>
            <w:pPr>
              <w:spacing w:after="0"/>
              <w:rPr>
                <w:sz w:val="6"/>
                <w:szCs w:val="6"/>
                <w:color w:val="auto"/>
              </w:rPr>
            </w:pPr>
          </w:p>
        </w:tc>
        <w:tc>
          <w:tcPr>
            <w:tcW w:w="920" w:type="dxa"/>
            <w:vAlign w:val="bottom"/>
            <w:shd w:val="clear" w:color="auto" w:fill="CCEEFF"/>
          </w:tcPr>
          <w:p>
            <w:pPr>
              <w:spacing w:after="0"/>
              <w:rPr>
                <w:sz w:val="6"/>
                <w:szCs w:val="6"/>
                <w:color w:val="auto"/>
              </w:rPr>
            </w:pPr>
          </w:p>
        </w:tc>
        <w:tc>
          <w:tcPr>
            <w:tcW w:w="800" w:type="dxa"/>
            <w:vAlign w:val="bottom"/>
            <w:shd w:val="clear" w:color="auto" w:fill="CCEEFF"/>
          </w:tcPr>
          <w:p>
            <w:pPr>
              <w:spacing w:after="0"/>
              <w:rPr>
                <w:sz w:val="6"/>
                <w:szCs w:val="6"/>
                <w:color w:val="auto"/>
              </w:rPr>
            </w:pPr>
          </w:p>
        </w:tc>
      </w:tr>
    </w:tbl>
    <w:p>
      <w:pPr>
        <w:sectPr>
          <w:pgSz w:w="11900" w:h="16900" w:orient="portrait"/>
          <w:cols w:equalWidth="0" w:num="1">
            <w:col w:w="11420"/>
          </w:cols>
          <w:pgMar w:left="240" w:top="127" w:right="239" w:bottom="0" w:gutter="0" w:footer="0" w:header="0"/>
        </w:sectPr>
      </w:pPr>
    </w:p>
    <w:bookmarkStart w:id="26" w:name="page27"/>
    <w:bookmarkEnd w:id="2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200" w:type="dxa"/>
            <w:vAlign w:val="bottom"/>
            <w:shd w:val="clear" w:color="auto" w:fill="CCEEFF"/>
          </w:tcPr>
          <w:p>
            <w:pPr>
              <w:spacing w:after="0"/>
              <w:rPr>
                <w:sz w:val="20"/>
                <w:szCs w:val="20"/>
                <w:color w:val="auto"/>
              </w:rPr>
            </w:pPr>
            <w:r>
              <w:rPr>
                <w:rFonts w:ascii="Arial" w:cs="Arial" w:eastAsia="Arial" w:hAnsi="Arial"/>
                <w:sz w:val="14"/>
                <w:szCs w:val="14"/>
                <w:color w:val="auto"/>
              </w:rPr>
              <w:t>Shearers Foods LLC</w:t>
            </w:r>
          </w:p>
        </w:tc>
        <w:tc>
          <w:tcPr>
            <w:tcW w:w="2200" w:type="dxa"/>
            <w:vAlign w:val="bottom"/>
            <w:shd w:val="clear" w:color="auto" w:fill="CCEEFF"/>
          </w:tcPr>
          <w:p>
            <w:pPr>
              <w:ind w:left="80"/>
              <w:spacing w:after="0"/>
              <w:rPr>
                <w:sz w:val="20"/>
                <w:szCs w:val="20"/>
                <w:color w:val="auto"/>
              </w:rPr>
            </w:pPr>
            <w:r>
              <w:rPr>
                <w:rFonts w:ascii="Arial" w:cs="Arial" w:eastAsia="Arial" w:hAnsi="Arial"/>
                <w:sz w:val="14"/>
                <w:szCs w:val="14"/>
                <w:color w:val="auto"/>
              </w:rPr>
              <w:t>Food Services</w:t>
            </w:r>
          </w:p>
        </w:tc>
        <w:tc>
          <w:tcPr>
            <w:tcW w:w="2280" w:type="dxa"/>
            <w:vAlign w:val="bottom"/>
            <w:shd w:val="clear" w:color="auto" w:fill="CCEEFF"/>
          </w:tcPr>
          <w:p>
            <w:pPr>
              <w:ind w:left="240"/>
              <w:spacing w:after="0"/>
              <w:rPr>
                <w:sz w:val="20"/>
                <w:szCs w:val="20"/>
                <w:color w:val="auto"/>
              </w:rPr>
            </w:pPr>
            <w:r>
              <w:rPr>
                <w:rFonts w:ascii="Arial" w:cs="Arial" w:eastAsia="Arial" w:hAnsi="Arial"/>
                <w:sz w:val="14"/>
                <w:szCs w:val="14"/>
                <w:color w:val="auto"/>
              </w:rPr>
              <w:t>Term Loan (First Lien)</w:t>
            </w:r>
          </w:p>
        </w:tc>
        <w:tc>
          <w:tcPr>
            <w:tcW w:w="6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Loan</w:t>
            </w:r>
          </w:p>
        </w:tc>
        <w:tc>
          <w:tcPr>
            <w:tcW w:w="70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4.50%</w:t>
            </w:r>
          </w:p>
        </w:tc>
        <w:tc>
          <w:tcPr>
            <w:tcW w:w="880" w:type="dxa"/>
            <w:vAlign w:val="bottom"/>
            <w:shd w:val="clear" w:color="auto" w:fill="CCEEFF"/>
          </w:tcPr>
          <w:p>
            <w:pPr>
              <w:jc w:val="right"/>
              <w:ind w:right="92"/>
              <w:spacing w:after="0"/>
              <w:rPr>
                <w:sz w:val="20"/>
                <w:szCs w:val="20"/>
                <w:color w:val="auto"/>
              </w:rPr>
            </w:pPr>
            <w:r>
              <w:rPr>
                <w:rFonts w:ascii="Arial" w:cs="Arial" w:eastAsia="Arial" w:hAnsi="Arial"/>
                <w:sz w:val="14"/>
                <w:szCs w:val="14"/>
                <w:color w:val="auto"/>
              </w:rPr>
              <w:t>6/30/2021</w:t>
            </w:r>
          </w:p>
        </w:tc>
        <w:tc>
          <w:tcPr>
            <w:tcW w:w="12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w w:val="94"/>
              </w:rPr>
              <w:t>990,000</w:t>
            </w:r>
          </w:p>
        </w:tc>
        <w:tc>
          <w:tcPr>
            <w:tcW w:w="160" w:type="dxa"/>
            <w:vAlign w:val="bottom"/>
            <w:tcBorders>
              <w:right w:val="single" w:sz="8" w:color="CCEEFF"/>
            </w:tcBorders>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987,847</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970,200</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00" w:type="dxa"/>
            <w:vAlign w:val="bottom"/>
          </w:tcPr>
          <w:p>
            <w:pPr>
              <w:spacing w:after="0" w:line="149" w:lineRule="exact"/>
              <w:rPr>
                <w:sz w:val="20"/>
                <w:szCs w:val="20"/>
                <w:color w:val="auto"/>
              </w:rPr>
            </w:pPr>
            <w:r>
              <w:rPr>
                <w:rFonts w:ascii="Arial" w:cs="Arial" w:eastAsia="Arial" w:hAnsi="Arial"/>
                <w:sz w:val="14"/>
                <w:szCs w:val="14"/>
                <w:color w:val="auto"/>
              </w:rPr>
              <w:t>Sitel Worldwide</w:t>
            </w:r>
          </w:p>
        </w:tc>
        <w:tc>
          <w:tcPr>
            <w:tcW w:w="2200" w:type="dxa"/>
            <w:vAlign w:val="bottom"/>
          </w:tcPr>
          <w:p>
            <w:pPr>
              <w:ind w:left="80"/>
              <w:spacing w:after="0" w:line="149" w:lineRule="exact"/>
              <w:rPr>
                <w:sz w:val="20"/>
                <w:szCs w:val="20"/>
                <w:color w:val="auto"/>
              </w:rPr>
            </w:pPr>
            <w:r>
              <w:rPr>
                <w:rFonts w:ascii="Arial" w:cs="Arial" w:eastAsia="Arial" w:hAnsi="Arial"/>
                <w:sz w:val="14"/>
                <w:szCs w:val="14"/>
                <w:color w:val="auto"/>
              </w:rPr>
              <w:t>Telecommunications</w:t>
            </w:r>
          </w:p>
        </w:tc>
        <w:tc>
          <w:tcPr>
            <w:tcW w:w="2280" w:type="dxa"/>
            <w:vAlign w:val="bottom"/>
          </w:tcPr>
          <w:p>
            <w:pPr>
              <w:ind w:left="240"/>
              <w:spacing w:after="0" w:line="149" w:lineRule="exact"/>
              <w:rPr>
                <w:sz w:val="20"/>
                <w:szCs w:val="20"/>
                <w:color w:val="auto"/>
              </w:rPr>
            </w:pPr>
            <w:r>
              <w:rPr>
                <w:rFonts w:ascii="Arial" w:cs="Arial" w:eastAsia="Arial" w:hAnsi="Arial"/>
                <w:sz w:val="14"/>
                <w:szCs w:val="14"/>
                <w:color w:val="auto"/>
              </w:rPr>
              <w:t>Term Loan</w:t>
            </w:r>
          </w:p>
        </w:tc>
        <w:tc>
          <w:tcPr>
            <w:tcW w:w="620" w:type="dxa"/>
            <w:vAlign w:val="bottom"/>
          </w:tcPr>
          <w:p>
            <w:pPr>
              <w:ind w:left="120"/>
              <w:spacing w:after="0" w:line="149" w:lineRule="exact"/>
              <w:rPr>
                <w:sz w:val="20"/>
                <w:szCs w:val="20"/>
                <w:color w:val="auto"/>
              </w:rPr>
            </w:pPr>
            <w:r>
              <w:rPr>
                <w:rFonts w:ascii="Arial" w:cs="Arial" w:eastAsia="Arial" w:hAnsi="Arial"/>
                <w:sz w:val="14"/>
                <w:szCs w:val="14"/>
                <w:color w:val="auto"/>
              </w:rPr>
              <w:t>Loan</w:t>
            </w:r>
          </w:p>
        </w:tc>
        <w:tc>
          <w:tcPr>
            <w:tcW w:w="700" w:type="dxa"/>
            <w:vAlign w:val="bottom"/>
          </w:tcPr>
          <w:p>
            <w:pPr>
              <w:jc w:val="right"/>
              <w:ind w:right="32"/>
              <w:spacing w:after="0" w:line="149" w:lineRule="exact"/>
              <w:rPr>
                <w:sz w:val="20"/>
                <w:szCs w:val="20"/>
                <w:color w:val="auto"/>
              </w:rPr>
            </w:pPr>
            <w:r>
              <w:rPr>
                <w:rFonts w:ascii="Arial" w:cs="Arial" w:eastAsia="Arial" w:hAnsi="Arial"/>
                <w:sz w:val="14"/>
                <w:szCs w:val="14"/>
                <w:color w:val="auto"/>
              </w:rPr>
              <w:t>6.50%</w:t>
            </w:r>
          </w:p>
        </w:tc>
        <w:tc>
          <w:tcPr>
            <w:tcW w:w="880" w:type="dxa"/>
            <w:vAlign w:val="bottom"/>
          </w:tcPr>
          <w:p>
            <w:pPr>
              <w:jc w:val="right"/>
              <w:ind w:right="92"/>
              <w:spacing w:after="0" w:line="149" w:lineRule="exact"/>
              <w:rPr>
                <w:sz w:val="20"/>
                <w:szCs w:val="20"/>
                <w:color w:val="auto"/>
              </w:rPr>
            </w:pPr>
            <w:r>
              <w:rPr>
                <w:rFonts w:ascii="Arial" w:cs="Arial" w:eastAsia="Arial" w:hAnsi="Arial"/>
                <w:sz w:val="14"/>
                <w:szCs w:val="14"/>
                <w:color w:val="auto"/>
              </w:rPr>
              <w:t>8/20/2021</w:t>
            </w:r>
          </w:p>
        </w:tc>
        <w:tc>
          <w:tcPr>
            <w:tcW w:w="70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w w:val="85"/>
              </w:rPr>
              <w:t>$2,000,000</w:t>
            </w:r>
          </w:p>
        </w:tc>
        <w:tc>
          <w:tcPr>
            <w:tcW w:w="1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1,980,658</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1,965,620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Sonneborn, LLC</w:t>
            </w:r>
          </w:p>
        </w:tc>
        <w:tc>
          <w:tcPr>
            <w:tcW w:w="220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Chemicals/Plastics</w:t>
            </w:r>
          </w:p>
        </w:tc>
        <w:tc>
          <w:tcPr>
            <w:tcW w:w="228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rPr>
              <w:t>Term Loan (First Lien)</w:t>
            </w:r>
          </w:p>
        </w:tc>
        <w:tc>
          <w:tcPr>
            <w:tcW w:w="62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Loan</w:t>
            </w:r>
          </w:p>
        </w:tc>
        <w:tc>
          <w:tcPr>
            <w:tcW w:w="70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4.75%</w:t>
            </w:r>
          </w:p>
        </w:tc>
        <w:tc>
          <w:tcPr>
            <w:tcW w:w="88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w w:val="99"/>
              </w:rPr>
              <w:t>12/10/2020</w:t>
            </w:r>
          </w:p>
        </w:tc>
        <w:tc>
          <w:tcPr>
            <w:tcW w:w="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4"/>
              </w:rPr>
              <w:t>223,313</w:t>
            </w:r>
          </w:p>
        </w:tc>
        <w:tc>
          <w:tcPr>
            <w:tcW w:w="16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222,829</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222,475</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00" w:type="dxa"/>
            <w:vAlign w:val="bottom"/>
          </w:tcPr>
          <w:p>
            <w:pPr>
              <w:spacing w:after="0" w:line="149" w:lineRule="exact"/>
              <w:rPr>
                <w:sz w:val="20"/>
                <w:szCs w:val="20"/>
                <w:color w:val="auto"/>
              </w:rPr>
            </w:pPr>
            <w:r>
              <w:rPr>
                <w:rFonts w:ascii="Arial" w:cs="Arial" w:eastAsia="Arial" w:hAnsi="Arial"/>
                <w:sz w:val="14"/>
                <w:szCs w:val="14"/>
                <w:color w:val="auto"/>
              </w:rPr>
              <w:t>Sonneborn, LLC</w:t>
            </w:r>
          </w:p>
        </w:tc>
        <w:tc>
          <w:tcPr>
            <w:tcW w:w="2200" w:type="dxa"/>
            <w:vAlign w:val="bottom"/>
          </w:tcPr>
          <w:p>
            <w:pPr>
              <w:ind w:left="80"/>
              <w:spacing w:after="0" w:line="149" w:lineRule="exact"/>
              <w:rPr>
                <w:sz w:val="20"/>
                <w:szCs w:val="20"/>
                <w:color w:val="auto"/>
              </w:rPr>
            </w:pPr>
            <w:r>
              <w:rPr>
                <w:rFonts w:ascii="Arial" w:cs="Arial" w:eastAsia="Arial" w:hAnsi="Arial"/>
                <w:sz w:val="14"/>
                <w:szCs w:val="14"/>
                <w:color w:val="auto"/>
              </w:rPr>
              <w:t>Chemicals/Plastics</w:t>
            </w:r>
          </w:p>
        </w:tc>
        <w:tc>
          <w:tcPr>
            <w:tcW w:w="2280" w:type="dxa"/>
            <w:vAlign w:val="bottom"/>
          </w:tcPr>
          <w:p>
            <w:pPr>
              <w:ind w:left="240"/>
              <w:spacing w:after="0" w:line="149" w:lineRule="exact"/>
              <w:rPr>
                <w:sz w:val="20"/>
                <w:szCs w:val="20"/>
                <w:color w:val="auto"/>
              </w:rPr>
            </w:pPr>
            <w:r>
              <w:rPr>
                <w:rFonts w:ascii="Arial" w:cs="Arial" w:eastAsia="Arial" w:hAnsi="Arial"/>
                <w:sz w:val="14"/>
                <w:szCs w:val="14"/>
                <w:color w:val="auto"/>
              </w:rPr>
              <w:t>Initial US Term Loan</w:t>
            </w:r>
          </w:p>
        </w:tc>
        <w:tc>
          <w:tcPr>
            <w:tcW w:w="620" w:type="dxa"/>
            <w:vAlign w:val="bottom"/>
          </w:tcPr>
          <w:p>
            <w:pPr>
              <w:ind w:left="120"/>
              <w:spacing w:after="0" w:line="149" w:lineRule="exact"/>
              <w:rPr>
                <w:sz w:val="20"/>
                <w:szCs w:val="20"/>
                <w:color w:val="auto"/>
              </w:rPr>
            </w:pPr>
            <w:r>
              <w:rPr>
                <w:rFonts w:ascii="Arial" w:cs="Arial" w:eastAsia="Arial" w:hAnsi="Arial"/>
                <w:sz w:val="14"/>
                <w:szCs w:val="14"/>
                <w:color w:val="auto"/>
              </w:rPr>
              <w:t>Loan</w:t>
            </w:r>
          </w:p>
        </w:tc>
        <w:tc>
          <w:tcPr>
            <w:tcW w:w="700" w:type="dxa"/>
            <w:vAlign w:val="bottom"/>
          </w:tcPr>
          <w:p>
            <w:pPr>
              <w:jc w:val="right"/>
              <w:ind w:right="32"/>
              <w:spacing w:after="0" w:line="149" w:lineRule="exact"/>
              <w:rPr>
                <w:sz w:val="20"/>
                <w:szCs w:val="20"/>
                <w:color w:val="auto"/>
              </w:rPr>
            </w:pPr>
            <w:r>
              <w:rPr>
                <w:rFonts w:ascii="Arial" w:cs="Arial" w:eastAsia="Arial" w:hAnsi="Arial"/>
                <w:sz w:val="14"/>
                <w:szCs w:val="14"/>
                <w:color w:val="auto"/>
              </w:rPr>
              <w:t>4.75%</w:t>
            </w:r>
          </w:p>
        </w:tc>
        <w:tc>
          <w:tcPr>
            <w:tcW w:w="880" w:type="dxa"/>
            <w:vAlign w:val="bottom"/>
          </w:tcPr>
          <w:p>
            <w:pPr>
              <w:jc w:val="right"/>
              <w:ind w:right="92"/>
              <w:spacing w:after="0" w:line="149" w:lineRule="exact"/>
              <w:rPr>
                <w:sz w:val="20"/>
                <w:szCs w:val="20"/>
                <w:color w:val="auto"/>
              </w:rPr>
            </w:pPr>
            <w:r>
              <w:rPr>
                <w:rFonts w:ascii="Arial" w:cs="Arial" w:eastAsia="Arial" w:hAnsi="Arial"/>
                <w:sz w:val="14"/>
                <w:szCs w:val="14"/>
                <w:color w:val="auto"/>
                <w:w w:val="99"/>
              </w:rPr>
              <w:t>12/10/2020</w:t>
            </w:r>
          </w:p>
        </w:tc>
        <w:tc>
          <w:tcPr>
            <w:tcW w:w="70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w w:val="85"/>
              </w:rPr>
              <w:t>$1,265,438</w:t>
            </w:r>
          </w:p>
        </w:tc>
        <w:tc>
          <w:tcPr>
            <w:tcW w:w="1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1,262,699</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1,260,692</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Sophia, L.P.</w:t>
            </w:r>
          </w:p>
        </w:tc>
        <w:tc>
          <w:tcPr>
            <w:tcW w:w="220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High Tech Industries</w:t>
            </w:r>
          </w:p>
        </w:tc>
        <w:tc>
          <w:tcPr>
            <w:tcW w:w="228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rPr>
              <w:t>Term Loan (Closing Date)</w:t>
            </w:r>
          </w:p>
        </w:tc>
        <w:tc>
          <w:tcPr>
            <w:tcW w:w="62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Loan</w:t>
            </w:r>
          </w:p>
        </w:tc>
        <w:tc>
          <w:tcPr>
            <w:tcW w:w="70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4.75%</w:t>
            </w:r>
          </w:p>
        </w:tc>
        <w:tc>
          <w:tcPr>
            <w:tcW w:w="88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9/30/2022</w:t>
            </w:r>
          </w:p>
        </w:tc>
        <w:tc>
          <w:tcPr>
            <w:tcW w:w="70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85"/>
              </w:rPr>
              <w:t>$2,000,000</w:t>
            </w:r>
          </w:p>
        </w:tc>
        <w:tc>
          <w:tcPr>
            <w:tcW w:w="16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1,990,212</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1,980,320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00" w:type="dxa"/>
            <w:vAlign w:val="bottom"/>
          </w:tcPr>
          <w:p>
            <w:pPr>
              <w:spacing w:after="0" w:line="149" w:lineRule="exact"/>
              <w:rPr>
                <w:sz w:val="20"/>
                <w:szCs w:val="20"/>
                <w:color w:val="auto"/>
              </w:rPr>
            </w:pPr>
            <w:r>
              <w:rPr>
                <w:rFonts w:ascii="Arial" w:cs="Arial" w:eastAsia="Arial" w:hAnsi="Arial"/>
                <w:sz w:val="14"/>
                <w:szCs w:val="14"/>
                <w:color w:val="auto"/>
              </w:rPr>
              <w:t>SourceHOV LLC</w:t>
            </w:r>
          </w:p>
        </w:tc>
        <w:tc>
          <w:tcPr>
            <w:tcW w:w="2200" w:type="dxa"/>
            <w:vAlign w:val="bottom"/>
          </w:tcPr>
          <w:p>
            <w:pPr>
              <w:ind w:left="80"/>
              <w:spacing w:after="0" w:line="149" w:lineRule="exact"/>
              <w:rPr>
                <w:sz w:val="20"/>
                <w:szCs w:val="20"/>
                <w:color w:val="auto"/>
              </w:rPr>
            </w:pPr>
            <w:r>
              <w:rPr>
                <w:rFonts w:ascii="Arial" w:cs="Arial" w:eastAsia="Arial" w:hAnsi="Arial"/>
                <w:sz w:val="14"/>
                <w:szCs w:val="14"/>
                <w:color w:val="auto"/>
              </w:rPr>
              <w:t>Services: Business</w:t>
            </w:r>
          </w:p>
        </w:tc>
        <w:tc>
          <w:tcPr>
            <w:tcW w:w="2280" w:type="dxa"/>
            <w:vAlign w:val="bottom"/>
          </w:tcPr>
          <w:p>
            <w:pPr>
              <w:ind w:left="240"/>
              <w:spacing w:after="0" w:line="149" w:lineRule="exact"/>
              <w:rPr>
                <w:sz w:val="20"/>
                <w:szCs w:val="20"/>
                <w:color w:val="auto"/>
              </w:rPr>
            </w:pPr>
            <w:r>
              <w:rPr>
                <w:rFonts w:ascii="Arial" w:cs="Arial" w:eastAsia="Arial" w:hAnsi="Arial"/>
                <w:sz w:val="14"/>
                <w:szCs w:val="14"/>
                <w:color w:val="auto"/>
              </w:rPr>
              <w:t>Term Loan B (First Lien)</w:t>
            </w:r>
          </w:p>
        </w:tc>
        <w:tc>
          <w:tcPr>
            <w:tcW w:w="620" w:type="dxa"/>
            <w:vAlign w:val="bottom"/>
          </w:tcPr>
          <w:p>
            <w:pPr>
              <w:ind w:left="120"/>
              <w:spacing w:after="0" w:line="149" w:lineRule="exact"/>
              <w:rPr>
                <w:sz w:val="20"/>
                <w:szCs w:val="20"/>
                <w:color w:val="auto"/>
              </w:rPr>
            </w:pPr>
            <w:r>
              <w:rPr>
                <w:rFonts w:ascii="Arial" w:cs="Arial" w:eastAsia="Arial" w:hAnsi="Arial"/>
                <w:sz w:val="14"/>
                <w:szCs w:val="14"/>
                <w:color w:val="auto"/>
              </w:rPr>
              <w:t>Loan</w:t>
            </w:r>
          </w:p>
        </w:tc>
        <w:tc>
          <w:tcPr>
            <w:tcW w:w="700" w:type="dxa"/>
            <w:vAlign w:val="bottom"/>
          </w:tcPr>
          <w:p>
            <w:pPr>
              <w:jc w:val="right"/>
              <w:ind w:right="32"/>
              <w:spacing w:after="0" w:line="149" w:lineRule="exact"/>
              <w:rPr>
                <w:sz w:val="20"/>
                <w:szCs w:val="20"/>
                <w:color w:val="auto"/>
              </w:rPr>
            </w:pPr>
            <w:r>
              <w:rPr>
                <w:rFonts w:ascii="Arial" w:cs="Arial" w:eastAsia="Arial" w:hAnsi="Arial"/>
                <w:sz w:val="14"/>
                <w:szCs w:val="14"/>
                <w:color w:val="auto"/>
              </w:rPr>
              <w:t>7.75%</w:t>
            </w:r>
          </w:p>
        </w:tc>
        <w:tc>
          <w:tcPr>
            <w:tcW w:w="880" w:type="dxa"/>
            <w:vAlign w:val="bottom"/>
          </w:tcPr>
          <w:p>
            <w:pPr>
              <w:jc w:val="right"/>
              <w:ind w:right="92"/>
              <w:spacing w:after="0" w:line="149" w:lineRule="exact"/>
              <w:rPr>
                <w:sz w:val="20"/>
                <w:szCs w:val="20"/>
                <w:color w:val="auto"/>
              </w:rPr>
            </w:pPr>
            <w:r>
              <w:rPr>
                <w:rFonts w:ascii="Arial" w:cs="Arial" w:eastAsia="Arial" w:hAnsi="Arial"/>
                <w:sz w:val="14"/>
                <w:szCs w:val="14"/>
                <w:color w:val="auto"/>
                <w:w w:val="99"/>
              </w:rPr>
              <w:t>10/31/2019</w:t>
            </w:r>
          </w:p>
        </w:tc>
        <w:tc>
          <w:tcPr>
            <w:tcW w:w="70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w w:val="85"/>
              </w:rPr>
              <w:t>$1,962,500</w:t>
            </w:r>
          </w:p>
        </w:tc>
        <w:tc>
          <w:tcPr>
            <w:tcW w:w="1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1,913,505</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1,766,250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SRAM, LLC</w:t>
            </w:r>
          </w:p>
        </w:tc>
        <w:tc>
          <w:tcPr>
            <w:tcW w:w="220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Industrial Equipment</w:t>
            </w:r>
          </w:p>
        </w:tc>
        <w:tc>
          <w:tcPr>
            <w:tcW w:w="228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rPr>
              <w:t>Term Loan (First Lien)</w:t>
            </w:r>
          </w:p>
        </w:tc>
        <w:tc>
          <w:tcPr>
            <w:tcW w:w="62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Loan</w:t>
            </w:r>
          </w:p>
        </w:tc>
        <w:tc>
          <w:tcPr>
            <w:tcW w:w="70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4.00%</w:t>
            </w:r>
          </w:p>
        </w:tc>
        <w:tc>
          <w:tcPr>
            <w:tcW w:w="88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4/10/2020</w:t>
            </w:r>
          </w:p>
        </w:tc>
        <w:tc>
          <w:tcPr>
            <w:tcW w:w="70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85"/>
              </w:rPr>
              <w:t>$2,917,953</w:t>
            </w:r>
          </w:p>
        </w:tc>
        <w:tc>
          <w:tcPr>
            <w:tcW w:w="16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2,909,603</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2,378,132</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00" w:type="dxa"/>
            <w:vAlign w:val="bottom"/>
          </w:tcPr>
          <w:p>
            <w:pPr>
              <w:spacing w:after="0" w:line="149" w:lineRule="exact"/>
              <w:rPr>
                <w:sz w:val="20"/>
                <w:szCs w:val="20"/>
                <w:color w:val="auto"/>
              </w:rPr>
            </w:pPr>
            <w:r>
              <w:rPr>
                <w:rFonts w:ascii="Arial" w:cs="Arial" w:eastAsia="Arial" w:hAnsi="Arial"/>
                <w:sz w:val="14"/>
                <w:szCs w:val="14"/>
                <w:color w:val="auto"/>
              </w:rPr>
              <w:t>Staples, Inc.</w:t>
            </w:r>
          </w:p>
        </w:tc>
        <w:tc>
          <w:tcPr>
            <w:tcW w:w="2200" w:type="dxa"/>
            <w:vAlign w:val="bottom"/>
          </w:tcPr>
          <w:p>
            <w:pPr>
              <w:ind w:left="80"/>
              <w:spacing w:after="0" w:line="149" w:lineRule="exact"/>
              <w:rPr>
                <w:sz w:val="20"/>
                <w:szCs w:val="20"/>
                <w:color w:val="auto"/>
              </w:rPr>
            </w:pPr>
            <w:r>
              <w:rPr>
                <w:rFonts w:ascii="Arial" w:cs="Arial" w:eastAsia="Arial" w:hAnsi="Arial"/>
                <w:sz w:val="14"/>
                <w:szCs w:val="14"/>
                <w:color w:val="auto"/>
                <w:w w:val="97"/>
              </w:rPr>
              <w:t>Retailers (Except Food and Drugs)</w:t>
            </w:r>
          </w:p>
        </w:tc>
        <w:tc>
          <w:tcPr>
            <w:tcW w:w="2280" w:type="dxa"/>
            <w:vAlign w:val="bottom"/>
          </w:tcPr>
          <w:p>
            <w:pPr>
              <w:ind w:left="240"/>
              <w:spacing w:after="0" w:line="149" w:lineRule="exact"/>
              <w:rPr>
                <w:sz w:val="20"/>
                <w:szCs w:val="20"/>
                <w:color w:val="auto"/>
              </w:rPr>
            </w:pPr>
            <w:r>
              <w:rPr>
                <w:rFonts w:ascii="Arial" w:cs="Arial" w:eastAsia="Arial" w:hAnsi="Arial"/>
                <w:sz w:val="14"/>
                <w:szCs w:val="14"/>
                <w:color w:val="auto"/>
              </w:rPr>
              <w:t>Term Loan B</w:t>
            </w:r>
          </w:p>
        </w:tc>
        <w:tc>
          <w:tcPr>
            <w:tcW w:w="620" w:type="dxa"/>
            <w:vAlign w:val="bottom"/>
          </w:tcPr>
          <w:p>
            <w:pPr>
              <w:ind w:left="120"/>
              <w:spacing w:after="0" w:line="149" w:lineRule="exact"/>
              <w:rPr>
                <w:sz w:val="20"/>
                <w:szCs w:val="20"/>
                <w:color w:val="auto"/>
              </w:rPr>
            </w:pPr>
            <w:r>
              <w:rPr>
                <w:rFonts w:ascii="Arial" w:cs="Arial" w:eastAsia="Arial" w:hAnsi="Arial"/>
                <w:sz w:val="14"/>
                <w:szCs w:val="14"/>
                <w:color w:val="auto"/>
              </w:rPr>
              <w:t>Loan</w:t>
            </w:r>
          </w:p>
        </w:tc>
        <w:tc>
          <w:tcPr>
            <w:tcW w:w="700" w:type="dxa"/>
            <w:vAlign w:val="bottom"/>
          </w:tcPr>
          <w:p>
            <w:pPr>
              <w:jc w:val="right"/>
              <w:ind w:right="32"/>
              <w:spacing w:after="0" w:line="149" w:lineRule="exact"/>
              <w:rPr>
                <w:sz w:val="20"/>
                <w:szCs w:val="20"/>
                <w:color w:val="auto"/>
              </w:rPr>
            </w:pPr>
            <w:r>
              <w:rPr>
                <w:rFonts w:ascii="Arial" w:cs="Arial" w:eastAsia="Arial" w:hAnsi="Arial"/>
                <w:sz w:val="14"/>
                <w:szCs w:val="14"/>
                <w:color w:val="auto"/>
              </w:rPr>
              <w:t>3.50%</w:t>
            </w:r>
          </w:p>
        </w:tc>
        <w:tc>
          <w:tcPr>
            <w:tcW w:w="880" w:type="dxa"/>
            <w:vAlign w:val="bottom"/>
          </w:tcPr>
          <w:p>
            <w:pPr>
              <w:jc w:val="right"/>
              <w:ind w:right="92"/>
              <w:spacing w:after="0" w:line="149" w:lineRule="exact"/>
              <w:rPr>
                <w:sz w:val="20"/>
                <w:szCs w:val="20"/>
                <w:color w:val="auto"/>
              </w:rPr>
            </w:pPr>
            <w:r>
              <w:rPr>
                <w:rFonts w:ascii="Arial" w:cs="Arial" w:eastAsia="Arial" w:hAnsi="Arial"/>
                <w:sz w:val="14"/>
                <w:szCs w:val="14"/>
                <w:color w:val="auto"/>
              </w:rPr>
              <w:t>4/23/2021</w:t>
            </w:r>
          </w:p>
        </w:tc>
        <w:tc>
          <w:tcPr>
            <w:tcW w:w="70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w w:val="85"/>
              </w:rPr>
              <w:t>$1,000,000</w:t>
            </w:r>
          </w:p>
        </w:tc>
        <w:tc>
          <w:tcPr>
            <w:tcW w:w="1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995,000</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986,670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Steak ‘n Shake Operations, Inc.</w:t>
            </w:r>
          </w:p>
        </w:tc>
        <w:tc>
          <w:tcPr>
            <w:tcW w:w="220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Food Services</w:t>
            </w:r>
          </w:p>
        </w:tc>
        <w:tc>
          <w:tcPr>
            <w:tcW w:w="228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rPr>
              <w:t>Term Loan</w:t>
            </w:r>
          </w:p>
        </w:tc>
        <w:tc>
          <w:tcPr>
            <w:tcW w:w="62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Loan</w:t>
            </w:r>
          </w:p>
        </w:tc>
        <w:tc>
          <w:tcPr>
            <w:tcW w:w="70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4.75%</w:t>
            </w:r>
          </w:p>
        </w:tc>
        <w:tc>
          <w:tcPr>
            <w:tcW w:w="88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3/19/2021</w:t>
            </w:r>
          </w:p>
        </w:tc>
        <w:tc>
          <w:tcPr>
            <w:tcW w:w="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4"/>
              </w:rPr>
              <w:t>967,841</w:t>
            </w:r>
          </w:p>
        </w:tc>
        <w:tc>
          <w:tcPr>
            <w:tcW w:w="16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960,137</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958,163</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00" w:type="dxa"/>
            <w:vAlign w:val="bottom"/>
          </w:tcPr>
          <w:p>
            <w:pPr>
              <w:spacing w:after="0" w:line="149" w:lineRule="exact"/>
              <w:rPr>
                <w:sz w:val="20"/>
                <w:szCs w:val="20"/>
                <w:color w:val="auto"/>
              </w:rPr>
            </w:pPr>
            <w:r>
              <w:rPr>
                <w:rFonts w:ascii="Arial" w:cs="Arial" w:eastAsia="Arial" w:hAnsi="Arial"/>
                <w:sz w:val="14"/>
                <w:szCs w:val="14"/>
                <w:color w:val="auto"/>
              </w:rPr>
              <w:t>SuperMedia Inc. (fka Idearc Inc.)</w:t>
            </w:r>
          </w:p>
        </w:tc>
        <w:tc>
          <w:tcPr>
            <w:tcW w:w="2200" w:type="dxa"/>
            <w:vAlign w:val="bottom"/>
          </w:tcPr>
          <w:p>
            <w:pPr>
              <w:ind w:left="80"/>
              <w:spacing w:after="0" w:line="149" w:lineRule="exact"/>
              <w:rPr>
                <w:sz w:val="20"/>
                <w:szCs w:val="20"/>
                <w:color w:val="auto"/>
              </w:rPr>
            </w:pPr>
            <w:r>
              <w:rPr>
                <w:rFonts w:ascii="Arial" w:cs="Arial" w:eastAsia="Arial" w:hAnsi="Arial"/>
                <w:sz w:val="14"/>
                <w:szCs w:val="14"/>
                <w:color w:val="auto"/>
              </w:rPr>
              <w:t>Publishing</w:t>
            </w:r>
          </w:p>
        </w:tc>
        <w:tc>
          <w:tcPr>
            <w:tcW w:w="2280" w:type="dxa"/>
            <w:vAlign w:val="bottom"/>
          </w:tcPr>
          <w:p>
            <w:pPr>
              <w:ind w:left="240"/>
              <w:spacing w:after="0" w:line="149" w:lineRule="exact"/>
              <w:rPr>
                <w:sz w:val="20"/>
                <w:szCs w:val="20"/>
                <w:color w:val="auto"/>
              </w:rPr>
            </w:pPr>
            <w:r>
              <w:rPr>
                <w:rFonts w:ascii="Arial" w:cs="Arial" w:eastAsia="Arial" w:hAnsi="Arial"/>
                <w:sz w:val="14"/>
                <w:szCs w:val="14"/>
                <w:color w:val="auto"/>
              </w:rPr>
              <w:t>Loan</w:t>
            </w:r>
          </w:p>
        </w:tc>
        <w:tc>
          <w:tcPr>
            <w:tcW w:w="620" w:type="dxa"/>
            <w:vAlign w:val="bottom"/>
          </w:tcPr>
          <w:p>
            <w:pPr>
              <w:ind w:left="120"/>
              <w:spacing w:after="0" w:line="149" w:lineRule="exact"/>
              <w:rPr>
                <w:sz w:val="20"/>
                <w:szCs w:val="20"/>
                <w:color w:val="auto"/>
              </w:rPr>
            </w:pPr>
            <w:r>
              <w:rPr>
                <w:rFonts w:ascii="Arial" w:cs="Arial" w:eastAsia="Arial" w:hAnsi="Arial"/>
                <w:sz w:val="14"/>
                <w:szCs w:val="14"/>
                <w:color w:val="auto"/>
              </w:rPr>
              <w:t>Loan</w:t>
            </w:r>
          </w:p>
        </w:tc>
        <w:tc>
          <w:tcPr>
            <w:tcW w:w="700" w:type="dxa"/>
            <w:vAlign w:val="bottom"/>
          </w:tcPr>
          <w:p>
            <w:pPr>
              <w:jc w:val="right"/>
              <w:ind w:right="32"/>
              <w:spacing w:after="0" w:line="149" w:lineRule="exact"/>
              <w:rPr>
                <w:sz w:val="20"/>
                <w:szCs w:val="20"/>
                <w:color w:val="auto"/>
              </w:rPr>
            </w:pPr>
            <w:r>
              <w:rPr>
                <w:rFonts w:ascii="Arial" w:cs="Arial" w:eastAsia="Arial" w:hAnsi="Arial"/>
                <w:sz w:val="14"/>
                <w:szCs w:val="14"/>
                <w:color w:val="auto"/>
              </w:rPr>
              <w:t>11.60%</w:t>
            </w:r>
          </w:p>
        </w:tc>
        <w:tc>
          <w:tcPr>
            <w:tcW w:w="880" w:type="dxa"/>
            <w:vAlign w:val="bottom"/>
          </w:tcPr>
          <w:p>
            <w:pPr>
              <w:jc w:val="right"/>
              <w:ind w:right="92"/>
              <w:spacing w:after="0" w:line="149" w:lineRule="exact"/>
              <w:rPr>
                <w:sz w:val="20"/>
                <w:szCs w:val="20"/>
                <w:color w:val="auto"/>
              </w:rPr>
            </w:pPr>
            <w:r>
              <w:rPr>
                <w:rFonts w:ascii="Arial" w:cs="Arial" w:eastAsia="Arial" w:hAnsi="Arial"/>
                <w:sz w:val="14"/>
                <w:szCs w:val="14"/>
                <w:color w:val="auto"/>
                <w:w w:val="99"/>
              </w:rPr>
              <w:t>12/30/2016</w:t>
            </w:r>
          </w:p>
        </w:tc>
        <w:tc>
          <w:tcPr>
            <w:tcW w:w="12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5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w w:val="94"/>
              </w:rPr>
              <w:t>222,900</w:t>
            </w:r>
          </w:p>
        </w:tc>
        <w:tc>
          <w:tcPr>
            <w:tcW w:w="1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219,333</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106,323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Survey Sampling International</w:t>
            </w:r>
          </w:p>
        </w:tc>
        <w:tc>
          <w:tcPr>
            <w:tcW w:w="220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Services: Business</w:t>
            </w:r>
          </w:p>
        </w:tc>
        <w:tc>
          <w:tcPr>
            <w:tcW w:w="228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rPr>
              <w:t>Term Loan B</w:t>
            </w:r>
          </w:p>
        </w:tc>
        <w:tc>
          <w:tcPr>
            <w:tcW w:w="62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Loan</w:t>
            </w:r>
          </w:p>
        </w:tc>
        <w:tc>
          <w:tcPr>
            <w:tcW w:w="70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6.00%</w:t>
            </w:r>
          </w:p>
        </w:tc>
        <w:tc>
          <w:tcPr>
            <w:tcW w:w="88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w w:val="99"/>
              </w:rPr>
              <w:t>12/16/2020</w:t>
            </w:r>
          </w:p>
        </w:tc>
        <w:tc>
          <w:tcPr>
            <w:tcW w:w="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4"/>
              </w:rPr>
              <w:t>995,000</w:t>
            </w:r>
          </w:p>
        </w:tc>
        <w:tc>
          <w:tcPr>
            <w:tcW w:w="16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992,992</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983,806</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00" w:type="dxa"/>
            <w:vAlign w:val="bottom"/>
          </w:tcPr>
          <w:p>
            <w:pPr>
              <w:spacing w:after="0" w:line="149" w:lineRule="exact"/>
              <w:rPr>
                <w:sz w:val="20"/>
                <w:szCs w:val="20"/>
                <w:color w:val="auto"/>
              </w:rPr>
            </w:pPr>
            <w:r>
              <w:rPr>
                <w:rFonts w:ascii="Arial" w:cs="Arial" w:eastAsia="Arial" w:hAnsi="Arial"/>
                <w:sz w:val="14"/>
                <w:szCs w:val="14"/>
                <w:color w:val="auto"/>
              </w:rPr>
              <w:t>Sybil Finance BV</w:t>
            </w:r>
          </w:p>
        </w:tc>
        <w:tc>
          <w:tcPr>
            <w:tcW w:w="2200" w:type="dxa"/>
            <w:vAlign w:val="bottom"/>
          </w:tcPr>
          <w:p>
            <w:pPr>
              <w:ind w:left="80"/>
              <w:spacing w:after="0" w:line="149" w:lineRule="exact"/>
              <w:rPr>
                <w:sz w:val="20"/>
                <w:szCs w:val="20"/>
                <w:color w:val="auto"/>
              </w:rPr>
            </w:pPr>
            <w:r>
              <w:rPr>
                <w:rFonts w:ascii="Arial" w:cs="Arial" w:eastAsia="Arial" w:hAnsi="Arial"/>
                <w:sz w:val="14"/>
                <w:szCs w:val="14"/>
                <w:color w:val="auto"/>
              </w:rPr>
              <w:t>High Tech Industries</w:t>
            </w:r>
          </w:p>
        </w:tc>
        <w:tc>
          <w:tcPr>
            <w:tcW w:w="2280" w:type="dxa"/>
            <w:vAlign w:val="bottom"/>
          </w:tcPr>
          <w:p>
            <w:pPr>
              <w:ind w:left="240"/>
              <w:spacing w:after="0" w:line="149" w:lineRule="exact"/>
              <w:rPr>
                <w:sz w:val="20"/>
                <w:szCs w:val="20"/>
                <w:color w:val="auto"/>
              </w:rPr>
            </w:pPr>
            <w:r>
              <w:rPr>
                <w:rFonts w:ascii="Arial" w:cs="Arial" w:eastAsia="Arial" w:hAnsi="Arial"/>
                <w:sz w:val="14"/>
                <w:szCs w:val="14"/>
                <w:color w:val="auto"/>
              </w:rPr>
              <w:t>Term Loan</w:t>
            </w:r>
          </w:p>
        </w:tc>
        <w:tc>
          <w:tcPr>
            <w:tcW w:w="620" w:type="dxa"/>
            <w:vAlign w:val="bottom"/>
          </w:tcPr>
          <w:p>
            <w:pPr>
              <w:ind w:left="120"/>
              <w:spacing w:after="0" w:line="149" w:lineRule="exact"/>
              <w:rPr>
                <w:sz w:val="20"/>
                <w:szCs w:val="20"/>
                <w:color w:val="auto"/>
              </w:rPr>
            </w:pPr>
            <w:r>
              <w:rPr>
                <w:rFonts w:ascii="Arial" w:cs="Arial" w:eastAsia="Arial" w:hAnsi="Arial"/>
                <w:sz w:val="14"/>
                <w:szCs w:val="14"/>
                <w:color w:val="auto"/>
              </w:rPr>
              <w:t>Loan</w:t>
            </w:r>
          </w:p>
        </w:tc>
        <w:tc>
          <w:tcPr>
            <w:tcW w:w="700" w:type="dxa"/>
            <w:vAlign w:val="bottom"/>
          </w:tcPr>
          <w:p>
            <w:pPr>
              <w:jc w:val="right"/>
              <w:ind w:right="32"/>
              <w:spacing w:after="0" w:line="149" w:lineRule="exact"/>
              <w:rPr>
                <w:sz w:val="20"/>
                <w:szCs w:val="20"/>
                <w:color w:val="auto"/>
              </w:rPr>
            </w:pPr>
            <w:r>
              <w:rPr>
                <w:rFonts w:ascii="Arial" w:cs="Arial" w:eastAsia="Arial" w:hAnsi="Arial"/>
                <w:sz w:val="14"/>
                <w:szCs w:val="14"/>
                <w:color w:val="auto"/>
              </w:rPr>
              <w:t>4.25%</w:t>
            </w:r>
          </w:p>
        </w:tc>
        <w:tc>
          <w:tcPr>
            <w:tcW w:w="880" w:type="dxa"/>
            <w:vAlign w:val="bottom"/>
          </w:tcPr>
          <w:p>
            <w:pPr>
              <w:jc w:val="right"/>
              <w:ind w:right="92"/>
              <w:spacing w:after="0" w:line="149" w:lineRule="exact"/>
              <w:rPr>
                <w:sz w:val="20"/>
                <w:szCs w:val="20"/>
                <w:color w:val="auto"/>
              </w:rPr>
            </w:pPr>
            <w:r>
              <w:rPr>
                <w:rFonts w:ascii="Arial" w:cs="Arial" w:eastAsia="Arial" w:hAnsi="Arial"/>
                <w:sz w:val="14"/>
                <w:szCs w:val="14"/>
                <w:color w:val="auto"/>
              </w:rPr>
              <w:t>3/20/2020</w:t>
            </w:r>
          </w:p>
        </w:tc>
        <w:tc>
          <w:tcPr>
            <w:tcW w:w="70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w w:val="85"/>
              </w:rPr>
              <w:t>$1,288,452</w:t>
            </w:r>
          </w:p>
        </w:tc>
        <w:tc>
          <w:tcPr>
            <w:tcW w:w="1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1,286,944</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1,280,400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Syniverse Holdings, Inc.</w:t>
            </w:r>
          </w:p>
        </w:tc>
        <w:tc>
          <w:tcPr>
            <w:tcW w:w="220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Telecommunications</w:t>
            </w:r>
          </w:p>
        </w:tc>
        <w:tc>
          <w:tcPr>
            <w:tcW w:w="228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rPr>
              <w:t>Initial Term Loan</w:t>
            </w:r>
          </w:p>
        </w:tc>
        <w:tc>
          <w:tcPr>
            <w:tcW w:w="62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Loan</w:t>
            </w:r>
          </w:p>
        </w:tc>
        <w:tc>
          <w:tcPr>
            <w:tcW w:w="70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4.00%</w:t>
            </w:r>
          </w:p>
        </w:tc>
        <w:tc>
          <w:tcPr>
            <w:tcW w:w="88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4/23/2019</w:t>
            </w:r>
          </w:p>
        </w:tc>
        <w:tc>
          <w:tcPr>
            <w:tcW w:w="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4"/>
              </w:rPr>
              <w:t>479,913</w:t>
            </w:r>
          </w:p>
        </w:tc>
        <w:tc>
          <w:tcPr>
            <w:tcW w:w="16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476,719</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367,134</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00" w:type="dxa"/>
            <w:vAlign w:val="bottom"/>
          </w:tcPr>
          <w:p>
            <w:pPr>
              <w:spacing w:after="0" w:line="149" w:lineRule="exact"/>
              <w:rPr>
                <w:sz w:val="20"/>
                <w:szCs w:val="20"/>
                <w:color w:val="auto"/>
              </w:rPr>
            </w:pPr>
            <w:r>
              <w:rPr>
                <w:rFonts w:ascii="Arial" w:cs="Arial" w:eastAsia="Arial" w:hAnsi="Arial"/>
                <w:sz w:val="14"/>
                <w:szCs w:val="14"/>
                <w:color w:val="auto"/>
              </w:rPr>
              <w:t>TGI Friday’s Inc</w:t>
            </w:r>
          </w:p>
        </w:tc>
        <w:tc>
          <w:tcPr>
            <w:tcW w:w="2200" w:type="dxa"/>
            <w:vAlign w:val="bottom"/>
          </w:tcPr>
          <w:p>
            <w:pPr>
              <w:ind w:left="80"/>
              <w:spacing w:after="0" w:line="149" w:lineRule="exact"/>
              <w:rPr>
                <w:sz w:val="20"/>
                <w:szCs w:val="20"/>
                <w:color w:val="auto"/>
              </w:rPr>
            </w:pPr>
            <w:r>
              <w:rPr>
                <w:rFonts w:ascii="Arial" w:cs="Arial" w:eastAsia="Arial" w:hAnsi="Arial"/>
                <w:sz w:val="14"/>
                <w:szCs w:val="14"/>
                <w:color w:val="auto"/>
              </w:rPr>
              <w:t>Food Services</w:t>
            </w:r>
          </w:p>
        </w:tc>
        <w:tc>
          <w:tcPr>
            <w:tcW w:w="2280" w:type="dxa"/>
            <w:vAlign w:val="bottom"/>
          </w:tcPr>
          <w:p>
            <w:pPr>
              <w:ind w:left="240"/>
              <w:spacing w:after="0" w:line="149" w:lineRule="exact"/>
              <w:rPr>
                <w:sz w:val="20"/>
                <w:szCs w:val="20"/>
                <w:color w:val="auto"/>
              </w:rPr>
            </w:pPr>
            <w:r>
              <w:rPr>
                <w:rFonts w:ascii="Arial" w:cs="Arial" w:eastAsia="Arial" w:hAnsi="Arial"/>
                <w:sz w:val="14"/>
                <w:szCs w:val="14"/>
                <w:color w:val="auto"/>
              </w:rPr>
              <w:t>Term Loan B</w:t>
            </w:r>
          </w:p>
        </w:tc>
        <w:tc>
          <w:tcPr>
            <w:tcW w:w="620" w:type="dxa"/>
            <w:vAlign w:val="bottom"/>
          </w:tcPr>
          <w:p>
            <w:pPr>
              <w:ind w:left="120"/>
              <w:spacing w:after="0" w:line="149" w:lineRule="exact"/>
              <w:rPr>
                <w:sz w:val="20"/>
                <w:szCs w:val="20"/>
                <w:color w:val="auto"/>
              </w:rPr>
            </w:pPr>
            <w:r>
              <w:rPr>
                <w:rFonts w:ascii="Arial" w:cs="Arial" w:eastAsia="Arial" w:hAnsi="Arial"/>
                <w:sz w:val="14"/>
                <w:szCs w:val="14"/>
                <w:color w:val="auto"/>
              </w:rPr>
              <w:t>Loan</w:t>
            </w:r>
          </w:p>
        </w:tc>
        <w:tc>
          <w:tcPr>
            <w:tcW w:w="700" w:type="dxa"/>
            <w:vAlign w:val="bottom"/>
          </w:tcPr>
          <w:p>
            <w:pPr>
              <w:jc w:val="right"/>
              <w:ind w:right="32"/>
              <w:spacing w:after="0" w:line="149" w:lineRule="exact"/>
              <w:rPr>
                <w:sz w:val="20"/>
                <w:szCs w:val="20"/>
                <w:color w:val="auto"/>
              </w:rPr>
            </w:pPr>
            <w:r>
              <w:rPr>
                <w:rFonts w:ascii="Arial" w:cs="Arial" w:eastAsia="Arial" w:hAnsi="Arial"/>
                <w:sz w:val="14"/>
                <w:szCs w:val="14"/>
                <w:color w:val="auto"/>
              </w:rPr>
              <w:t>5.25%</w:t>
            </w:r>
          </w:p>
        </w:tc>
        <w:tc>
          <w:tcPr>
            <w:tcW w:w="880" w:type="dxa"/>
            <w:vAlign w:val="bottom"/>
          </w:tcPr>
          <w:p>
            <w:pPr>
              <w:jc w:val="right"/>
              <w:ind w:right="92"/>
              <w:spacing w:after="0" w:line="149" w:lineRule="exact"/>
              <w:rPr>
                <w:sz w:val="20"/>
                <w:szCs w:val="20"/>
                <w:color w:val="auto"/>
              </w:rPr>
            </w:pPr>
            <w:r>
              <w:rPr>
                <w:rFonts w:ascii="Arial" w:cs="Arial" w:eastAsia="Arial" w:hAnsi="Arial"/>
                <w:sz w:val="14"/>
                <w:szCs w:val="14"/>
                <w:color w:val="auto"/>
              </w:rPr>
              <w:t>7/15/2020</w:t>
            </w:r>
          </w:p>
        </w:tc>
        <w:tc>
          <w:tcPr>
            <w:tcW w:w="70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w w:val="85"/>
              </w:rPr>
              <w:t>$1,651,816</w:t>
            </w:r>
          </w:p>
        </w:tc>
        <w:tc>
          <w:tcPr>
            <w:tcW w:w="1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1,647,738</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1,648,727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Townsquare Media, Inc.</w:t>
            </w:r>
          </w:p>
        </w:tc>
        <w:tc>
          <w:tcPr>
            <w:tcW w:w="220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Media</w:t>
            </w:r>
          </w:p>
        </w:tc>
        <w:tc>
          <w:tcPr>
            <w:tcW w:w="228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rPr>
              <w:t>Term Loan B</w:t>
            </w:r>
          </w:p>
        </w:tc>
        <w:tc>
          <w:tcPr>
            <w:tcW w:w="62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Loan</w:t>
            </w:r>
          </w:p>
        </w:tc>
        <w:tc>
          <w:tcPr>
            <w:tcW w:w="70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4.25%</w:t>
            </w:r>
          </w:p>
        </w:tc>
        <w:tc>
          <w:tcPr>
            <w:tcW w:w="88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4/1/2022</w:t>
            </w:r>
          </w:p>
        </w:tc>
        <w:tc>
          <w:tcPr>
            <w:tcW w:w="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4"/>
              </w:rPr>
              <w:t>932,522</w:t>
            </w:r>
          </w:p>
        </w:tc>
        <w:tc>
          <w:tcPr>
            <w:tcW w:w="16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928,204</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928,633</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200" w:type="dxa"/>
            <w:vAlign w:val="bottom"/>
          </w:tcPr>
          <w:p>
            <w:pPr>
              <w:spacing w:after="0" w:line="138" w:lineRule="exact"/>
              <w:rPr>
                <w:sz w:val="20"/>
                <w:szCs w:val="20"/>
                <w:color w:val="auto"/>
              </w:rPr>
            </w:pPr>
            <w:r>
              <w:rPr>
                <w:rFonts w:ascii="Arial" w:cs="Arial" w:eastAsia="Arial" w:hAnsi="Arial"/>
                <w:sz w:val="14"/>
                <w:szCs w:val="14"/>
                <w:color w:val="auto"/>
                <w:w w:val="96"/>
              </w:rPr>
              <w:t>TPF II Power LLC and TPF II Covert</w:t>
            </w:r>
          </w:p>
        </w:tc>
        <w:tc>
          <w:tcPr>
            <w:tcW w:w="2200" w:type="dxa"/>
            <w:vAlign w:val="bottom"/>
          </w:tcPr>
          <w:p>
            <w:pPr>
              <w:ind w:left="80"/>
              <w:spacing w:after="0" w:line="138" w:lineRule="exact"/>
              <w:rPr>
                <w:sz w:val="20"/>
                <w:szCs w:val="20"/>
                <w:color w:val="auto"/>
              </w:rPr>
            </w:pPr>
            <w:r>
              <w:rPr>
                <w:rFonts w:ascii="Arial" w:cs="Arial" w:eastAsia="Arial" w:hAnsi="Arial"/>
                <w:sz w:val="14"/>
                <w:szCs w:val="14"/>
                <w:color w:val="auto"/>
              </w:rPr>
              <w:t>Utilities</w:t>
            </w:r>
          </w:p>
        </w:tc>
        <w:tc>
          <w:tcPr>
            <w:tcW w:w="2280" w:type="dxa"/>
            <w:vAlign w:val="bottom"/>
          </w:tcPr>
          <w:p>
            <w:pPr>
              <w:ind w:left="240"/>
              <w:spacing w:after="0" w:line="138" w:lineRule="exact"/>
              <w:rPr>
                <w:sz w:val="20"/>
                <w:szCs w:val="20"/>
                <w:color w:val="auto"/>
              </w:rPr>
            </w:pPr>
            <w:r>
              <w:rPr>
                <w:rFonts w:ascii="Arial" w:cs="Arial" w:eastAsia="Arial" w:hAnsi="Arial"/>
                <w:sz w:val="14"/>
                <w:szCs w:val="14"/>
                <w:color w:val="auto"/>
              </w:rPr>
              <w:t>Term Loan B</w:t>
            </w:r>
          </w:p>
        </w:tc>
        <w:tc>
          <w:tcPr>
            <w:tcW w:w="620" w:type="dxa"/>
            <w:vAlign w:val="bottom"/>
          </w:tcPr>
          <w:p>
            <w:pPr>
              <w:ind w:left="120"/>
              <w:spacing w:after="0" w:line="138" w:lineRule="exact"/>
              <w:rPr>
                <w:sz w:val="20"/>
                <w:szCs w:val="20"/>
                <w:color w:val="auto"/>
              </w:rPr>
            </w:pPr>
            <w:r>
              <w:rPr>
                <w:rFonts w:ascii="Arial" w:cs="Arial" w:eastAsia="Arial" w:hAnsi="Arial"/>
                <w:sz w:val="14"/>
                <w:szCs w:val="14"/>
                <w:color w:val="auto"/>
              </w:rPr>
              <w:t>Loan</w:t>
            </w:r>
          </w:p>
        </w:tc>
        <w:tc>
          <w:tcPr>
            <w:tcW w:w="7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200" w:type="dxa"/>
            <w:vAlign w:val="bottom"/>
          </w:tcPr>
          <w:p>
            <w:pPr>
              <w:ind w:left="120"/>
              <w:spacing w:after="0" w:line="159" w:lineRule="exact"/>
              <w:rPr>
                <w:sz w:val="20"/>
                <w:szCs w:val="20"/>
                <w:color w:val="auto"/>
              </w:rPr>
            </w:pPr>
            <w:r>
              <w:rPr>
                <w:rFonts w:ascii="Arial" w:cs="Arial" w:eastAsia="Arial" w:hAnsi="Arial"/>
                <w:sz w:val="14"/>
                <w:szCs w:val="14"/>
                <w:color w:val="auto"/>
              </w:rPr>
              <w:t>Midco LLC</w:t>
            </w:r>
          </w:p>
        </w:tc>
        <w:tc>
          <w:tcPr>
            <w:tcW w:w="220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00" w:type="dxa"/>
            <w:vAlign w:val="bottom"/>
          </w:tcPr>
          <w:p>
            <w:pPr>
              <w:jc w:val="right"/>
              <w:ind w:right="32"/>
              <w:spacing w:after="0" w:line="159" w:lineRule="exact"/>
              <w:rPr>
                <w:sz w:val="20"/>
                <w:szCs w:val="20"/>
                <w:color w:val="auto"/>
              </w:rPr>
            </w:pPr>
            <w:r>
              <w:rPr>
                <w:rFonts w:ascii="Arial" w:cs="Arial" w:eastAsia="Arial" w:hAnsi="Arial"/>
                <w:sz w:val="14"/>
                <w:szCs w:val="14"/>
                <w:color w:val="auto"/>
              </w:rPr>
              <w:t>5.50%</w:t>
            </w:r>
          </w:p>
        </w:tc>
        <w:tc>
          <w:tcPr>
            <w:tcW w:w="880" w:type="dxa"/>
            <w:vAlign w:val="bottom"/>
          </w:tcPr>
          <w:p>
            <w:pPr>
              <w:jc w:val="right"/>
              <w:ind w:right="92"/>
              <w:spacing w:after="0" w:line="159" w:lineRule="exact"/>
              <w:rPr>
                <w:sz w:val="20"/>
                <w:szCs w:val="20"/>
                <w:color w:val="auto"/>
              </w:rPr>
            </w:pPr>
            <w:r>
              <w:rPr>
                <w:rFonts w:ascii="Arial" w:cs="Arial" w:eastAsia="Arial" w:hAnsi="Arial"/>
                <w:sz w:val="14"/>
                <w:szCs w:val="14"/>
                <w:color w:val="auto"/>
              </w:rPr>
              <w:t>10/2/2021</w:t>
            </w:r>
          </w:p>
        </w:tc>
        <w:tc>
          <w:tcPr>
            <w:tcW w:w="120" w:type="dxa"/>
            <w:vAlign w:val="bottom"/>
          </w:tcPr>
          <w:p>
            <w:pPr>
              <w:spacing w:after="0" w:line="159" w:lineRule="exact"/>
              <w:rPr>
                <w:sz w:val="20"/>
                <w:szCs w:val="20"/>
                <w:color w:val="auto"/>
              </w:rPr>
            </w:pPr>
            <w:r>
              <w:rPr>
                <w:rFonts w:ascii="Arial" w:cs="Arial" w:eastAsia="Arial" w:hAnsi="Arial"/>
                <w:sz w:val="14"/>
                <w:szCs w:val="14"/>
                <w:color w:val="auto"/>
              </w:rPr>
              <w:t>$</w:t>
            </w:r>
          </w:p>
        </w:tc>
        <w:tc>
          <w:tcPr>
            <w:tcW w:w="58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w w:val="94"/>
              </w:rPr>
              <w:t>493,067</w:t>
            </w:r>
          </w:p>
        </w:tc>
        <w:tc>
          <w:tcPr>
            <w:tcW w:w="160" w:type="dxa"/>
            <w:vAlign w:val="bottom"/>
          </w:tcPr>
          <w:p>
            <w:pPr>
              <w:spacing w:after="0"/>
              <w:rPr>
                <w:sz w:val="13"/>
                <w:szCs w:val="13"/>
                <w:color w:val="auto"/>
              </w:rPr>
            </w:pPr>
          </w:p>
        </w:tc>
        <w:tc>
          <w:tcPr>
            <w:tcW w:w="680" w:type="dxa"/>
            <w:vAlign w:val="bottom"/>
          </w:tcPr>
          <w:p>
            <w:pPr>
              <w:jc w:val="right"/>
              <w:spacing w:after="0" w:line="159" w:lineRule="exact"/>
              <w:rPr>
                <w:sz w:val="20"/>
                <w:szCs w:val="20"/>
                <w:color w:val="auto"/>
              </w:rPr>
            </w:pPr>
            <w:r>
              <w:rPr>
                <w:rFonts w:ascii="Arial" w:cs="Arial" w:eastAsia="Arial" w:hAnsi="Arial"/>
                <w:sz w:val="14"/>
                <w:szCs w:val="14"/>
                <w:color w:val="auto"/>
              </w:rPr>
              <w:t>490,077</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jc w:val="right"/>
              <w:spacing w:after="0" w:line="159" w:lineRule="exact"/>
              <w:rPr>
                <w:sz w:val="20"/>
                <w:szCs w:val="20"/>
                <w:color w:val="auto"/>
              </w:rPr>
            </w:pPr>
            <w:r>
              <w:rPr>
                <w:rFonts w:ascii="Arial" w:cs="Arial" w:eastAsia="Arial" w:hAnsi="Arial"/>
                <w:sz w:val="14"/>
                <w:szCs w:val="14"/>
                <w:color w:val="auto"/>
              </w:rPr>
              <w:t>485,824</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TransUnion LLC</w:t>
            </w:r>
          </w:p>
        </w:tc>
        <w:tc>
          <w:tcPr>
            <w:tcW w:w="220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Financial Intermediaries</w:t>
            </w:r>
          </w:p>
        </w:tc>
        <w:tc>
          <w:tcPr>
            <w:tcW w:w="228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rPr>
              <w:t>Term Loan B-2</w:t>
            </w:r>
          </w:p>
        </w:tc>
        <w:tc>
          <w:tcPr>
            <w:tcW w:w="62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Loan</w:t>
            </w:r>
          </w:p>
        </w:tc>
        <w:tc>
          <w:tcPr>
            <w:tcW w:w="70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3.75%</w:t>
            </w:r>
          </w:p>
        </w:tc>
        <w:tc>
          <w:tcPr>
            <w:tcW w:w="88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4/9/2021</w:t>
            </w:r>
          </w:p>
        </w:tc>
        <w:tc>
          <w:tcPr>
            <w:tcW w:w="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4"/>
              </w:rPr>
              <w:t>492,500</w:t>
            </w:r>
          </w:p>
        </w:tc>
        <w:tc>
          <w:tcPr>
            <w:tcW w:w="16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491,309</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479,203</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00" w:type="dxa"/>
            <w:vAlign w:val="bottom"/>
          </w:tcPr>
          <w:p>
            <w:pPr>
              <w:spacing w:after="0" w:line="149" w:lineRule="exact"/>
              <w:rPr>
                <w:sz w:val="20"/>
                <w:szCs w:val="20"/>
                <w:color w:val="auto"/>
              </w:rPr>
            </w:pPr>
            <w:r>
              <w:rPr>
                <w:rFonts w:ascii="Arial" w:cs="Arial" w:eastAsia="Arial" w:hAnsi="Arial"/>
                <w:sz w:val="14"/>
                <w:szCs w:val="14"/>
                <w:color w:val="auto"/>
              </w:rPr>
              <w:t>TransDigm, Inc.</w:t>
            </w:r>
          </w:p>
        </w:tc>
        <w:tc>
          <w:tcPr>
            <w:tcW w:w="2200" w:type="dxa"/>
            <w:vAlign w:val="bottom"/>
          </w:tcPr>
          <w:p>
            <w:pPr>
              <w:ind w:left="80"/>
              <w:spacing w:after="0" w:line="149" w:lineRule="exact"/>
              <w:rPr>
                <w:sz w:val="20"/>
                <w:szCs w:val="20"/>
                <w:color w:val="auto"/>
              </w:rPr>
            </w:pPr>
            <w:r>
              <w:rPr>
                <w:rFonts w:ascii="Arial" w:cs="Arial" w:eastAsia="Arial" w:hAnsi="Arial"/>
                <w:sz w:val="14"/>
                <w:szCs w:val="14"/>
                <w:color w:val="auto"/>
              </w:rPr>
              <w:t>Aerospace and Defense</w:t>
            </w:r>
          </w:p>
        </w:tc>
        <w:tc>
          <w:tcPr>
            <w:tcW w:w="2280" w:type="dxa"/>
            <w:vAlign w:val="bottom"/>
          </w:tcPr>
          <w:p>
            <w:pPr>
              <w:ind w:left="240"/>
              <w:spacing w:after="0" w:line="149" w:lineRule="exact"/>
              <w:rPr>
                <w:sz w:val="20"/>
                <w:szCs w:val="20"/>
                <w:color w:val="auto"/>
              </w:rPr>
            </w:pPr>
            <w:r>
              <w:rPr>
                <w:rFonts w:ascii="Arial" w:cs="Arial" w:eastAsia="Arial" w:hAnsi="Arial"/>
                <w:sz w:val="14"/>
                <w:szCs w:val="14"/>
                <w:color w:val="auto"/>
              </w:rPr>
              <w:t>Tranche C Term Loan</w:t>
            </w:r>
          </w:p>
        </w:tc>
        <w:tc>
          <w:tcPr>
            <w:tcW w:w="620" w:type="dxa"/>
            <w:vAlign w:val="bottom"/>
          </w:tcPr>
          <w:p>
            <w:pPr>
              <w:ind w:left="120"/>
              <w:spacing w:after="0" w:line="149" w:lineRule="exact"/>
              <w:rPr>
                <w:sz w:val="20"/>
                <w:szCs w:val="20"/>
                <w:color w:val="auto"/>
              </w:rPr>
            </w:pPr>
            <w:r>
              <w:rPr>
                <w:rFonts w:ascii="Arial" w:cs="Arial" w:eastAsia="Arial" w:hAnsi="Arial"/>
                <w:sz w:val="14"/>
                <w:szCs w:val="14"/>
                <w:color w:val="auto"/>
              </w:rPr>
              <w:t>Loan</w:t>
            </w:r>
          </w:p>
        </w:tc>
        <w:tc>
          <w:tcPr>
            <w:tcW w:w="700" w:type="dxa"/>
            <w:vAlign w:val="bottom"/>
          </w:tcPr>
          <w:p>
            <w:pPr>
              <w:jc w:val="right"/>
              <w:ind w:right="32"/>
              <w:spacing w:after="0" w:line="149" w:lineRule="exact"/>
              <w:rPr>
                <w:sz w:val="20"/>
                <w:szCs w:val="20"/>
                <w:color w:val="auto"/>
              </w:rPr>
            </w:pPr>
            <w:r>
              <w:rPr>
                <w:rFonts w:ascii="Arial" w:cs="Arial" w:eastAsia="Arial" w:hAnsi="Arial"/>
                <w:sz w:val="14"/>
                <w:szCs w:val="14"/>
                <w:color w:val="auto"/>
              </w:rPr>
              <w:t>3.75%</w:t>
            </w:r>
          </w:p>
        </w:tc>
        <w:tc>
          <w:tcPr>
            <w:tcW w:w="880" w:type="dxa"/>
            <w:vAlign w:val="bottom"/>
          </w:tcPr>
          <w:p>
            <w:pPr>
              <w:jc w:val="right"/>
              <w:ind w:right="92"/>
              <w:spacing w:after="0" w:line="149" w:lineRule="exact"/>
              <w:rPr>
                <w:sz w:val="20"/>
                <w:szCs w:val="20"/>
                <w:color w:val="auto"/>
              </w:rPr>
            </w:pPr>
            <w:r>
              <w:rPr>
                <w:rFonts w:ascii="Arial" w:cs="Arial" w:eastAsia="Arial" w:hAnsi="Arial"/>
                <w:sz w:val="14"/>
                <w:szCs w:val="14"/>
                <w:color w:val="auto"/>
              </w:rPr>
              <w:t>2/28/2020</w:t>
            </w:r>
          </w:p>
        </w:tc>
        <w:tc>
          <w:tcPr>
            <w:tcW w:w="70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w w:val="85"/>
              </w:rPr>
              <w:t>$4,288,318</w:t>
            </w:r>
          </w:p>
        </w:tc>
        <w:tc>
          <w:tcPr>
            <w:tcW w:w="1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4,295,268</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4,179,309</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Travel Leaders Group, LLC</w:t>
            </w:r>
          </w:p>
        </w:tc>
        <w:tc>
          <w:tcPr>
            <w:tcW w:w="220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Hotel, Gaming and Leisure</w:t>
            </w:r>
          </w:p>
        </w:tc>
        <w:tc>
          <w:tcPr>
            <w:tcW w:w="228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rPr>
              <w:t>Term Loan B</w:t>
            </w:r>
          </w:p>
        </w:tc>
        <w:tc>
          <w:tcPr>
            <w:tcW w:w="62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Loan</w:t>
            </w:r>
          </w:p>
        </w:tc>
        <w:tc>
          <w:tcPr>
            <w:tcW w:w="70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7.00%</w:t>
            </w:r>
          </w:p>
        </w:tc>
        <w:tc>
          <w:tcPr>
            <w:tcW w:w="88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12/7/2020</w:t>
            </w:r>
          </w:p>
        </w:tc>
        <w:tc>
          <w:tcPr>
            <w:tcW w:w="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4"/>
              </w:rPr>
              <w:t>973,333</w:t>
            </w:r>
          </w:p>
        </w:tc>
        <w:tc>
          <w:tcPr>
            <w:tcW w:w="16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968,778</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959,950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200" w:type="dxa"/>
            <w:vAlign w:val="bottom"/>
          </w:tcPr>
          <w:p>
            <w:pPr>
              <w:spacing w:after="0" w:line="138" w:lineRule="exact"/>
              <w:rPr>
                <w:sz w:val="20"/>
                <w:szCs w:val="20"/>
                <w:color w:val="auto"/>
              </w:rPr>
            </w:pPr>
            <w:r>
              <w:rPr>
                <w:rFonts w:ascii="Arial" w:cs="Arial" w:eastAsia="Arial" w:hAnsi="Arial"/>
                <w:sz w:val="14"/>
                <w:szCs w:val="14"/>
                <w:color w:val="auto"/>
              </w:rPr>
              <w:t>Tricorbraun, Inc. (fka Kranson</w:t>
            </w:r>
          </w:p>
        </w:tc>
        <w:tc>
          <w:tcPr>
            <w:tcW w:w="2200" w:type="dxa"/>
            <w:vAlign w:val="bottom"/>
          </w:tcPr>
          <w:p>
            <w:pPr>
              <w:ind w:left="80"/>
              <w:spacing w:after="0" w:line="138" w:lineRule="exact"/>
              <w:rPr>
                <w:sz w:val="20"/>
                <w:szCs w:val="20"/>
                <w:color w:val="auto"/>
              </w:rPr>
            </w:pPr>
            <w:r>
              <w:rPr>
                <w:rFonts w:ascii="Arial" w:cs="Arial" w:eastAsia="Arial" w:hAnsi="Arial"/>
                <w:sz w:val="14"/>
                <w:szCs w:val="14"/>
                <w:color w:val="auto"/>
              </w:rPr>
              <w:t>Containers/Glass Products</w:t>
            </w:r>
          </w:p>
        </w:tc>
        <w:tc>
          <w:tcPr>
            <w:tcW w:w="2280" w:type="dxa"/>
            <w:vAlign w:val="bottom"/>
          </w:tcPr>
          <w:p>
            <w:pPr>
              <w:ind w:left="240"/>
              <w:spacing w:after="0" w:line="138" w:lineRule="exact"/>
              <w:rPr>
                <w:sz w:val="20"/>
                <w:szCs w:val="20"/>
                <w:color w:val="auto"/>
              </w:rPr>
            </w:pPr>
            <w:r>
              <w:rPr>
                <w:rFonts w:ascii="Arial" w:cs="Arial" w:eastAsia="Arial" w:hAnsi="Arial"/>
                <w:sz w:val="14"/>
                <w:szCs w:val="14"/>
                <w:color w:val="auto"/>
              </w:rPr>
              <w:t>Term Loan</w:t>
            </w:r>
          </w:p>
        </w:tc>
        <w:tc>
          <w:tcPr>
            <w:tcW w:w="620" w:type="dxa"/>
            <w:vAlign w:val="bottom"/>
          </w:tcPr>
          <w:p>
            <w:pPr>
              <w:ind w:left="120"/>
              <w:spacing w:after="0" w:line="138" w:lineRule="exact"/>
              <w:rPr>
                <w:sz w:val="20"/>
                <w:szCs w:val="20"/>
                <w:color w:val="auto"/>
              </w:rPr>
            </w:pPr>
            <w:r>
              <w:rPr>
                <w:rFonts w:ascii="Arial" w:cs="Arial" w:eastAsia="Arial" w:hAnsi="Arial"/>
                <w:sz w:val="14"/>
                <w:szCs w:val="14"/>
                <w:color w:val="auto"/>
              </w:rPr>
              <w:t>Loan</w:t>
            </w:r>
          </w:p>
        </w:tc>
        <w:tc>
          <w:tcPr>
            <w:tcW w:w="7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200" w:type="dxa"/>
            <w:vAlign w:val="bottom"/>
          </w:tcPr>
          <w:p>
            <w:pPr>
              <w:ind w:left="120"/>
              <w:spacing w:after="0" w:line="159" w:lineRule="exact"/>
              <w:rPr>
                <w:sz w:val="20"/>
                <w:szCs w:val="20"/>
                <w:color w:val="auto"/>
              </w:rPr>
            </w:pPr>
            <w:r>
              <w:rPr>
                <w:rFonts w:ascii="Arial" w:cs="Arial" w:eastAsia="Arial" w:hAnsi="Arial"/>
                <w:sz w:val="14"/>
                <w:szCs w:val="14"/>
                <w:color w:val="auto"/>
              </w:rPr>
              <w:t>Industries, Inc.)</w:t>
            </w:r>
          </w:p>
        </w:tc>
        <w:tc>
          <w:tcPr>
            <w:tcW w:w="220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00" w:type="dxa"/>
            <w:vAlign w:val="bottom"/>
          </w:tcPr>
          <w:p>
            <w:pPr>
              <w:jc w:val="right"/>
              <w:ind w:right="32"/>
              <w:spacing w:after="0" w:line="159" w:lineRule="exact"/>
              <w:rPr>
                <w:sz w:val="20"/>
                <w:szCs w:val="20"/>
                <w:color w:val="auto"/>
              </w:rPr>
            </w:pPr>
            <w:r>
              <w:rPr>
                <w:rFonts w:ascii="Arial" w:cs="Arial" w:eastAsia="Arial" w:hAnsi="Arial"/>
                <w:sz w:val="14"/>
                <w:szCs w:val="14"/>
                <w:color w:val="auto"/>
              </w:rPr>
              <w:t>4.00%</w:t>
            </w:r>
          </w:p>
        </w:tc>
        <w:tc>
          <w:tcPr>
            <w:tcW w:w="880" w:type="dxa"/>
            <w:vAlign w:val="bottom"/>
          </w:tcPr>
          <w:p>
            <w:pPr>
              <w:jc w:val="right"/>
              <w:ind w:right="92"/>
              <w:spacing w:after="0" w:line="159" w:lineRule="exact"/>
              <w:rPr>
                <w:sz w:val="20"/>
                <w:szCs w:val="20"/>
                <w:color w:val="auto"/>
              </w:rPr>
            </w:pPr>
            <w:r>
              <w:rPr>
                <w:rFonts w:ascii="Arial" w:cs="Arial" w:eastAsia="Arial" w:hAnsi="Arial"/>
                <w:sz w:val="14"/>
                <w:szCs w:val="14"/>
                <w:color w:val="auto"/>
              </w:rPr>
              <w:t>5/3/2018</w:t>
            </w:r>
          </w:p>
        </w:tc>
        <w:tc>
          <w:tcPr>
            <w:tcW w:w="700" w:type="dxa"/>
            <w:vAlign w:val="bottom"/>
            <w:gridSpan w:val="3"/>
          </w:tcPr>
          <w:p>
            <w:pPr>
              <w:jc w:val="right"/>
              <w:ind w:right="80"/>
              <w:spacing w:after="0" w:line="159" w:lineRule="exact"/>
              <w:rPr>
                <w:sz w:val="20"/>
                <w:szCs w:val="20"/>
                <w:color w:val="auto"/>
              </w:rPr>
            </w:pPr>
            <w:r>
              <w:rPr>
                <w:rFonts w:ascii="Arial" w:cs="Arial" w:eastAsia="Arial" w:hAnsi="Arial"/>
                <w:sz w:val="14"/>
                <w:szCs w:val="14"/>
                <w:color w:val="auto"/>
                <w:w w:val="85"/>
              </w:rPr>
              <w:t>$1,836,625</w:t>
            </w:r>
          </w:p>
        </w:tc>
        <w:tc>
          <w:tcPr>
            <w:tcW w:w="160" w:type="dxa"/>
            <w:vAlign w:val="bottom"/>
          </w:tcPr>
          <w:p>
            <w:pPr>
              <w:spacing w:after="0"/>
              <w:rPr>
                <w:sz w:val="13"/>
                <w:szCs w:val="13"/>
                <w:color w:val="auto"/>
              </w:rPr>
            </w:pPr>
          </w:p>
        </w:tc>
        <w:tc>
          <w:tcPr>
            <w:tcW w:w="680" w:type="dxa"/>
            <w:vAlign w:val="bottom"/>
          </w:tcPr>
          <w:p>
            <w:pPr>
              <w:jc w:val="right"/>
              <w:spacing w:after="0" w:line="159" w:lineRule="exact"/>
              <w:rPr>
                <w:sz w:val="20"/>
                <w:szCs w:val="20"/>
                <w:color w:val="auto"/>
              </w:rPr>
            </w:pPr>
            <w:r>
              <w:rPr>
                <w:rFonts w:ascii="Arial" w:cs="Arial" w:eastAsia="Arial" w:hAnsi="Arial"/>
                <w:sz w:val="14"/>
                <w:szCs w:val="14"/>
                <w:color w:val="auto"/>
              </w:rPr>
              <w:t>1,831,140</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jc w:val="right"/>
              <w:spacing w:after="0" w:line="159" w:lineRule="exact"/>
              <w:rPr>
                <w:sz w:val="20"/>
                <w:szCs w:val="20"/>
                <w:color w:val="auto"/>
              </w:rPr>
            </w:pPr>
            <w:r>
              <w:rPr>
                <w:rFonts w:ascii="Arial" w:cs="Arial" w:eastAsia="Arial" w:hAnsi="Arial"/>
                <w:sz w:val="14"/>
                <w:szCs w:val="14"/>
                <w:color w:val="auto"/>
              </w:rPr>
              <w:t>1,818,259</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20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Truven Health Analytics Inc. (fka</w:t>
            </w:r>
          </w:p>
        </w:tc>
        <w:tc>
          <w:tcPr>
            <w:tcW w:w="2200" w:type="dxa"/>
            <w:vAlign w:val="bottom"/>
            <w:shd w:val="clear" w:color="auto" w:fill="CCEEFF"/>
          </w:tcPr>
          <w:p>
            <w:pPr>
              <w:ind w:left="80"/>
              <w:spacing w:after="0" w:line="138" w:lineRule="exact"/>
              <w:rPr>
                <w:sz w:val="20"/>
                <w:szCs w:val="20"/>
                <w:color w:val="auto"/>
              </w:rPr>
            </w:pPr>
            <w:r>
              <w:rPr>
                <w:rFonts w:ascii="Arial" w:cs="Arial" w:eastAsia="Arial" w:hAnsi="Arial"/>
                <w:sz w:val="14"/>
                <w:szCs w:val="14"/>
                <w:color w:val="auto"/>
              </w:rPr>
              <w:t>Healthcare &amp; Pharmaceuticals</w:t>
            </w:r>
          </w:p>
        </w:tc>
        <w:tc>
          <w:tcPr>
            <w:tcW w:w="2280" w:type="dxa"/>
            <w:vAlign w:val="bottom"/>
            <w:shd w:val="clear" w:color="auto" w:fill="CCEEFF"/>
          </w:tcPr>
          <w:p>
            <w:pPr>
              <w:ind w:left="240"/>
              <w:spacing w:after="0" w:line="138" w:lineRule="exact"/>
              <w:rPr>
                <w:sz w:val="20"/>
                <w:szCs w:val="20"/>
                <w:color w:val="auto"/>
              </w:rPr>
            </w:pPr>
            <w:r>
              <w:rPr>
                <w:rFonts w:ascii="Arial" w:cs="Arial" w:eastAsia="Arial" w:hAnsi="Arial"/>
                <w:sz w:val="14"/>
                <w:szCs w:val="14"/>
                <w:color w:val="auto"/>
              </w:rPr>
              <w:t>New Tranche B Term Loan</w:t>
            </w:r>
          </w:p>
        </w:tc>
        <w:tc>
          <w:tcPr>
            <w:tcW w:w="620" w:type="dxa"/>
            <w:vAlign w:val="bottom"/>
            <w:shd w:val="clear" w:color="auto" w:fill="CCEEFF"/>
          </w:tcPr>
          <w:p>
            <w:pPr>
              <w:ind w:left="120"/>
              <w:spacing w:after="0" w:line="138" w:lineRule="exact"/>
              <w:rPr>
                <w:sz w:val="20"/>
                <w:szCs w:val="20"/>
                <w:color w:val="auto"/>
              </w:rPr>
            </w:pPr>
            <w:r>
              <w:rPr>
                <w:rFonts w:ascii="Arial" w:cs="Arial" w:eastAsia="Arial" w:hAnsi="Arial"/>
                <w:sz w:val="14"/>
                <w:szCs w:val="14"/>
                <w:color w:val="auto"/>
              </w:rPr>
              <w:t>Loan</w:t>
            </w:r>
          </w:p>
        </w:tc>
        <w:tc>
          <w:tcPr>
            <w:tcW w:w="7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tcBorders>
              <w:right w:val="single" w:sz="8" w:color="CCEEFF"/>
            </w:tcBorders>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200" w:type="dxa"/>
            <w:vAlign w:val="bottom"/>
            <w:shd w:val="clear" w:color="auto" w:fill="CCEEFF"/>
          </w:tcPr>
          <w:p>
            <w:pPr>
              <w:ind w:left="120"/>
              <w:spacing w:after="0" w:line="159" w:lineRule="exact"/>
              <w:rPr>
                <w:sz w:val="20"/>
                <w:szCs w:val="20"/>
                <w:color w:val="auto"/>
              </w:rPr>
            </w:pPr>
            <w:r>
              <w:rPr>
                <w:rFonts w:ascii="Arial" w:cs="Arial" w:eastAsia="Arial" w:hAnsi="Arial"/>
                <w:sz w:val="14"/>
                <w:szCs w:val="14"/>
                <w:color w:val="auto"/>
                <w:w w:val="92"/>
              </w:rPr>
              <w:t>Thomson Reuters (Healthcare) Inc.)</w:t>
            </w:r>
          </w:p>
        </w:tc>
        <w:tc>
          <w:tcPr>
            <w:tcW w:w="2200" w:type="dxa"/>
            <w:vAlign w:val="bottom"/>
            <w:shd w:val="clear" w:color="auto" w:fill="CCEEFF"/>
          </w:tcPr>
          <w:p>
            <w:pPr>
              <w:spacing w:after="0"/>
              <w:rPr>
                <w:sz w:val="13"/>
                <w:szCs w:val="13"/>
                <w:color w:val="auto"/>
              </w:rPr>
            </w:pPr>
          </w:p>
        </w:tc>
        <w:tc>
          <w:tcPr>
            <w:tcW w:w="22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700" w:type="dxa"/>
            <w:vAlign w:val="bottom"/>
            <w:shd w:val="clear" w:color="auto" w:fill="CCEEFF"/>
          </w:tcPr>
          <w:p>
            <w:pPr>
              <w:jc w:val="right"/>
              <w:ind w:right="32"/>
              <w:spacing w:after="0" w:line="159" w:lineRule="exact"/>
              <w:rPr>
                <w:sz w:val="20"/>
                <w:szCs w:val="20"/>
                <w:color w:val="auto"/>
              </w:rPr>
            </w:pPr>
            <w:r>
              <w:rPr>
                <w:rFonts w:ascii="Arial" w:cs="Arial" w:eastAsia="Arial" w:hAnsi="Arial"/>
                <w:sz w:val="14"/>
                <w:szCs w:val="14"/>
                <w:color w:val="auto"/>
              </w:rPr>
              <w:t>4.50%</w:t>
            </w:r>
          </w:p>
        </w:tc>
        <w:tc>
          <w:tcPr>
            <w:tcW w:w="880" w:type="dxa"/>
            <w:vAlign w:val="bottom"/>
            <w:shd w:val="clear" w:color="auto" w:fill="CCEEFF"/>
          </w:tcPr>
          <w:p>
            <w:pPr>
              <w:jc w:val="right"/>
              <w:ind w:right="92"/>
              <w:spacing w:after="0" w:line="159" w:lineRule="exact"/>
              <w:rPr>
                <w:sz w:val="20"/>
                <w:szCs w:val="20"/>
                <w:color w:val="auto"/>
              </w:rPr>
            </w:pPr>
            <w:r>
              <w:rPr>
                <w:rFonts w:ascii="Arial" w:cs="Arial" w:eastAsia="Arial" w:hAnsi="Arial"/>
                <w:sz w:val="14"/>
                <w:szCs w:val="14"/>
                <w:color w:val="auto"/>
              </w:rPr>
              <w:t>6/6/2019</w:t>
            </w:r>
          </w:p>
        </w:tc>
        <w:tc>
          <w:tcPr>
            <w:tcW w:w="12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w w:val="94"/>
              </w:rPr>
              <w:t>483,844</w:t>
            </w:r>
          </w:p>
        </w:tc>
        <w:tc>
          <w:tcPr>
            <w:tcW w:w="160" w:type="dxa"/>
            <w:vAlign w:val="bottom"/>
            <w:tcBorders>
              <w:right w:val="single" w:sz="8" w:color="CCEEFF"/>
            </w:tcBorders>
            <w:shd w:val="clear" w:color="auto" w:fill="CCEEFF"/>
          </w:tcPr>
          <w:p>
            <w:pPr>
              <w:spacing w:after="0"/>
              <w:rPr>
                <w:sz w:val="13"/>
                <w:szCs w:val="13"/>
                <w:color w:val="auto"/>
              </w:rPr>
            </w:pPr>
          </w:p>
        </w:tc>
        <w:tc>
          <w:tcPr>
            <w:tcW w:w="6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477,401</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472,957</w:t>
            </w: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00" w:type="dxa"/>
            <w:vAlign w:val="bottom"/>
          </w:tcPr>
          <w:p>
            <w:pPr>
              <w:spacing w:after="0" w:line="149" w:lineRule="exact"/>
              <w:rPr>
                <w:sz w:val="20"/>
                <w:szCs w:val="20"/>
                <w:color w:val="auto"/>
              </w:rPr>
            </w:pPr>
            <w:r>
              <w:rPr>
                <w:rFonts w:ascii="Arial" w:cs="Arial" w:eastAsia="Arial" w:hAnsi="Arial"/>
                <w:sz w:val="14"/>
                <w:szCs w:val="14"/>
                <w:color w:val="auto"/>
                <w:w w:val="96"/>
              </w:rPr>
              <w:t>Twin River Management Group, Inc.</w:t>
            </w:r>
          </w:p>
        </w:tc>
        <w:tc>
          <w:tcPr>
            <w:tcW w:w="2200" w:type="dxa"/>
            <w:vAlign w:val="bottom"/>
          </w:tcPr>
          <w:p>
            <w:pPr>
              <w:ind w:left="80"/>
              <w:spacing w:after="0" w:line="149" w:lineRule="exact"/>
              <w:rPr>
                <w:sz w:val="20"/>
                <w:szCs w:val="20"/>
                <w:color w:val="auto"/>
              </w:rPr>
            </w:pPr>
            <w:r>
              <w:rPr>
                <w:rFonts w:ascii="Arial" w:cs="Arial" w:eastAsia="Arial" w:hAnsi="Arial"/>
                <w:sz w:val="14"/>
                <w:szCs w:val="14"/>
                <w:color w:val="auto"/>
              </w:rPr>
              <w:t>Lodging &amp; Casinos</w:t>
            </w:r>
          </w:p>
        </w:tc>
        <w:tc>
          <w:tcPr>
            <w:tcW w:w="2280" w:type="dxa"/>
            <w:vAlign w:val="bottom"/>
          </w:tcPr>
          <w:p>
            <w:pPr>
              <w:ind w:left="240"/>
              <w:spacing w:after="0" w:line="149" w:lineRule="exact"/>
              <w:rPr>
                <w:sz w:val="20"/>
                <w:szCs w:val="20"/>
                <w:color w:val="auto"/>
              </w:rPr>
            </w:pPr>
            <w:r>
              <w:rPr>
                <w:rFonts w:ascii="Arial" w:cs="Arial" w:eastAsia="Arial" w:hAnsi="Arial"/>
                <w:sz w:val="14"/>
                <w:szCs w:val="14"/>
                <w:color w:val="auto"/>
              </w:rPr>
              <w:t>Term Loan B</w:t>
            </w:r>
          </w:p>
        </w:tc>
        <w:tc>
          <w:tcPr>
            <w:tcW w:w="620" w:type="dxa"/>
            <w:vAlign w:val="bottom"/>
          </w:tcPr>
          <w:p>
            <w:pPr>
              <w:ind w:left="120"/>
              <w:spacing w:after="0" w:line="149" w:lineRule="exact"/>
              <w:rPr>
                <w:sz w:val="20"/>
                <w:szCs w:val="20"/>
                <w:color w:val="auto"/>
              </w:rPr>
            </w:pPr>
            <w:r>
              <w:rPr>
                <w:rFonts w:ascii="Arial" w:cs="Arial" w:eastAsia="Arial" w:hAnsi="Arial"/>
                <w:sz w:val="14"/>
                <w:szCs w:val="14"/>
                <w:color w:val="auto"/>
              </w:rPr>
              <w:t>Loan</w:t>
            </w:r>
          </w:p>
        </w:tc>
        <w:tc>
          <w:tcPr>
            <w:tcW w:w="700" w:type="dxa"/>
            <w:vAlign w:val="bottom"/>
          </w:tcPr>
          <w:p>
            <w:pPr>
              <w:jc w:val="right"/>
              <w:ind w:right="32"/>
              <w:spacing w:after="0" w:line="149" w:lineRule="exact"/>
              <w:rPr>
                <w:sz w:val="20"/>
                <w:szCs w:val="20"/>
                <w:color w:val="auto"/>
              </w:rPr>
            </w:pPr>
            <w:r>
              <w:rPr>
                <w:rFonts w:ascii="Arial" w:cs="Arial" w:eastAsia="Arial" w:hAnsi="Arial"/>
                <w:sz w:val="14"/>
                <w:szCs w:val="14"/>
                <w:color w:val="auto"/>
              </w:rPr>
              <w:t>5.25%</w:t>
            </w:r>
          </w:p>
        </w:tc>
        <w:tc>
          <w:tcPr>
            <w:tcW w:w="880" w:type="dxa"/>
            <w:vAlign w:val="bottom"/>
          </w:tcPr>
          <w:p>
            <w:pPr>
              <w:jc w:val="right"/>
              <w:ind w:right="92"/>
              <w:spacing w:after="0" w:line="149" w:lineRule="exact"/>
              <w:rPr>
                <w:sz w:val="20"/>
                <w:szCs w:val="20"/>
                <w:color w:val="auto"/>
              </w:rPr>
            </w:pPr>
            <w:r>
              <w:rPr>
                <w:rFonts w:ascii="Arial" w:cs="Arial" w:eastAsia="Arial" w:hAnsi="Arial"/>
                <w:sz w:val="14"/>
                <w:szCs w:val="14"/>
                <w:color w:val="auto"/>
              </w:rPr>
              <w:t>7/10/2020</w:t>
            </w:r>
          </w:p>
        </w:tc>
        <w:tc>
          <w:tcPr>
            <w:tcW w:w="12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5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w w:val="94"/>
              </w:rPr>
              <w:t>951,192</w:t>
            </w:r>
          </w:p>
        </w:tc>
        <w:tc>
          <w:tcPr>
            <w:tcW w:w="1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953,084</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951,192</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0"/>
              </w:rPr>
              <w:t>U.S. Security Associates Holdings, Inc.</w:t>
            </w:r>
          </w:p>
        </w:tc>
        <w:tc>
          <w:tcPr>
            <w:tcW w:w="220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Services: Business</w:t>
            </w:r>
          </w:p>
        </w:tc>
        <w:tc>
          <w:tcPr>
            <w:tcW w:w="228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rPr>
              <w:t>Delayed Draw Loan</w:t>
            </w:r>
          </w:p>
        </w:tc>
        <w:tc>
          <w:tcPr>
            <w:tcW w:w="62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Loan</w:t>
            </w:r>
          </w:p>
        </w:tc>
        <w:tc>
          <w:tcPr>
            <w:tcW w:w="70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6.25%</w:t>
            </w:r>
          </w:p>
        </w:tc>
        <w:tc>
          <w:tcPr>
            <w:tcW w:w="88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7/28/2017</w:t>
            </w:r>
          </w:p>
        </w:tc>
        <w:tc>
          <w:tcPr>
            <w:tcW w:w="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4"/>
              </w:rPr>
              <w:t>157,295</w:t>
            </w:r>
          </w:p>
        </w:tc>
        <w:tc>
          <w:tcPr>
            <w:tcW w:w="16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156,652</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157,098</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00" w:type="dxa"/>
            <w:vAlign w:val="bottom"/>
          </w:tcPr>
          <w:p>
            <w:pPr>
              <w:spacing w:after="0" w:line="149" w:lineRule="exact"/>
              <w:rPr>
                <w:sz w:val="20"/>
                <w:szCs w:val="20"/>
                <w:color w:val="auto"/>
              </w:rPr>
            </w:pPr>
            <w:r>
              <w:rPr>
                <w:rFonts w:ascii="Arial" w:cs="Arial" w:eastAsia="Arial" w:hAnsi="Arial"/>
                <w:sz w:val="14"/>
                <w:szCs w:val="14"/>
                <w:color w:val="auto"/>
                <w:w w:val="90"/>
              </w:rPr>
              <w:t>U.S. Security Associates Holdings, Inc.</w:t>
            </w:r>
          </w:p>
        </w:tc>
        <w:tc>
          <w:tcPr>
            <w:tcW w:w="2200" w:type="dxa"/>
            <w:vAlign w:val="bottom"/>
          </w:tcPr>
          <w:p>
            <w:pPr>
              <w:ind w:left="80"/>
              <w:spacing w:after="0" w:line="149" w:lineRule="exact"/>
              <w:rPr>
                <w:sz w:val="20"/>
                <w:szCs w:val="20"/>
                <w:color w:val="auto"/>
              </w:rPr>
            </w:pPr>
            <w:r>
              <w:rPr>
                <w:rFonts w:ascii="Arial" w:cs="Arial" w:eastAsia="Arial" w:hAnsi="Arial"/>
                <w:sz w:val="14"/>
                <w:szCs w:val="14"/>
                <w:color w:val="auto"/>
              </w:rPr>
              <w:t>Services: Business</w:t>
            </w:r>
          </w:p>
        </w:tc>
        <w:tc>
          <w:tcPr>
            <w:tcW w:w="2280" w:type="dxa"/>
            <w:vAlign w:val="bottom"/>
          </w:tcPr>
          <w:p>
            <w:pPr>
              <w:ind w:left="240"/>
              <w:spacing w:after="0" w:line="149" w:lineRule="exact"/>
              <w:rPr>
                <w:sz w:val="20"/>
                <w:szCs w:val="20"/>
                <w:color w:val="auto"/>
              </w:rPr>
            </w:pPr>
            <w:r>
              <w:rPr>
                <w:rFonts w:ascii="Arial" w:cs="Arial" w:eastAsia="Arial" w:hAnsi="Arial"/>
                <w:sz w:val="14"/>
                <w:szCs w:val="14"/>
                <w:color w:val="auto"/>
              </w:rPr>
              <w:t>Term B Loan</w:t>
            </w:r>
          </w:p>
        </w:tc>
        <w:tc>
          <w:tcPr>
            <w:tcW w:w="620" w:type="dxa"/>
            <w:vAlign w:val="bottom"/>
          </w:tcPr>
          <w:p>
            <w:pPr>
              <w:ind w:left="120"/>
              <w:spacing w:after="0" w:line="149" w:lineRule="exact"/>
              <w:rPr>
                <w:sz w:val="20"/>
                <w:szCs w:val="20"/>
                <w:color w:val="auto"/>
              </w:rPr>
            </w:pPr>
            <w:r>
              <w:rPr>
                <w:rFonts w:ascii="Arial" w:cs="Arial" w:eastAsia="Arial" w:hAnsi="Arial"/>
                <w:sz w:val="14"/>
                <w:szCs w:val="14"/>
                <w:color w:val="auto"/>
              </w:rPr>
              <w:t>Loan</w:t>
            </w:r>
          </w:p>
        </w:tc>
        <w:tc>
          <w:tcPr>
            <w:tcW w:w="700" w:type="dxa"/>
            <w:vAlign w:val="bottom"/>
          </w:tcPr>
          <w:p>
            <w:pPr>
              <w:jc w:val="right"/>
              <w:ind w:right="32"/>
              <w:spacing w:after="0" w:line="149" w:lineRule="exact"/>
              <w:rPr>
                <w:sz w:val="20"/>
                <w:szCs w:val="20"/>
                <w:color w:val="auto"/>
              </w:rPr>
            </w:pPr>
            <w:r>
              <w:rPr>
                <w:rFonts w:ascii="Arial" w:cs="Arial" w:eastAsia="Arial" w:hAnsi="Arial"/>
                <w:sz w:val="14"/>
                <w:szCs w:val="14"/>
                <w:color w:val="auto"/>
              </w:rPr>
              <w:t>6.25%</w:t>
            </w:r>
          </w:p>
        </w:tc>
        <w:tc>
          <w:tcPr>
            <w:tcW w:w="880" w:type="dxa"/>
            <w:vAlign w:val="bottom"/>
          </w:tcPr>
          <w:p>
            <w:pPr>
              <w:jc w:val="right"/>
              <w:ind w:right="92"/>
              <w:spacing w:after="0" w:line="149" w:lineRule="exact"/>
              <w:rPr>
                <w:sz w:val="20"/>
                <w:szCs w:val="20"/>
                <w:color w:val="auto"/>
              </w:rPr>
            </w:pPr>
            <w:r>
              <w:rPr>
                <w:rFonts w:ascii="Arial" w:cs="Arial" w:eastAsia="Arial" w:hAnsi="Arial"/>
                <w:sz w:val="14"/>
                <w:szCs w:val="14"/>
                <w:color w:val="auto"/>
              </w:rPr>
              <w:t>7/28/2017</w:t>
            </w:r>
          </w:p>
        </w:tc>
        <w:tc>
          <w:tcPr>
            <w:tcW w:w="12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5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w w:val="94"/>
              </w:rPr>
              <w:t>923,831</w:t>
            </w:r>
          </w:p>
        </w:tc>
        <w:tc>
          <w:tcPr>
            <w:tcW w:w="1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920,350</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922,677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Univar Inc.</w:t>
            </w:r>
          </w:p>
        </w:tc>
        <w:tc>
          <w:tcPr>
            <w:tcW w:w="220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Chemicals/Plastics</w:t>
            </w:r>
          </w:p>
        </w:tc>
        <w:tc>
          <w:tcPr>
            <w:tcW w:w="228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rPr>
              <w:t>Term B Loan</w:t>
            </w:r>
          </w:p>
        </w:tc>
        <w:tc>
          <w:tcPr>
            <w:tcW w:w="62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Loan</w:t>
            </w:r>
          </w:p>
        </w:tc>
        <w:tc>
          <w:tcPr>
            <w:tcW w:w="70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4.25%</w:t>
            </w:r>
          </w:p>
        </w:tc>
        <w:tc>
          <w:tcPr>
            <w:tcW w:w="88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6/30/2017</w:t>
            </w:r>
          </w:p>
        </w:tc>
        <w:tc>
          <w:tcPr>
            <w:tcW w:w="70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85"/>
              </w:rPr>
              <w:t>$3,000,000</w:t>
            </w:r>
          </w:p>
        </w:tc>
        <w:tc>
          <w:tcPr>
            <w:tcW w:w="16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2,985,653</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2,908,140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00" w:type="dxa"/>
            <w:vAlign w:val="bottom"/>
          </w:tcPr>
          <w:p>
            <w:pPr>
              <w:spacing w:after="0" w:line="149" w:lineRule="exact"/>
              <w:rPr>
                <w:sz w:val="20"/>
                <w:szCs w:val="20"/>
                <w:color w:val="auto"/>
              </w:rPr>
            </w:pPr>
            <w:r>
              <w:rPr>
                <w:rFonts w:ascii="Arial" w:cs="Arial" w:eastAsia="Arial" w:hAnsi="Arial"/>
                <w:sz w:val="14"/>
                <w:szCs w:val="14"/>
                <w:color w:val="auto"/>
              </w:rPr>
              <w:t>Univision Communications Inc.</w:t>
            </w:r>
          </w:p>
        </w:tc>
        <w:tc>
          <w:tcPr>
            <w:tcW w:w="2200" w:type="dxa"/>
            <w:vAlign w:val="bottom"/>
          </w:tcPr>
          <w:p>
            <w:pPr>
              <w:ind w:left="80"/>
              <w:spacing w:after="0" w:line="149" w:lineRule="exact"/>
              <w:rPr>
                <w:sz w:val="20"/>
                <w:szCs w:val="20"/>
                <w:color w:val="auto"/>
              </w:rPr>
            </w:pPr>
            <w:r>
              <w:rPr>
                <w:rFonts w:ascii="Arial" w:cs="Arial" w:eastAsia="Arial" w:hAnsi="Arial"/>
                <w:sz w:val="14"/>
                <w:szCs w:val="14"/>
                <w:color w:val="auto"/>
              </w:rPr>
              <w:t>Telecommunications</w:t>
            </w:r>
          </w:p>
        </w:tc>
        <w:tc>
          <w:tcPr>
            <w:tcW w:w="2280" w:type="dxa"/>
            <w:vAlign w:val="bottom"/>
          </w:tcPr>
          <w:p>
            <w:pPr>
              <w:ind w:left="240"/>
              <w:spacing w:after="0" w:line="149" w:lineRule="exact"/>
              <w:rPr>
                <w:sz w:val="20"/>
                <w:szCs w:val="20"/>
                <w:color w:val="auto"/>
              </w:rPr>
            </w:pPr>
            <w:r>
              <w:rPr>
                <w:rFonts w:ascii="Arial" w:cs="Arial" w:eastAsia="Arial" w:hAnsi="Arial"/>
                <w:sz w:val="14"/>
                <w:szCs w:val="14"/>
                <w:color w:val="auto"/>
                <w:w w:val="93"/>
              </w:rPr>
              <w:t>Replacement First-Lien Term Loan</w:t>
            </w:r>
          </w:p>
        </w:tc>
        <w:tc>
          <w:tcPr>
            <w:tcW w:w="620" w:type="dxa"/>
            <w:vAlign w:val="bottom"/>
          </w:tcPr>
          <w:p>
            <w:pPr>
              <w:ind w:left="120"/>
              <w:spacing w:after="0" w:line="149" w:lineRule="exact"/>
              <w:rPr>
                <w:sz w:val="20"/>
                <w:szCs w:val="20"/>
                <w:color w:val="auto"/>
              </w:rPr>
            </w:pPr>
            <w:r>
              <w:rPr>
                <w:rFonts w:ascii="Arial" w:cs="Arial" w:eastAsia="Arial" w:hAnsi="Arial"/>
                <w:sz w:val="14"/>
                <w:szCs w:val="14"/>
                <w:color w:val="auto"/>
              </w:rPr>
              <w:t>Loan</w:t>
            </w:r>
          </w:p>
        </w:tc>
        <w:tc>
          <w:tcPr>
            <w:tcW w:w="700" w:type="dxa"/>
            <w:vAlign w:val="bottom"/>
          </w:tcPr>
          <w:p>
            <w:pPr>
              <w:jc w:val="right"/>
              <w:ind w:right="32"/>
              <w:spacing w:after="0" w:line="149" w:lineRule="exact"/>
              <w:rPr>
                <w:sz w:val="20"/>
                <w:szCs w:val="20"/>
                <w:color w:val="auto"/>
              </w:rPr>
            </w:pPr>
            <w:r>
              <w:rPr>
                <w:rFonts w:ascii="Arial" w:cs="Arial" w:eastAsia="Arial" w:hAnsi="Arial"/>
                <w:sz w:val="14"/>
                <w:szCs w:val="14"/>
                <w:color w:val="auto"/>
              </w:rPr>
              <w:t>4.00%</w:t>
            </w:r>
          </w:p>
        </w:tc>
        <w:tc>
          <w:tcPr>
            <w:tcW w:w="880" w:type="dxa"/>
            <w:vAlign w:val="bottom"/>
          </w:tcPr>
          <w:p>
            <w:pPr>
              <w:jc w:val="right"/>
              <w:ind w:right="92"/>
              <w:spacing w:after="0" w:line="149" w:lineRule="exact"/>
              <w:rPr>
                <w:sz w:val="20"/>
                <w:szCs w:val="20"/>
                <w:color w:val="auto"/>
              </w:rPr>
            </w:pPr>
            <w:r>
              <w:rPr>
                <w:rFonts w:ascii="Arial" w:cs="Arial" w:eastAsia="Arial" w:hAnsi="Arial"/>
                <w:sz w:val="14"/>
                <w:szCs w:val="14"/>
                <w:color w:val="auto"/>
              </w:rPr>
              <w:t>3/1/2020</w:t>
            </w:r>
          </w:p>
        </w:tc>
        <w:tc>
          <w:tcPr>
            <w:tcW w:w="70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w w:val="85"/>
              </w:rPr>
              <w:t>$2,924,279</w:t>
            </w:r>
          </w:p>
        </w:tc>
        <w:tc>
          <w:tcPr>
            <w:tcW w:w="1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2,910,874</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2,874,566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20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0"/>
              </w:rPr>
              <w:t>Valeant Pharmaceuticals International,</w:t>
            </w:r>
          </w:p>
        </w:tc>
        <w:tc>
          <w:tcPr>
            <w:tcW w:w="2200" w:type="dxa"/>
            <w:vAlign w:val="bottom"/>
            <w:shd w:val="clear" w:color="auto" w:fill="CCEEFF"/>
          </w:tcPr>
          <w:p>
            <w:pPr>
              <w:ind w:left="80"/>
              <w:spacing w:after="0" w:line="138" w:lineRule="exact"/>
              <w:rPr>
                <w:sz w:val="20"/>
                <w:szCs w:val="20"/>
                <w:color w:val="auto"/>
              </w:rPr>
            </w:pPr>
            <w:r>
              <w:rPr>
                <w:rFonts w:ascii="Arial" w:cs="Arial" w:eastAsia="Arial" w:hAnsi="Arial"/>
                <w:sz w:val="14"/>
                <w:szCs w:val="14"/>
                <w:color w:val="auto"/>
              </w:rPr>
              <w:t>Drugs</w:t>
            </w:r>
          </w:p>
        </w:tc>
        <w:tc>
          <w:tcPr>
            <w:tcW w:w="2280" w:type="dxa"/>
            <w:vAlign w:val="bottom"/>
            <w:shd w:val="clear" w:color="auto" w:fill="CCEEFF"/>
          </w:tcPr>
          <w:p>
            <w:pPr>
              <w:ind w:left="240"/>
              <w:spacing w:after="0" w:line="138" w:lineRule="exact"/>
              <w:rPr>
                <w:sz w:val="20"/>
                <w:szCs w:val="20"/>
                <w:color w:val="auto"/>
              </w:rPr>
            </w:pPr>
            <w:r>
              <w:rPr>
                <w:rFonts w:ascii="Arial" w:cs="Arial" w:eastAsia="Arial" w:hAnsi="Arial"/>
                <w:sz w:val="14"/>
                <w:szCs w:val="14"/>
                <w:color w:val="auto"/>
              </w:rPr>
              <w:t>Series D2 Term Loan B</w:t>
            </w:r>
          </w:p>
        </w:tc>
        <w:tc>
          <w:tcPr>
            <w:tcW w:w="620" w:type="dxa"/>
            <w:vAlign w:val="bottom"/>
            <w:shd w:val="clear" w:color="auto" w:fill="CCEEFF"/>
          </w:tcPr>
          <w:p>
            <w:pPr>
              <w:ind w:left="120"/>
              <w:spacing w:after="0" w:line="138" w:lineRule="exact"/>
              <w:rPr>
                <w:sz w:val="20"/>
                <w:szCs w:val="20"/>
                <w:color w:val="auto"/>
              </w:rPr>
            </w:pPr>
            <w:r>
              <w:rPr>
                <w:rFonts w:ascii="Arial" w:cs="Arial" w:eastAsia="Arial" w:hAnsi="Arial"/>
                <w:sz w:val="14"/>
                <w:szCs w:val="14"/>
                <w:color w:val="auto"/>
              </w:rPr>
              <w:t>Loan</w:t>
            </w:r>
          </w:p>
        </w:tc>
        <w:tc>
          <w:tcPr>
            <w:tcW w:w="7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tcBorders>
              <w:right w:val="single" w:sz="8" w:color="CCEEFF"/>
            </w:tcBorders>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200" w:type="dxa"/>
            <w:vAlign w:val="bottom"/>
            <w:shd w:val="clear" w:color="auto" w:fill="CCEEFF"/>
          </w:tcPr>
          <w:p>
            <w:pPr>
              <w:ind w:left="120"/>
              <w:spacing w:after="0" w:line="159" w:lineRule="exact"/>
              <w:rPr>
                <w:sz w:val="20"/>
                <w:szCs w:val="20"/>
                <w:color w:val="auto"/>
              </w:rPr>
            </w:pPr>
            <w:r>
              <w:rPr>
                <w:rFonts w:ascii="Arial" w:cs="Arial" w:eastAsia="Arial" w:hAnsi="Arial"/>
                <w:sz w:val="14"/>
                <w:szCs w:val="14"/>
                <w:color w:val="auto"/>
              </w:rPr>
              <w:t>Inc.</w:t>
            </w:r>
          </w:p>
        </w:tc>
        <w:tc>
          <w:tcPr>
            <w:tcW w:w="2200" w:type="dxa"/>
            <w:vAlign w:val="bottom"/>
            <w:shd w:val="clear" w:color="auto" w:fill="CCEEFF"/>
          </w:tcPr>
          <w:p>
            <w:pPr>
              <w:spacing w:after="0"/>
              <w:rPr>
                <w:sz w:val="13"/>
                <w:szCs w:val="13"/>
                <w:color w:val="auto"/>
              </w:rPr>
            </w:pPr>
          </w:p>
        </w:tc>
        <w:tc>
          <w:tcPr>
            <w:tcW w:w="22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700" w:type="dxa"/>
            <w:vAlign w:val="bottom"/>
            <w:shd w:val="clear" w:color="auto" w:fill="CCEEFF"/>
          </w:tcPr>
          <w:p>
            <w:pPr>
              <w:jc w:val="right"/>
              <w:ind w:right="32"/>
              <w:spacing w:after="0" w:line="159" w:lineRule="exact"/>
              <w:rPr>
                <w:sz w:val="20"/>
                <w:szCs w:val="20"/>
                <w:color w:val="auto"/>
              </w:rPr>
            </w:pPr>
            <w:r>
              <w:rPr>
                <w:rFonts w:ascii="Arial" w:cs="Arial" w:eastAsia="Arial" w:hAnsi="Arial"/>
                <w:sz w:val="14"/>
                <w:szCs w:val="14"/>
                <w:color w:val="auto"/>
              </w:rPr>
              <w:t>3.50%</w:t>
            </w:r>
          </w:p>
        </w:tc>
        <w:tc>
          <w:tcPr>
            <w:tcW w:w="880" w:type="dxa"/>
            <w:vAlign w:val="bottom"/>
            <w:shd w:val="clear" w:color="auto" w:fill="CCEEFF"/>
          </w:tcPr>
          <w:p>
            <w:pPr>
              <w:jc w:val="right"/>
              <w:ind w:right="92"/>
              <w:spacing w:after="0" w:line="159" w:lineRule="exact"/>
              <w:rPr>
                <w:sz w:val="20"/>
                <w:szCs w:val="20"/>
                <w:color w:val="auto"/>
              </w:rPr>
            </w:pPr>
            <w:r>
              <w:rPr>
                <w:rFonts w:ascii="Arial" w:cs="Arial" w:eastAsia="Arial" w:hAnsi="Arial"/>
                <w:sz w:val="14"/>
                <w:szCs w:val="14"/>
                <w:color w:val="auto"/>
              </w:rPr>
              <w:t>2/13/2019</w:t>
            </w:r>
          </w:p>
        </w:tc>
        <w:tc>
          <w:tcPr>
            <w:tcW w:w="700" w:type="dxa"/>
            <w:vAlign w:val="bottom"/>
            <w:gridSpan w:val="3"/>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w w:val="85"/>
              </w:rPr>
              <w:t>$2,545,589</w:t>
            </w:r>
          </w:p>
        </w:tc>
        <w:tc>
          <w:tcPr>
            <w:tcW w:w="160" w:type="dxa"/>
            <w:vAlign w:val="bottom"/>
            <w:tcBorders>
              <w:right w:val="single" w:sz="8" w:color="CCEEFF"/>
            </w:tcBorders>
            <w:shd w:val="clear" w:color="auto" w:fill="CCEEFF"/>
          </w:tcPr>
          <w:p>
            <w:pPr>
              <w:spacing w:after="0"/>
              <w:rPr>
                <w:sz w:val="13"/>
                <w:szCs w:val="13"/>
                <w:color w:val="auto"/>
              </w:rPr>
            </w:pPr>
          </w:p>
        </w:tc>
        <w:tc>
          <w:tcPr>
            <w:tcW w:w="6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2,538,841</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2,399,217</w:t>
            </w: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00" w:type="dxa"/>
            <w:vAlign w:val="bottom"/>
          </w:tcPr>
          <w:p>
            <w:pPr>
              <w:spacing w:after="0" w:line="149" w:lineRule="exact"/>
              <w:rPr>
                <w:sz w:val="20"/>
                <w:szCs w:val="20"/>
                <w:color w:val="auto"/>
              </w:rPr>
            </w:pPr>
            <w:r>
              <w:rPr>
                <w:rFonts w:ascii="Arial" w:cs="Arial" w:eastAsia="Arial" w:hAnsi="Arial"/>
                <w:sz w:val="14"/>
                <w:szCs w:val="14"/>
                <w:color w:val="auto"/>
              </w:rPr>
              <w:t>Verint Systems Inc.</w:t>
            </w:r>
          </w:p>
        </w:tc>
        <w:tc>
          <w:tcPr>
            <w:tcW w:w="2200" w:type="dxa"/>
            <w:vAlign w:val="bottom"/>
          </w:tcPr>
          <w:p>
            <w:pPr>
              <w:ind w:left="80"/>
              <w:spacing w:after="0" w:line="149" w:lineRule="exact"/>
              <w:rPr>
                <w:sz w:val="20"/>
                <w:szCs w:val="20"/>
                <w:color w:val="auto"/>
              </w:rPr>
            </w:pPr>
            <w:r>
              <w:rPr>
                <w:rFonts w:ascii="Arial" w:cs="Arial" w:eastAsia="Arial" w:hAnsi="Arial"/>
                <w:sz w:val="14"/>
                <w:szCs w:val="14"/>
                <w:color w:val="auto"/>
              </w:rPr>
              <w:t>Services: Business</w:t>
            </w:r>
          </w:p>
        </w:tc>
        <w:tc>
          <w:tcPr>
            <w:tcW w:w="2280" w:type="dxa"/>
            <w:vAlign w:val="bottom"/>
          </w:tcPr>
          <w:p>
            <w:pPr>
              <w:ind w:left="240"/>
              <w:spacing w:after="0" w:line="149" w:lineRule="exact"/>
              <w:rPr>
                <w:sz w:val="20"/>
                <w:szCs w:val="20"/>
                <w:color w:val="auto"/>
              </w:rPr>
            </w:pPr>
            <w:r>
              <w:rPr>
                <w:rFonts w:ascii="Arial" w:cs="Arial" w:eastAsia="Arial" w:hAnsi="Arial"/>
                <w:sz w:val="14"/>
                <w:szCs w:val="14"/>
                <w:color w:val="auto"/>
              </w:rPr>
              <w:t>Term Loan</w:t>
            </w:r>
          </w:p>
        </w:tc>
        <w:tc>
          <w:tcPr>
            <w:tcW w:w="620" w:type="dxa"/>
            <w:vAlign w:val="bottom"/>
          </w:tcPr>
          <w:p>
            <w:pPr>
              <w:ind w:left="120"/>
              <w:spacing w:after="0" w:line="149" w:lineRule="exact"/>
              <w:rPr>
                <w:sz w:val="20"/>
                <w:szCs w:val="20"/>
                <w:color w:val="auto"/>
              </w:rPr>
            </w:pPr>
            <w:r>
              <w:rPr>
                <w:rFonts w:ascii="Arial" w:cs="Arial" w:eastAsia="Arial" w:hAnsi="Arial"/>
                <w:sz w:val="14"/>
                <w:szCs w:val="14"/>
                <w:color w:val="auto"/>
              </w:rPr>
              <w:t>Loan</w:t>
            </w:r>
          </w:p>
        </w:tc>
        <w:tc>
          <w:tcPr>
            <w:tcW w:w="700" w:type="dxa"/>
            <w:vAlign w:val="bottom"/>
          </w:tcPr>
          <w:p>
            <w:pPr>
              <w:jc w:val="right"/>
              <w:ind w:right="32"/>
              <w:spacing w:after="0" w:line="149" w:lineRule="exact"/>
              <w:rPr>
                <w:sz w:val="20"/>
                <w:szCs w:val="20"/>
                <w:color w:val="auto"/>
              </w:rPr>
            </w:pPr>
            <w:r>
              <w:rPr>
                <w:rFonts w:ascii="Arial" w:cs="Arial" w:eastAsia="Arial" w:hAnsi="Arial"/>
                <w:sz w:val="14"/>
                <w:szCs w:val="14"/>
                <w:color w:val="auto"/>
              </w:rPr>
              <w:t>3.50%</w:t>
            </w:r>
          </w:p>
        </w:tc>
        <w:tc>
          <w:tcPr>
            <w:tcW w:w="880" w:type="dxa"/>
            <w:vAlign w:val="bottom"/>
          </w:tcPr>
          <w:p>
            <w:pPr>
              <w:jc w:val="right"/>
              <w:ind w:right="92"/>
              <w:spacing w:after="0" w:line="149" w:lineRule="exact"/>
              <w:rPr>
                <w:sz w:val="20"/>
                <w:szCs w:val="20"/>
                <w:color w:val="auto"/>
              </w:rPr>
            </w:pPr>
            <w:r>
              <w:rPr>
                <w:rFonts w:ascii="Arial" w:cs="Arial" w:eastAsia="Arial" w:hAnsi="Arial"/>
                <w:sz w:val="14"/>
                <w:szCs w:val="14"/>
                <w:color w:val="auto"/>
              </w:rPr>
              <w:t>9/6/2019</w:t>
            </w:r>
          </w:p>
        </w:tc>
        <w:tc>
          <w:tcPr>
            <w:tcW w:w="70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w w:val="85"/>
              </w:rPr>
              <w:t>$1,014,058</w:t>
            </w:r>
          </w:p>
        </w:tc>
        <w:tc>
          <w:tcPr>
            <w:tcW w:w="160" w:type="dxa"/>
            <w:vAlign w:val="bottom"/>
          </w:tcPr>
          <w:p>
            <w:pPr>
              <w:spacing w:after="0"/>
              <w:rPr>
                <w:sz w:val="12"/>
                <w:szCs w:val="12"/>
                <w:color w:val="auto"/>
              </w:rPr>
            </w:pPr>
          </w:p>
        </w:tc>
        <w:tc>
          <w:tcPr>
            <w:tcW w:w="7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1,011,033</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1,009,241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Vertafore, Inc.</w:t>
            </w:r>
          </w:p>
        </w:tc>
        <w:tc>
          <w:tcPr>
            <w:tcW w:w="220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Services: Business</w:t>
            </w:r>
          </w:p>
        </w:tc>
        <w:tc>
          <w:tcPr>
            <w:tcW w:w="228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rPr>
              <w:t>Term Loan (2013)</w:t>
            </w:r>
          </w:p>
        </w:tc>
        <w:tc>
          <w:tcPr>
            <w:tcW w:w="62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Loan</w:t>
            </w:r>
          </w:p>
        </w:tc>
        <w:tc>
          <w:tcPr>
            <w:tcW w:w="70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4.25%</w:t>
            </w:r>
          </w:p>
        </w:tc>
        <w:tc>
          <w:tcPr>
            <w:tcW w:w="88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10/3/2019</w:t>
            </w:r>
          </w:p>
        </w:tc>
        <w:tc>
          <w:tcPr>
            <w:tcW w:w="70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85"/>
              </w:rPr>
              <w:t>$2,484,603</w:t>
            </w:r>
          </w:p>
        </w:tc>
        <w:tc>
          <w:tcPr>
            <w:tcW w:w="16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2,484,603</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2,476,329</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00" w:type="dxa"/>
            <w:vAlign w:val="bottom"/>
          </w:tcPr>
          <w:p>
            <w:pPr>
              <w:spacing w:after="0" w:line="149" w:lineRule="exact"/>
              <w:rPr>
                <w:sz w:val="20"/>
                <w:szCs w:val="20"/>
                <w:color w:val="auto"/>
              </w:rPr>
            </w:pPr>
            <w:r>
              <w:rPr>
                <w:rFonts w:ascii="Arial" w:cs="Arial" w:eastAsia="Arial" w:hAnsi="Arial"/>
                <w:sz w:val="14"/>
                <w:szCs w:val="14"/>
                <w:color w:val="auto"/>
              </w:rPr>
              <w:t>Vouvray US Finance</w:t>
            </w:r>
          </w:p>
        </w:tc>
        <w:tc>
          <w:tcPr>
            <w:tcW w:w="2200" w:type="dxa"/>
            <w:vAlign w:val="bottom"/>
          </w:tcPr>
          <w:p>
            <w:pPr>
              <w:ind w:left="80"/>
              <w:spacing w:after="0" w:line="149" w:lineRule="exact"/>
              <w:rPr>
                <w:sz w:val="20"/>
                <w:szCs w:val="20"/>
                <w:color w:val="auto"/>
              </w:rPr>
            </w:pPr>
            <w:r>
              <w:rPr>
                <w:rFonts w:ascii="Arial" w:cs="Arial" w:eastAsia="Arial" w:hAnsi="Arial"/>
                <w:sz w:val="14"/>
                <w:szCs w:val="14"/>
                <w:color w:val="auto"/>
              </w:rPr>
              <w:t>Industrial Equipment</w:t>
            </w:r>
          </w:p>
        </w:tc>
        <w:tc>
          <w:tcPr>
            <w:tcW w:w="2280" w:type="dxa"/>
            <w:vAlign w:val="bottom"/>
          </w:tcPr>
          <w:p>
            <w:pPr>
              <w:ind w:left="240"/>
              <w:spacing w:after="0" w:line="149" w:lineRule="exact"/>
              <w:rPr>
                <w:sz w:val="20"/>
                <w:szCs w:val="20"/>
                <w:color w:val="auto"/>
              </w:rPr>
            </w:pPr>
            <w:r>
              <w:rPr>
                <w:rFonts w:ascii="Arial" w:cs="Arial" w:eastAsia="Arial" w:hAnsi="Arial"/>
                <w:sz w:val="14"/>
                <w:szCs w:val="14"/>
                <w:color w:val="auto"/>
              </w:rPr>
              <w:t>Term Loan</w:t>
            </w:r>
          </w:p>
        </w:tc>
        <w:tc>
          <w:tcPr>
            <w:tcW w:w="620" w:type="dxa"/>
            <w:vAlign w:val="bottom"/>
          </w:tcPr>
          <w:p>
            <w:pPr>
              <w:ind w:left="120"/>
              <w:spacing w:after="0" w:line="149" w:lineRule="exact"/>
              <w:rPr>
                <w:sz w:val="20"/>
                <w:szCs w:val="20"/>
                <w:color w:val="auto"/>
              </w:rPr>
            </w:pPr>
            <w:r>
              <w:rPr>
                <w:rFonts w:ascii="Arial" w:cs="Arial" w:eastAsia="Arial" w:hAnsi="Arial"/>
                <w:sz w:val="14"/>
                <w:szCs w:val="14"/>
                <w:color w:val="auto"/>
              </w:rPr>
              <w:t>Loan</w:t>
            </w:r>
          </w:p>
        </w:tc>
        <w:tc>
          <w:tcPr>
            <w:tcW w:w="700" w:type="dxa"/>
            <w:vAlign w:val="bottom"/>
          </w:tcPr>
          <w:p>
            <w:pPr>
              <w:jc w:val="right"/>
              <w:ind w:right="32"/>
              <w:spacing w:after="0" w:line="149" w:lineRule="exact"/>
              <w:rPr>
                <w:sz w:val="20"/>
                <w:szCs w:val="20"/>
                <w:color w:val="auto"/>
              </w:rPr>
            </w:pPr>
            <w:r>
              <w:rPr>
                <w:rFonts w:ascii="Arial" w:cs="Arial" w:eastAsia="Arial" w:hAnsi="Arial"/>
                <w:sz w:val="14"/>
                <w:szCs w:val="14"/>
                <w:color w:val="auto"/>
              </w:rPr>
              <w:t>4.75%</w:t>
            </w:r>
          </w:p>
        </w:tc>
        <w:tc>
          <w:tcPr>
            <w:tcW w:w="880" w:type="dxa"/>
            <w:vAlign w:val="bottom"/>
          </w:tcPr>
          <w:p>
            <w:pPr>
              <w:jc w:val="right"/>
              <w:ind w:right="92"/>
              <w:spacing w:after="0" w:line="149" w:lineRule="exact"/>
              <w:rPr>
                <w:sz w:val="20"/>
                <w:szCs w:val="20"/>
                <w:color w:val="auto"/>
              </w:rPr>
            </w:pPr>
            <w:r>
              <w:rPr>
                <w:rFonts w:ascii="Arial" w:cs="Arial" w:eastAsia="Arial" w:hAnsi="Arial"/>
                <w:sz w:val="14"/>
                <w:szCs w:val="14"/>
                <w:color w:val="auto"/>
              </w:rPr>
              <w:t>6/28/2021</w:t>
            </w:r>
          </w:p>
        </w:tc>
        <w:tc>
          <w:tcPr>
            <w:tcW w:w="12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5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w w:val="94"/>
              </w:rPr>
              <w:t>493,750</w:t>
            </w:r>
          </w:p>
        </w:tc>
        <w:tc>
          <w:tcPr>
            <w:tcW w:w="1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491,699</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487,168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Washington Inventory Service</w:t>
            </w:r>
          </w:p>
        </w:tc>
        <w:tc>
          <w:tcPr>
            <w:tcW w:w="220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Services: Business</w:t>
            </w:r>
          </w:p>
        </w:tc>
        <w:tc>
          <w:tcPr>
            <w:tcW w:w="228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rPr>
              <w:t>U.S. Term Loan (First Lien)</w:t>
            </w:r>
          </w:p>
        </w:tc>
        <w:tc>
          <w:tcPr>
            <w:tcW w:w="62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Loan</w:t>
            </w:r>
          </w:p>
        </w:tc>
        <w:tc>
          <w:tcPr>
            <w:tcW w:w="70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5.75%</w:t>
            </w:r>
          </w:p>
        </w:tc>
        <w:tc>
          <w:tcPr>
            <w:tcW w:w="88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w w:val="99"/>
              </w:rPr>
              <w:t>12/20/2018</w:t>
            </w:r>
          </w:p>
        </w:tc>
        <w:tc>
          <w:tcPr>
            <w:tcW w:w="70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85"/>
              </w:rPr>
              <w:t>$1,778,498</w:t>
            </w:r>
          </w:p>
        </w:tc>
        <w:tc>
          <w:tcPr>
            <w:tcW w:w="16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1,792,843</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1,707,357</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00" w:type="dxa"/>
            <w:vAlign w:val="bottom"/>
          </w:tcPr>
          <w:p>
            <w:pPr>
              <w:spacing w:after="0" w:line="149" w:lineRule="exact"/>
              <w:rPr>
                <w:sz w:val="20"/>
                <w:szCs w:val="20"/>
                <w:color w:val="auto"/>
              </w:rPr>
            </w:pPr>
            <w:r>
              <w:rPr>
                <w:rFonts w:ascii="Arial" w:cs="Arial" w:eastAsia="Arial" w:hAnsi="Arial"/>
                <w:sz w:val="14"/>
                <w:szCs w:val="14"/>
                <w:color w:val="auto"/>
              </w:rPr>
              <w:t>West Corporation</w:t>
            </w:r>
          </w:p>
        </w:tc>
        <w:tc>
          <w:tcPr>
            <w:tcW w:w="2200" w:type="dxa"/>
            <w:vAlign w:val="bottom"/>
          </w:tcPr>
          <w:p>
            <w:pPr>
              <w:ind w:left="80"/>
              <w:spacing w:after="0" w:line="149" w:lineRule="exact"/>
              <w:rPr>
                <w:sz w:val="20"/>
                <w:szCs w:val="20"/>
                <w:color w:val="auto"/>
              </w:rPr>
            </w:pPr>
            <w:r>
              <w:rPr>
                <w:rFonts w:ascii="Arial" w:cs="Arial" w:eastAsia="Arial" w:hAnsi="Arial"/>
                <w:sz w:val="14"/>
                <w:szCs w:val="14"/>
                <w:color w:val="auto"/>
              </w:rPr>
              <w:t>Telecommunications</w:t>
            </w:r>
          </w:p>
        </w:tc>
        <w:tc>
          <w:tcPr>
            <w:tcW w:w="2280" w:type="dxa"/>
            <w:vAlign w:val="bottom"/>
          </w:tcPr>
          <w:p>
            <w:pPr>
              <w:ind w:left="240"/>
              <w:spacing w:after="0" w:line="149" w:lineRule="exact"/>
              <w:rPr>
                <w:sz w:val="20"/>
                <w:szCs w:val="20"/>
                <w:color w:val="auto"/>
              </w:rPr>
            </w:pPr>
            <w:r>
              <w:rPr>
                <w:rFonts w:ascii="Arial" w:cs="Arial" w:eastAsia="Arial" w:hAnsi="Arial"/>
                <w:sz w:val="14"/>
                <w:szCs w:val="14"/>
                <w:color w:val="auto"/>
              </w:rPr>
              <w:t>Term B-10 Loan</w:t>
            </w:r>
          </w:p>
        </w:tc>
        <w:tc>
          <w:tcPr>
            <w:tcW w:w="620" w:type="dxa"/>
            <w:vAlign w:val="bottom"/>
          </w:tcPr>
          <w:p>
            <w:pPr>
              <w:ind w:left="120"/>
              <w:spacing w:after="0" w:line="149" w:lineRule="exact"/>
              <w:rPr>
                <w:sz w:val="20"/>
                <w:szCs w:val="20"/>
                <w:color w:val="auto"/>
              </w:rPr>
            </w:pPr>
            <w:r>
              <w:rPr>
                <w:rFonts w:ascii="Arial" w:cs="Arial" w:eastAsia="Arial" w:hAnsi="Arial"/>
                <w:sz w:val="14"/>
                <w:szCs w:val="14"/>
                <w:color w:val="auto"/>
              </w:rPr>
              <w:t>Loan</w:t>
            </w:r>
          </w:p>
        </w:tc>
        <w:tc>
          <w:tcPr>
            <w:tcW w:w="700" w:type="dxa"/>
            <w:vAlign w:val="bottom"/>
          </w:tcPr>
          <w:p>
            <w:pPr>
              <w:jc w:val="right"/>
              <w:ind w:right="32"/>
              <w:spacing w:after="0" w:line="149" w:lineRule="exact"/>
              <w:rPr>
                <w:sz w:val="20"/>
                <w:szCs w:val="20"/>
                <w:color w:val="auto"/>
              </w:rPr>
            </w:pPr>
            <w:r>
              <w:rPr>
                <w:rFonts w:ascii="Arial" w:cs="Arial" w:eastAsia="Arial" w:hAnsi="Arial"/>
                <w:sz w:val="14"/>
                <w:szCs w:val="14"/>
                <w:color w:val="auto"/>
              </w:rPr>
              <w:t>3.25%</w:t>
            </w:r>
          </w:p>
        </w:tc>
        <w:tc>
          <w:tcPr>
            <w:tcW w:w="880" w:type="dxa"/>
            <w:vAlign w:val="bottom"/>
          </w:tcPr>
          <w:p>
            <w:pPr>
              <w:jc w:val="right"/>
              <w:ind w:right="92"/>
              <w:spacing w:after="0" w:line="149" w:lineRule="exact"/>
              <w:rPr>
                <w:sz w:val="20"/>
                <w:szCs w:val="20"/>
                <w:color w:val="auto"/>
              </w:rPr>
            </w:pPr>
            <w:r>
              <w:rPr>
                <w:rFonts w:ascii="Arial" w:cs="Arial" w:eastAsia="Arial" w:hAnsi="Arial"/>
                <w:sz w:val="14"/>
                <w:szCs w:val="14"/>
                <w:color w:val="auto"/>
              </w:rPr>
              <w:t>6/30/2018</w:t>
            </w:r>
          </w:p>
        </w:tc>
        <w:tc>
          <w:tcPr>
            <w:tcW w:w="70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w w:val="85"/>
              </w:rPr>
              <w:t>$2,571,560</w:t>
            </w:r>
          </w:p>
        </w:tc>
        <w:tc>
          <w:tcPr>
            <w:tcW w:w="1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2,598,332</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2,529,772</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ZEP Inc.</w:t>
            </w:r>
          </w:p>
        </w:tc>
        <w:tc>
          <w:tcPr>
            <w:tcW w:w="220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Chemicals/Plastics</w:t>
            </w:r>
          </w:p>
        </w:tc>
        <w:tc>
          <w:tcPr>
            <w:tcW w:w="228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rPr>
              <w:t>Term Loan B</w:t>
            </w:r>
          </w:p>
        </w:tc>
        <w:tc>
          <w:tcPr>
            <w:tcW w:w="62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Loan</w:t>
            </w:r>
          </w:p>
        </w:tc>
        <w:tc>
          <w:tcPr>
            <w:tcW w:w="70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5.75%</w:t>
            </w:r>
          </w:p>
        </w:tc>
        <w:tc>
          <w:tcPr>
            <w:tcW w:w="88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6/27/2022</w:t>
            </w:r>
          </w:p>
        </w:tc>
        <w:tc>
          <w:tcPr>
            <w:tcW w:w="70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85"/>
              </w:rPr>
              <w:t>$2,992,500</w:t>
            </w:r>
          </w:p>
        </w:tc>
        <w:tc>
          <w:tcPr>
            <w:tcW w:w="160" w:type="dxa"/>
            <w:vAlign w:val="bottom"/>
            <w:tcBorders>
              <w:right w:val="single" w:sz="8" w:color="CCEEFF"/>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2,978,182</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2,973,797</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jc w:val="right"/>
              <w:spacing w:after="0" w:line="155" w:lineRule="exact"/>
              <w:rPr>
                <w:sz w:val="20"/>
                <w:szCs w:val="20"/>
                <w:color w:val="auto"/>
              </w:rPr>
            </w:pPr>
            <w:r>
              <w:rPr>
                <w:rFonts w:ascii="Arial" w:cs="Arial" w:eastAsia="Arial" w:hAnsi="Arial"/>
                <w:sz w:val="14"/>
                <w:szCs w:val="14"/>
                <w:b w:val="1"/>
                <w:bCs w:val="1"/>
                <w:u w:val="single" w:color="auto"/>
                <w:color w:val="auto"/>
              </w:rPr>
              <w:t>$</w:t>
            </w:r>
          </w:p>
        </w:tc>
        <w:tc>
          <w:tcPr>
            <w:tcW w:w="680" w:type="dxa"/>
            <w:vAlign w:val="bottom"/>
          </w:tcPr>
          <w:p>
            <w:pPr>
              <w:jc w:val="right"/>
              <w:spacing w:after="0" w:line="155" w:lineRule="exact"/>
              <w:rPr>
                <w:sz w:val="20"/>
                <w:szCs w:val="20"/>
                <w:color w:val="auto"/>
              </w:rPr>
            </w:pPr>
            <w:r>
              <w:rPr>
                <w:rFonts w:ascii="Arial" w:cs="Arial" w:eastAsia="Arial" w:hAnsi="Arial"/>
                <w:sz w:val="14"/>
                <w:szCs w:val="14"/>
                <w:b w:val="1"/>
                <w:bCs w:val="1"/>
                <w:color w:val="auto"/>
                <w:w w:val="84"/>
              </w:rPr>
              <w:t>298,167,648</w:t>
            </w:r>
          </w:p>
        </w:tc>
        <w:tc>
          <w:tcPr>
            <w:tcW w:w="80" w:type="dxa"/>
            <w:vAlign w:val="bottom"/>
          </w:tcPr>
          <w:p>
            <w:pPr>
              <w:spacing w:after="0"/>
              <w:rPr>
                <w:sz w:val="13"/>
                <w:szCs w:val="13"/>
                <w:color w:val="auto"/>
              </w:rPr>
            </w:pPr>
          </w:p>
        </w:tc>
        <w:tc>
          <w:tcPr>
            <w:tcW w:w="160" w:type="dxa"/>
            <w:vAlign w:val="bottom"/>
            <w:gridSpan w:val="2"/>
          </w:tcPr>
          <w:p>
            <w:pPr>
              <w:jc w:val="right"/>
              <w:spacing w:after="0" w:line="155" w:lineRule="exact"/>
              <w:rPr>
                <w:sz w:val="20"/>
                <w:szCs w:val="20"/>
                <w:color w:val="auto"/>
              </w:rPr>
            </w:pPr>
            <w:r>
              <w:rPr>
                <w:rFonts w:ascii="Arial" w:cs="Arial" w:eastAsia="Arial" w:hAnsi="Arial"/>
                <w:sz w:val="14"/>
                <w:szCs w:val="14"/>
                <w:b w:val="1"/>
                <w:bCs w:val="1"/>
                <w:u w:val="single" w:color="auto"/>
                <w:color w:val="auto"/>
              </w:rPr>
              <w:t>$</w:t>
            </w:r>
          </w:p>
        </w:tc>
        <w:tc>
          <w:tcPr>
            <w:tcW w:w="680" w:type="dxa"/>
            <w:vAlign w:val="bottom"/>
          </w:tcPr>
          <w:p>
            <w:pPr>
              <w:jc w:val="right"/>
              <w:spacing w:after="0" w:line="155" w:lineRule="exact"/>
              <w:rPr>
                <w:sz w:val="20"/>
                <w:szCs w:val="20"/>
                <w:color w:val="auto"/>
              </w:rPr>
            </w:pPr>
            <w:r>
              <w:rPr>
                <w:rFonts w:ascii="Arial" w:cs="Arial" w:eastAsia="Arial" w:hAnsi="Arial"/>
                <w:sz w:val="14"/>
                <w:szCs w:val="14"/>
                <w:b w:val="1"/>
                <w:bCs w:val="1"/>
                <w:color w:val="auto"/>
                <w:w w:val="84"/>
              </w:rPr>
              <w:t>285,327,034</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Principal/</w:t>
            </w:r>
          </w:p>
        </w:tc>
        <w:tc>
          <w:tcPr>
            <w:tcW w:w="1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2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00" w:type="dxa"/>
            <w:vAlign w:val="bottom"/>
            <w:gridSpan w:val="3"/>
            <w:vMerge w:val="continue"/>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0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Number</w:t>
            </w:r>
          </w:p>
        </w:tc>
        <w:tc>
          <w:tcPr>
            <w:tcW w:w="160" w:type="dxa"/>
            <w:vAlign w:val="bottom"/>
          </w:tcPr>
          <w:p>
            <w:pPr>
              <w:spacing w:after="0"/>
              <w:rPr>
                <w:sz w:val="12"/>
                <w:szCs w:val="12"/>
                <w:color w:val="auto"/>
              </w:rPr>
            </w:pPr>
          </w:p>
        </w:tc>
        <w:tc>
          <w:tcPr>
            <w:tcW w:w="76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Cost</w:t>
            </w:r>
          </w:p>
        </w:tc>
        <w:tc>
          <w:tcPr>
            <w:tcW w:w="80" w:type="dxa"/>
            <w:vAlign w:val="bottom"/>
          </w:tcPr>
          <w:p>
            <w:pPr>
              <w:spacing w:after="0"/>
              <w:rPr>
                <w:sz w:val="12"/>
                <w:szCs w:val="12"/>
                <w:color w:val="auto"/>
              </w:rPr>
            </w:pPr>
          </w:p>
        </w:tc>
        <w:tc>
          <w:tcPr>
            <w:tcW w:w="82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00" w:type="dxa"/>
            <w:vAlign w:val="bottom"/>
            <w:gridSpan w:val="3"/>
          </w:tcPr>
          <w:p>
            <w:pPr>
              <w:ind w:left="20"/>
              <w:spacing w:after="0"/>
              <w:rPr>
                <w:sz w:val="20"/>
                <w:szCs w:val="20"/>
                <w:color w:val="auto"/>
              </w:rPr>
            </w:pPr>
            <w:r>
              <w:rPr>
                <w:rFonts w:ascii="Arial" w:cs="Arial" w:eastAsia="Arial" w:hAnsi="Arial"/>
                <w:sz w:val="14"/>
                <w:szCs w:val="14"/>
                <w:b w:val="1"/>
                <w:bCs w:val="1"/>
                <w:color w:val="auto"/>
              </w:rPr>
              <w:t>of Shares</w:t>
            </w:r>
          </w:p>
        </w:tc>
        <w:tc>
          <w:tcPr>
            <w:tcW w:w="16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200" w:type="dxa"/>
            <w:vAlign w:val="bottom"/>
            <w:tcBorders>
              <w:top w:val="single" w:sz="8" w:color="CCEEFF"/>
            </w:tcBorders>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Cash and cash equivalents</w:t>
            </w:r>
          </w:p>
        </w:tc>
        <w:tc>
          <w:tcPr>
            <w:tcW w:w="2200" w:type="dxa"/>
            <w:vAlign w:val="bottom"/>
            <w:tcBorders>
              <w:top w:val="single" w:sz="8" w:color="CCEEFF"/>
            </w:tcBorders>
            <w:shd w:val="clear" w:color="auto" w:fill="CCEEFF"/>
          </w:tcPr>
          <w:p>
            <w:pPr>
              <w:spacing w:after="0"/>
              <w:rPr>
                <w:sz w:val="11"/>
                <w:szCs w:val="11"/>
                <w:color w:val="auto"/>
              </w:rPr>
            </w:pPr>
          </w:p>
        </w:tc>
        <w:tc>
          <w:tcPr>
            <w:tcW w:w="2280" w:type="dxa"/>
            <w:vAlign w:val="bottom"/>
            <w:tcBorders>
              <w:top w:val="single" w:sz="8" w:color="CCEEFF"/>
            </w:tcBorders>
            <w:shd w:val="clear" w:color="auto" w:fill="CCEEFF"/>
          </w:tcPr>
          <w:p>
            <w:pPr>
              <w:spacing w:after="0"/>
              <w:rPr>
                <w:sz w:val="11"/>
                <w:szCs w:val="11"/>
                <w:color w:val="auto"/>
              </w:rPr>
            </w:pPr>
          </w:p>
        </w:tc>
        <w:tc>
          <w:tcPr>
            <w:tcW w:w="620" w:type="dxa"/>
            <w:vAlign w:val="bottom"/>
            <w:tcBorders>
              <w:top w:val="single" w:sz="8" w:color="CCEEFF"/>
            </w:tcBorders>
            <w:shd w:val="clear" w:color="auto" w:fill="CCEEFF"/>
          </w:tcPr>
          <w:p>
            <w:pPr>
              <w:spacing w:after="0"/>
              <w:rPr>
                <w:sz w:val="11"/>
                <w:szCs w:val="11"/>
                <w:color w:val="auto"/>
              </w:rPr>
            </w:pPr>
          </w:p>
        </w:tc>
        <w:tc>
          <w:tcPr>
            <w:tcW w:w="700" w:type="dxa"/>
            <w:vAlign w:val="bottom"/>
            <w:tcBorders>
              <w:top w:val="single" w:sz="8" w:color="CCEEFF"/>
            </w:tcBorders>
            <w:shd w:val="clear" w:color="auto" w:fill="CCEEFF"/>
          </w:tcPr>
          <w:p>
            <w:pPr>
              <w:spacing w:after="0"/>
              <w:rPr>
                <w:sz w:val="11"/>
                <w:szCs w:val="11"/>
                <w:color w:val="auto"/>
              </w:rPr>
            </w:pPr>
          </w:p>
        </w:tc>
        <w:tc>
          <w:tcPr>
            <w:tcW w:w="8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CCEEFF"/>
              <w:right w:val="single" w:sz="8" w:color="CCEEFF"/>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00" w:type="dxa"/>
            <w:vAlign w:val="bottom"/>
          </w:tcPr>
          <w:p>
            <w:pPr>
              <w:spacing w:after="0" w:line="149" w:lineRule="exact"/>
              <w:rPr>
                <w:sz w:val="20"/>
                <w:szCs w:val="20"/>
                <w:color w:val="auto"/>
              </w:rPr>
            </w:pPr>
            <w:r>
              <w:rPr>
                <w:rFonts w:ascii="Arial" w:cs="Arial" w:eastAsia="Arial" w:hAnsi="Arial"/>
                <w:sz w:val="14"/>
                <w:szCs w:val="14"/>
                <w:color w:val="auto"/>
              </w:rPr>
              <w:t>U.S. Bank Money Market (a)</w:t>
            </w:r>
          </w:p>
        </w:tc>
        <w:tc>
          <w:tcPr>
            <w:tcW w:w="220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20" w:type="dxa"/>
            <w:vAlign w:val="bottom"/>
            <w:gridSpan w:val="2"/>
          </w:tcPr>
          <w:p>
            <w:pPr>
              <w:jc w:val="right"/>
              <w:spacing w:after="0" w:line="149" w:lineRule="exact"/>
              <w:rPr>
                <w:sz w:val="20"/>
                <w:szCs w:val="20"/>
                <w:color w:val="auto"/>
              </w:rPr>
            </w:pPr>
            <w:r>
              <w:rPr>
                <w:rFonts w:ascii="Arial" w:cs="Arial" w:eastAsia="Arial" w:hAnsi="Arial"/>
                <w:sz w:val="14"/>
                <w:szCs w:val="14"/>
                <w:u w:val="single" w:color="auto"/>
                <w:color w:val="auto"/>
                <w:w w:val="85"/>
              </w:rPr>
              <w:t>$</w:t>
            </w:r>
            <w:r>
              <w:rPr>
                <w:rFonts w:ascii="Arial" w:cs="Arial" w:eastAsia="Arial" w:hAnsi="Arial"/>
                <w:sz w:val="14"/>
                <w:szCs w:val="14"/>
                <w:color w:val="auto"/>
                <w:w w:val="85"/>
              </w:rPr>
              <w:t>6,521,096</w:t>
            </w:r>
          </w:p>
        </w:tc>
        <w:tc>
          <w:tcPr>
            <w:tcW w:w="80" w:type="dxa"/>
            <w:vAlign w:val="bottom"/>
          </w:tcPr>
          <w:p>
            <w:pPr>
              <w:spacing w:after="0"/>
              <w:rPr>
                <w:sz w:val="12"/>
                <w:szCs w:val="12"/>
                <w:color w:val="auto"/>
              </w:rPr>
            </w:pPr>
          </w:p>
        </w:tc>
        <w:tc>
          <w:tcPr>
            <w:tcW w:w="1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6,521,096</w:t>
            </w:r>
          </w:p>
        </w:tc>
        <w:tc>
          <w:tcPr>
            <w:tcW w:w="80" w:type="dxa"/>
            <w:vAlign w:val="bottom"/>
          </w:tcPr>
          <w:p>
            <w:pPr>
              <w:spacing w:after="0"/>
              <w:rPr>
                <w:sz w:val="12"/>
                <w:szCs w:val="12"/>
                <w:color w:val="auto"/>
              </w:rPr>
            </w:pPr>
          </w:p>
        </w:tc>
        <w:tc>
          <w:tcPr>
            <w:tcW w:w="1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6,521,096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200" w:type="dxa"/>
            <w:vAlign w:val="bottom"/>
          </w:tcPr>
          <w:p>
            <w:pPr>
              <w:spacing w:after="0"/>
              <w:rPr>
                <w:sz w:val="2"/>
                <w:szCs w:val="2"/>
                <w:color w:val="auto"/>
              </w:rPr>
            </w:pPr>
          </w:p>
        </w:tc>
        <w:tc>
          <w:tcPr>
            <w:tcW w:w="2200" w:type="dxa"/>
            <w:vAlign w:val="bottom"/>
          </w:tcPr>
          <w:p>
            <w:pPr>
              <w:spacing w:after="0"/>
              <w:rPr>
                <w:sz w:val="2"/>
                <w:szCs w:val="2"/>
                <w:color w:val="auto"/>
              </w:rPr>
            </w:pPr>
          </w:p>
        </w:tc>
        <w:tc>
          <w:tcPr>
            <w:tcW w:w="2280" w:type="dxa"/>
            <w:vAlign w:val="bottom"/>
          </w:tcPr>
          <w:p>
            <w:pPr>
              <w:spacing w:after="0"/>
              <w:rPr>
                <w:sz w:val="2"/>
                <w:szCs w:val="2"/>
                <w:color w:val="auto"/>
              </w:rPr>
            </w:pPr>
          </w:p>
        </w:tc>
        <w:tc>
          <w:tcPr>
            <w:tcW w:w="620" w:type="dxa"/>
            <w:vAlign w:val="bottom"/>
          </w:tcPr>
          <w:p>
            <w:pPr>
              <w:spacing w:after="0"/>
              <w:rPr>
                <w:sz w:val="2"/>
                <w:szCs w:val="2"/>
                <w:color w:val="auto"/>
              </w:rPr>
            </w:pPr>
          </w:p>
        </w:tc>
        <w:tc>
          <w:tcPr>
            <w:tcW w:w="7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22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cash and cash equivalents</w:t>
            </w:r>
          </w:p>
        </w:tc>
        <w:tc>
          <w:tcPr>
            <w:tcW w:w="2200" w:type="dxa"/>
            <w:vAlign w:val="bottom"/>
            <w:shd w:val="clear" w:color="auto" w:fill="CCEEFF"/>
          </w:tcPr>
          <w:p>
            <w:pPr>
              <w:spacing w:after="0"/>
              <w:rPr>
                <w:sz w:val="12"/>
                <w:szCs w:val="12"/>
                <w:color w:val="auto"/>
              </w:rPr>
            </w:pPr>
          </w:p>
        </w:tc>
        <w:tc>
          <w:tcPr>
            <w:tcW w:w="22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u w:val="single" w:color="auto"/>
                <w:color w:val="auto"/>
                <w:w w:val="85"/>
              </w:rPr>
              <w:t>$</w:t>
            </w:r>
            <w:r>
              <w:rPr>
                <w:rFonts w:ascii="Arial" w:cs="Arial" w:eastAsia="Arial" w:hAnsi="Arial"/>
                <w:sz w:val="14"/>
                <w:szCs w:val="14"/>
                <w:b w:val="1"/>
                <w:bCs w:val="1"/>
                <w:color w:val="auto"/>
                <w:w w:val="85"/>
              </w:rPr>
              <w:t>6,521,096</w:t>
            </w:r>
          </w:p>
        </w:tc>
        <w:tc>
          <w:tcPr>
            <w:tcW w:w="8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6,521,096</w:t>
            </w:r>
          </w:p>
        </w:tc>
        <w:tc>
          <w:tcPr>
            <w:tcW w:w="80" w:type="dxa"/>
            <w:vAlign w:val="bottom"/>
            <w:shd w:val="clear" w:color="auto" w:fill="CCEEFF"/>
          </w:tcPr>
          <w:p>
            <w:pPr>
              <w:spacing w:after="0"/>
              <w:rPr>
                <w:sz w:val="12"/>
                <w:szCs w:val="12"/>
                <w:color w:val="auto"/>
              </w:rPr>
            </w:pPr>
          </w:p>
        </w:tc>
        <w:tc>
          <w:tcPr>
            <w:tcW w:w="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6,521,096</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5620" w:right="2000" w:hanging="5612"/>
        <w:spacing w:after="0" w:line="449" w:lineRule="auto"/>
        <w:tabs>
          <w:tab w:leader="none" w:pos="45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Included within cash and cash equivalents in Saratoga CLO’s Statements of Assets and Liabilities as of November 30, 2015. 25</w:t>
      </w:r>
    </w:p>
    <w:p>
      <w:pPr>
        <w:sectPr>
          <w:pgSz w:w="11900" w:h="16838" w:orient="portrait"/>
          <w:cols w:equalWidth="0" w:num="1">
            <w:col w:w="11420"/>
          </w:cols>
          <w:pgMar w:left="240" w:top="127" w:right="239" w:bottom="1440" w:gutter="0" w:footer="0" w:header="0"/>
        </w:sectPr>
      </w:pPr>
    </w:p>
    <w:bookmarkStart w:id="27" w:name="page28"/>
    <w:bookmarkEnd w:id="27"/>
    <w:p>
      <w:pPr>
        <w:spacing w:after="0" w:line="6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Saratoga Investment Corp. CLO 2013-1 Ltd.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of Investments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February 28, 2015</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Asset</w:t>
            </w:r>
          </w:p>
        </w:tc>
        <w:tc>
          <w:tcPr>
            <w:tcW w:w="4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Asset</w:t>
            </w:r>
          </w:p>
        </w:tc>
        <w:tc>
          <w:tcPr>
            <w:tcW w:w="74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8"/>
              </w:rPr>
              <w:t>Current</w:t>
            </w:r>
          </w:p>
        </w:tc>
        <w:tc>
          <w:tcPr>
            <w:tcW w:w="7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9"/>
              </w:rPr>
              <w:t>Maturity</w:t>
            </w:r>
          </w:p>
        </w:tc>
        <w:tc>
          <w:tcPr>
            <w:tcW w:w="760" w:type="dxa"/>
            <w:vAlign w:val="bottom"/>
            <w:gridSpan w:val="3"/>
          </w:tcPr>
          <w:p>
            <w:pPr>
              <w:spacing w:after="0"/>
              <w:rPr>
                <w:sz w:val="20"/>
                <w:szCs w:val="20"/>
                <w:color w:val="auto"/>
              </w:rPr>
            </w:pPr>
            <w:r>
              <w:rPr>
                <w:rFonts w:ascii="Arial" w:cs="Arial" w:eastAsia="Arial" w:hAnsi="Arial"/>
                <w:sz w:val="14"/>
                <w:szCs w:val="14"/>
                <w:b w:val="1"/>
                <w:bCs w:val="1"/>
                <w:color w:val="auto"/>
              </w:rPr>
              <w:t>Principal/</w:t>
            </w: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780" w:type="dxa"/>
            <w:vAlign w:val="bottom"/>
            <w:vMerge w:val="restart"/>
          </w:tcPr>
          <w:p>
            <w:pPr>
              <w:spacing w:after="0"/>
              <w:rPr>
                <w:sz w:val="20"/>
                <w:szCs w:val="20"/>
                <w:color w:val="auto"/>
              </w:rPr>
            </w:pPr>
            <w:r>
              <w:rPr>
                <w:rFonts w:ascii="Arial" w:cs="Arial" w:eastAsia="Arial" w:hAnsi="Arial"/>
                <w:sz w:val="14"/>
                <w:szCs w:val="14"/>
                <w:b w:val="1"/>
                <w:bCs w:val="1"/>
                <w:color w:val="auto"/>
                <w:w w:val="91"/>
              </w:rPr>
              <w:t>Issuer Name</w:t>
            </w:r>
          </w:p>
        </w:tc>
        <w:tc>
          <w:tcPr>
            <w:tcW w:w="3740" w:type="dxa"/>
            <w:vAlign w:val="bottom"/>
            <w:vMerge w:val="restart"/>
          </w:tcPr>
          <w:p>
            <w:pPr>
              <w:spacing w:after="0"/>
              <w:rPr>
                <w:sz w:val="12"/>
                <w:szCs w:val="12"/>
                <w:color w:val="auto"/>
              </w:rPr>
            </w:pPr>
          </w:p>
        </w:tc>
        <w:tc>
          <w:tcPr>
            <w:tcW w:w="1600" w:type="dxa"/>
            <w:vAlign w:val="bottom"/>
            <w:vMerge w:val="restart"/>
          </w:tcPr>
          <w:p>
            <w:pPr>
              <w:ind w:left="540"/>
              <w:spacing w:after="0"/>
              <w:rPr>
                <w:sz w:val="20"/>
                <w:szCs w:val="20"/>
                <w:color w:val="auto"/>
              </w:rPr>
            </w:pPr>
            <w:r>
              <w:rPr>
                <w:rFonts w:ascii="Arial" w:cs="Arial" w:eastAsia="Arial" w:hAnsi="Arial"/>
                <w:sz w:val="14"/>
                <w:szCs w:val="14"/>
                <w:b w:val="1"/>
                <w:bCs w:val="1"/>
                <w:color w:val="auto"/>
              </w:rPr>
              <w:t>Industry</w:t>
            </w:r>
          </w:p>
        </w:tc>
        <w:tc>
          <w:tcPr>
            <w:tcW w:w="10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440" w:type="dxa"/>
            <w:vAlign w:val="bottom"/>
            <w:gridSpan w:val="2"/>
            <w:vMerge w:val="continue"/>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760" w:type="dxa"/>
            <w:vAlign w:val="bottom"/>
            <w:gridSpan w:val="3"/>
          </w:tcPr>
          <w:p>
            <w:pPr>
              <w:ind w:left="40"/>
              <w:spacing w:after="0" w:line="145" w:lineRule="exact"/>
              <w:rPr>
                <w:sz w:val="20"/>
                <w:szCs w:val="20"/>
                <w:color w:val="auto"/>
              </w:rPr>
            </w:pPr>
            <w:r>
              <w:rPr>
                <w:rFonts w:ascii="Arial" w:cs="Arial" w:eastAsia="Arial" w:hAnsi="Arial"/>
                <w:sz w:val="14"/>
                <w:szCs w:val="14"/>
                <w:b w:val="1"/>
                <w:bCs w:val="1"/>
                <w:color w:val="auto"/>
              </w:rPr>
              <w:t>Number</w:t>
            </w:r>
          </w:p>
        </w:tc>
        <w:tc>
          <w:tcPr>
            <w:tcW w:w="140" w:type="dxa"/>
            <w:vAlign w:val="bottom"/>
          </w:tcPr>
          <w:p>
            <w:pPr>
              <w:spacing w:after="0"/>
              <w:rPr>
                <w:sz w:val="12"/>
                <w:szCs w:val="12"/>
                <w:color w:val="auto"/>
              </w:rPr>
            </w:pPr>
          </w:p>
        </w:tc>
        <w:tc>
          <w:tcPr>
            <w:tcW w:w="60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Cost</w:t>
            </w:r>
          </w:p>
        </w:tc>
        <w:tc>
          <w:tcPr>
            <w:tcW w:w="80" w:type="dxa"/>
            <w:vAlign w:val="bottom"/>
            <w:vMerge w:val="restart"/>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Fair Value</w:t>
            </w:r>
          </w:p>
        </w:tc>
        <w:tc>
          <w:tcPr>
            <w:tcW w:w="6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780" w:type="dxa"/>
            <w:vAlign w:val="bottom"/>
            <w:tcBorders>
              <w:bottom w:val="single" w:sz="8" w:color="auto"/>
            </w:tcBorders>
            <w:vMerge w:val="continue"/>
          </w:tcPr>
          <w:p>
            <w:pPr>
              <w:spacing w:after="0"/>
              <w:rPr>
                <w:sz w:val="15"/>
                <w:szCs w:val="15"/>
                <w:color w:val="auto"/>
              </w:rPr>
            </w:pPr>
          </w:p>
        </w:tc>
        <w:tc>
          <w:tcPr>
            <w:tcW w:w="3740" w:type="dxa"/>
            <w:vAlign w:val="bottom"/>
            <w:tcBorders>
              <w:bottom w:val="single" w:sz="8" w:color="CCEEFF"/>
            </w:tcBorders>
            <w:vMerge w:val="continue"/>
          </w:tcPr>
          <w:p>
            <w:pPr>
              <w:spacing w:after="0"/>
              <w:rPr>
                <w:sz w:val="15"/>
                <w:szCs w:val="15"/>
                <w:color w:val="auto"/>
              </w:rPr>
            </w:pPr>
          </w:p>
        </w:tc>
        <w:tc>
          <w:tcPr>
            <w:tcW w:w="160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72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Name</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97"/>
              </w:rPr>
              <w:t>Type</w:t>
            </w:r>
          </w:p>
        </w:tc>
        <w:tc>
          <w:tcPr>
            <w:tcW w:w="80" w:type="dxa"/>
            <w:vAlign w:val="bottom"/>
            <w:tcBorders>
              <w:bottom w:val="single" w:sz="8" w:color="CCEEFF"/>
            </w:tcBorders>
          </w:tcPr>
          <w:p>
            <w:pPr>
              <w:spacing w:after="0"/>
              <w:rPr>
                <w:sz w:val="15"/>
                <w:szCs w:val="15"/>
                <w:color w:val="auto"/>
              </w:rPr>
            </w:pPr>
          </w:p>
        </w:tc>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Rate</w:t>
            </w:r>
          </w:p>
        </w:tc>
        <w:tc>
          <w:tcPr>
            <w:tcW w:w="220" w:type="dxa"/>
            <w:vAlign w:val="bottom"/>
            <w:tcBorders>
              <w:bottom w:val="single" w:sz="8" w:color="CCEEFF"/>
            </w:tcBorders>
          </w:tcPr>
          <w:p>
            <w:pPr>
              <w:spacing w:after="0"/>
              <w:rPr>
                <w:sz w:val="15"/>
                <w:szCs w:val="15"/>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Date</w:t>
            </w:r>
          </w:p>
        </w:tc>
        <w:tc>
          <w:tcPr>
            <w:tcW w:w="100" w:type="dxa"/>
            <w:vAlign w:val="bottom"/>
            <w:tcBorders>
              <w:bottom w:val="single" w:sz="8" w:color="CCEEFF"/>
            </w:tcBorders>
          </w:tcPr>
          <w:p>
            <w:pPr>
              <w:spacing w:after="0"/>
              <w:rPr>
                <w:sz w:val="15"/>
                <w:szCs w:val="15"/>
                <w:color w:val="auto"/>
              </w:rPr>
            </w:pPr>
          </w:p>
        </w:tc>
        <w:tc>
          <w:tcPr>
            <w:tcW w:w="6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87"/>
              </w:rPr>
              <w:t>of Shares</w:t>
            </w:r>
          </w:p>
        </w:tc>
        <w:tc>
          <w:tcPr>
            <w:tcW w:w="16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CCEEFF"/>
            </w:tcBorders>
            <w:vMerge w:val="continue"/>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760" w:type="dxa"/>
            <w:vAlign w:val="bottom"/>
            <w:tcBorders>
              <w:bottom w:val="single" w:sz="8" w:color="auto"/>
            </w:tcBorders>
            <w:gridSpan w:val="2"/>
            <w:vMerge w:val="continue"/>
          </w:tcPr>
          <w:p>
            <w:pPr>
              <w:spacing w:after="0"/>
              <w:rPr>
                <w:sz w:val="15"/>
                <w:szCs w:val="15"/>
                <w:color w:val="auto"/>
              </w:rPr>
            </w:pPr>
          </w:p>
        </w:tc>
        <w:tc>
          <w:tcPr>
            <w:tcW w:w="60" w:type="dxa"/>
            <w:vAlign w:val="bottom"/>
            <w:tcBorders>
              <w:bottom w:val="single" w:sz="8" w:color="CCEEFF"/>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4520" w:type="dxa"/>
            <w:vAlign w:val="bottom"/>
            <w:gridSpan w:val="2"/>
            <w:shd w:val="clear" w:color="auto" w:fill="CCEEFF"/>
          </w:tcPr>
          <w:p>
            <w:pPr>
              <w:spacing w:after="0" w:line="131" w:lineRule="exact"/>
              <w:rPr>
                <w:sz w:val="20"/>
                <w:szCs w:val="20"/>
                <w:color w:val="auto"/>
              </w:rPr>
            </w:pPr>
            <w:r>
              <w:rPr>
                <w:rFonts w:ascii="Arial" w:cs="Arial" w:eastAsia="Arial" w:hAnsi="Arial"/>
                <w:sz w:val="14"/>
                <w:szCs w:val="14"/>
                <w:color w:val="auto"/>
              </w:rPr>
              <w:t>Education Management II LLC</w:t>
            </w:r>
          </w:p>
        </w:tc>
        <w:tc>
          <w:tcPr>
            <w:tcW w:w="1600" w:type="dxa"/>
            <w:vAlign w:val="bottom"/>
            <w:shd w:val="clear" w:color="auto" w:fill="CCEEFF"/>
          </w:tcPr>
          <w:p>
            <w:pPr>
              <w:spacing w:after="0" w:line="131" w:lineRule="exact"/>
              <w:rPr>
                <w:sz w:val="20"/>
                <w:szCs w:val="20"/>
                <w:color w:val="auto"/>
              </w:rPr>
            </w:pPr>
            <w:r>
              <w:rPr>
                <w:rFonts w:ascii="Arial" w:cs="Arial" w:eastAsia="Arial" w:hAnsi="Arial"/>
                <w:sz w:val="14"/>
                <w:szCs w:val="14"/>
                <w:color w:val="auto"/>
              </w:rPr>
              <w:t>Leisure</w:t>
            </w: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line="131" w:lineRule="exact"/>
              <w:rPr>
                <w:sz w:val="20"/>
                <w:szCs w:val="20"/>
                <w:color w:val="auto"/>
              </w:rPr>
            </w:pPr>
            <w:r>
              <w:rPr>
                <w:rFonts w:ascii="Arial" w:cs="Arial" w:eastAsia="Arial" w:hAnsi="Arial"/>
                <w:sz w:val="14"/>
                <w:szCs w:val="14"/>
                <w:color w:val="auto"/>
              </w:rPr>
              <w:t>A-1</w:t>
            </w: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line="131" w:lineRule="exact"/>
              <w:rPr>
                <w:sz w:val="20"/>
                <w:szCs w:val="20"/>
                <w:color w:val="auto"/>
              </w:rPr>
            </w:pPr>
            <w:r>
              <w:rPr>
                <w:rFonts w:ascii="Arial" w:cs="Arial" w:eastAsia="Arial" w:hAnsi="Arial"/>
                <w:sz w:val="14"/>
                <w:szCs w:val="14"/>
                <w:color w:val="auto"/>
                <w:w w:val="87"/>
              </w:rPr>
              <w:t>Equity</w:t>
            </w: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780" w:type="dxa"/>
            <w:vAlign w:val="bottom"/>
            <w:shd w:val="clear" w:color="auto" w:fill="CCEEFF"/>
          </w:tcPr>
          <w:p>
            <w:pPr>
              <w:spacing w:after="0"/>
              <w:rPr>
                <w:sz w:val="12"/>
                <w:szCs w:val="12"/>
                <w:color w:val="auto"/>
              </w:rPr>
            </w:pPr>
          </w:p>
        </w:tc>
        <w:tc>
          <w:tcPr>
            <w:tcW w:w="3740" w:type="dxa"/>
            <w:vAlign w:val="bottom"/>
            <w:shd w:val="clear" w:color="auto" w:fill="CCEEFF"/>
          </w:tcPr>
          <w:p>
            <w:pPr>
              <w:spacing w:after="0"/>
              <w:rPr>
                <w:sz w:val="12"/>
                <w:szCs w:val="12"/>
                <w:color w:val="auto"/>
              </w:rPr>
            </w:pPr>
          </w:p>
        </w:tc>
        <w:tc>
          <w:tcPr>
            <w:tcW w:w="16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Goods/Activities/Movies</w:t>
            </w:r>
          </w:p>
        </w:tc>
        <w:tc>
          <w:tcPr>
            <w:tcW w:w="92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Preferred</w:t>
            </w: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780" w:type="dxa"/>
            <w:vAlign w:val="bottom"/>
            <w:shd w:val="clear" w:color="auto" w:fill="CCEEFF"/>
          </w:tcPr>
          <w:p>
            <w:pPr>
              <w:spacing w:after="0"/>
              <w:rPr>
                <w:sz w:val="13"/>
                <w:szCs w:val="13"/>
                <w:color w:val="auto"/>
              </w:rPr>
            </w:pPr>
          </w:p>
        </w:tc>
        <w:tc>
          <w:tcPr>
            <w:tcW w:w="3740" w:type="dxa"/>
            <w:vAlign w:val="bottom"/>
            <w:shd w:val="clear" w:color="auto" w:fill="CCEEFF"/>
          </w:tcPr>
          <w:p>
            <w:pPr>
              <w:spacing w:after="0"/>
              <w:rPr>
                <w:sz w:val="13"/>
                <w:szCs w:val="13"/>
                <w:color w:val="auto"/>
              </w:rPr>
            </w:pPr>
          </w:p>
        </w:tc>
        <w:tc>
          <w:tcPr>
            <w:tcW w:w="1600" w:type="dxa"/>
            <w:vAlign w:val="bottom"/>
            <w:shd w:val="clear" w:color="auto" w:fill="CCEEFF"/>
          </w:tcPr>
          <w:p>
            <w:pPr>
              <w:spacing w:after="0"/>
              <w:rPr>
                <w:sz w:val="13"/>
                <w:szCs w:val="13"/>
                <w:color w:val="auto"/>
              </w:rPr>
            </w:pPr>
          </w:p>
        </w:tc>
        <w:tc>
          <w:tcPr>
            <w:tcW w:w="920" w:type="dxa"/>
            <w:vAlign w:val="bottom"/>
            <w:gridSpan w:val="3"/>
            <w:shd w:val="clear" w:color="auto" w:fill="CCEEFF"/>
          </w:tcPr>
          <w:p>
            <w:pPr>
              <w:ind w:left="100"/>
              <w:spacing w:after="0" w:line="159" w:lineRule="exact"/>
              <w:rPr>
                <w:sz w:val="20"/>
                <w:szCs w:val="20"/>
                <w:color w:val="auto"/>
              </w:rPr>
            </w:pPr>
            <w:r>
              <w:rPr>
                <w:rFonts w:ascii="Arial" w:cs="Arial" w:eastAsia="Arial" w:hAnsi="Arial"/>
                <w:sz w:val="14"/>
                <w:szCs w:val="14"/>
                <w:color w:val="auto"/>
              </w:rPr>
              <w:t>Shares</w:t>
            </w:r>
          </w:p>
        </w:tc>
        <w:tc>
          <w:tcPr>
            <w:tcW w:w="3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0.00%</w:t>
            </w: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6,692</w:t>
            </w:r>
          </w:p>
        </w:tc>
        <w:tc>
          <w:tcPr>
            <w:tcW w:w="1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76"/>
              </w:rPr>
              <w:t>$</w:t>
            </w:r>
          </w:p>
        </w:tc>
        <w:tc>
          <w:tcPr>
            <w:tcW w:w="68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669,214</w:t>
            </w:r>
          </w:p>
        </w:tc>
        <w:tc>
          <w:tcPr>
            <w:tcW w:w="22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437,188</w:t>
            </w: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4520" w:type="dxa"/>
            <w:vAlign w:val="bottom"/>
            <w:gridSpan w:val="2"/>
          </w:tcPr>
          <w:p>
            <w:pPr>
              <w:spacing w:after="0" w:line="138" w:lineRule="exact"/>
              <w:rPr>
                <w:sz w:val="20"/>
                <w:szCs w:val="20"/>
                <w:color w:val="auto"/>
              </w:rPr>
            </w:pPr>
            <w:r>
              <w:rPr>
                <w:rFonts w:ascii="Arial" w:cs="Arial" w:eastAsia="Arial" w:hAnsi="Arial"/>
                <w:sz w:val="14"/>
                <w:szCs w:val="14"/>
                <w:color w:val="auto"/>
              </w:rPr>
              <w:t>Education Management II LLC</w:t>
            </w:r>
          </w:p>
        </w:tc>
        <w:tc>
          <w:tcPr>
            <w:tcW w:w="1600" w:type="dxa"/>
            <w:vAlign w:val="bottom"/>
          </w:tcPr>
          <w:p>
            <w:pPr>
              <w:spacing w:after="0" w:line="138" w:lineRule="exact"/>
              <w:rPr>
                <w:sz w:val="20"/>
                <w:szCs w:val="20"/>
                <w:color w:val="auto"/>
              </w:rPr>
            </w:pPr>
            <w:r>
              <w:rPr>
                <w:rFonts w:ascii="Arial" w:cs="Arial" w:eastAsia="Arial" w:hAnsi="Arial"/>
                <w:sz w:val="14"/>
                <w:szCs w:val="14"/>
                <w:color w:val="auto"/>
              </w:rPr>
              <w:t>Leisure</w:t>
            </w:r>
          </w:p>
        </w:tc>
        <w:tc>
          <w:tcPr>
            <w:tcW w:w="920" w:type="dxa"/>
            <w:vAlign w:val="bottom"/>
            <w:gridSpan w:val="3"/>
          </w:tcPr>
          <w:p>
            <w:pPr>
              <w:ind w:left="100"/>
              <w:spacing w:after="0" w:line="138" w:lineRule="exact"/>
              <w:rPr>
                <w:sz w:val="20"/>
                <w:szCs w:val="20"/>
                <w:color w:val="auto"/>
              </w:rPr>
            </w:pPr>
            <w:r>
              <w:rPr>
                <w:rFonts w:ascii="Arial" w:cs="Arial" w:eastAsia="Arial" w:hAnsi="Arial"/>
                <w:sz w:val="14"/>
                <w:szCs w:val="14"/>
                <w:color w:val="auto"/>
              </w:rPr>
              <w:t>A-2</w:t>
            </w:r>
          </w:p>
        </w:tc>
        <w:tc>
          <w:tcPr>
            <w:tcW w:w="440" w:type="dxa"/>
            <w:vAlign w:val="bottom"/>
            <w:gridSpan w:val="2"/>
          </w:tcPr>
          <w:p>
            <w:pPr>
              <w:spacing w:after="0" w:line="138" w:lineRule="exact"/>
              <w:rPr>
                <w:sz w:val="20"/>
                <w:szCs w:val="20"/>
                <w:color w:val="auto"/>
              </w:rPr>
            </w:pPr>
            <w:r>
              <w:rPr>
                <w:rFonts w:ascii="Arial" w:cs="Arial" w:eastAsia="Arial" w:hAnsi="Arial"/>
                <w:sz w:val="14"/>
                <w:szCs w:val="14"/>
                <w:color w:val="auto"/>
              </w:rPr>
              <w:t>Equity</w:t>
            </w: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780" w:type="dxa"/>
            <w:vAlign w:val="bottom"/>
          </w:tcPr>
          <w:p>
            <w:pPr>
              <w:spacing w:after="0"/>
              <w:rPr>
                <w:sz w:val="12"/>
                <w:szCs w:val="12"/>
                <w:color w:val="auto"/>
              </w:rPr>
            </w:pPr>
          </w:p>
        </w:tc>
        <w:tc>
          <w:tcPr>
            <w:tcW w:w="3740" w:type="dxa"/>
            <w:vAlign w:val="bottom"/>
          </w:tcPr>
          <w:p>
            <w:pPr>
              <w:spacing w:after="0"/>
              <w:rPr>
                <w:sz w:val="12"/>
                <w:szCs w:val="12"/>
                <w:color w:val="auto"/>
              </w:rPr>
            </w:pPr>
          </w:p>
        </w:tc>
        <w:tc>
          <w:tcPr>
            <w:tcW w:w="1600" w:type="dxa"/>
            <w:vAlign w:val="bottom"/>
          </w:tcPr>
          <w:p>
            <w:pPr>
              <w:spacing w:after="0" w:line="149" w:lineRule="exact"/>
              <w:rPr>
                <w:sz w:val="20"/>
                <w:szCs w:val="20"/>
                <w:color w:val="auto"/>
              </w:rPr>
            </w:pPr>
            <w:r>
              <w:rPr>
                <w:rFonts w:ascii="Arial" w:cs="Arial" w:eastAsia="Arial" w:hAnsi="Arial"/>
                <w:sz w:val="14"/>
                <w:szCs w:val="14"/>
                <w:color w:val="auto"/>
              </w:rPr>
              <w:t>Goods/Activities/Movies</w:t>
            </w:r>
          </w:p>
        </w:tc>
        <w:tc>
          <w:tcPr>
            <w:tcW w:w="92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Preferred</w:t>
            </w: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780" w:type="dxa"/>
            <w:vAlign w:val="bottom"/>
          </w:tcPr>
          <w:p>
            <w:pPr>
              <w:spacing w:after="0"/>
              <w:rPr>
                <w:sz w:val="13"/>
                <w:szCs w:val="13"/>
                <w:color w:val="auto"/>
              </w:rPr>
            </w:pPr>
          </w:p>
        </w:tc>
        <w:tc>
          <w:tcPr>
            <w:tcW w:w="374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920" w:type="dxa"/>
            <w:vAlign w:val="bottom"/>
            <w:gridSpan w:val="3"/>
          </w:tcPr>
          <w:p>
            <w:pPr>
              <w:ind w:left="100"/>
              <w:spacing w:after="0" w:line="159" w:lineRule="exact"/>
              <w:rPr>
                <w:sz w:val="20"/>
                <w:szCs w:val="20"/>
                <w:color w:val="auto"/>
              </w:rPr>
            </w:pPr>
            <w:r>
              <w:rPr>
                <w:rFonts w:ascii="Arial" w:cs="Arial" w:eastAsia="Arial" w:hAnsi="Arial"/>
                <w:sz w:val="14"/>
                <w:szCs w:val="14"/>
                <w:color w:val="auto"/>
              </w:rPr>
              <w:t>Shares</w:t>
            </w: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0.00%</w:t>
            </w: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18,975</w:t>
            </w:r>
          </w:p>
        </w:tc>
        <w:tc>
          <w:tcPr>
            <w:tcW w:w="140" w:type="dxa"/>
            <w:vAlign w:val="bottom"/>
          </w:tcPr>
          <w:p>
            <w:pPr>
              <w:spacing w:after="0"/>
              <w:rPr>
                <w:sz w:val="13"/>
                <w:szCs w:val="13"/>
                <w:color w:val="auto"/>
              </w:rPr>
            </w:pPr>
          </w:p>
        </w:tc>
        <w:tc>
          <w:tcPr>
            <w:tcW w:w="68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w w:val="93"/>
              </w:rPr>
              <w:t>1,897,538</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jc w:val="right"/>
              <w:spacing w:after="0" w:line="159" w:lineRule="exact"/>
              <w:rPr>
                <w:sz w:val="20"/>
                <w:szCs w:val="20"/>
                <w:color w:val="auto"/>
              </w:rPr>
            </w:pPr>
            <w:r>
              <w:rPr>
                <w:rFonts w:ascii="Arial" w:cs="Arial" w:eastAsia="Arial" w:hAnsi="Arial"/>
                <w:sz w:val="14"/>
                <w:szCs w:val="14"/>
                <w:color w:val="auto"/>
              </w:rPr>
              <w:t>180,263</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452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24 Hour Holdings III LLC</w:t>
            </w:r>
          </w:p>
        </w:tc>
        <w:tc>
          <w:tcPr>
            <w:tcW w:w="160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Leisure</w:t>
            </w:r>
          </w:p>
        </w:tc>
        <w:tc>
          <w:tcPr>
            <w:tcW w:w="920" w:type="dxa"/>
            <w:vAlign w:val="bottom"/>
            <w:gridSpan w:val="3"/>
            <w:shd w:val="clear" w:color="auto" w:fill="CCEEFF"/>
          </w:tcPr>
          <w:p>
            <w:pPr>
              <w:ind w:left="100"/>
              <w:spacing w:after="0" w:line="138" w:lineRule="exact"/>
              <w:rPr>
                <w:sz w:val="20"/>
                <w:szCs w:val="20"/>
                <w:color w:val="auto"/>
              </w:rPr>
            </w:pPr>
            <w:r>
              <w:rPr>
                <w:rFonts w:ascii="Arial" w:cs="Arial" w:eastAsia="Arial" w:hAnsi="Arial"/>
                <w:sz w:val="14"/>
                <w:szCs w:val="14"/>
                <w:color w:val="auto"/>
              </w:rPr>
              <w:t>Term Loan</w:t>
            </w:r>
          </w:p>
        </w:tc>
        <w:tc>
          <w:tcPr>
            <w:tcW w:w="44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Loan</w:t>
            </w:r>
          </w:p>
        </w:tc>
        <w:tc>
          <w:tcPr>
            <w:tcW w:w="5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780" w:type="dxa"/>
            <w:vAlign w:val="bottom"/>
            <w:shd w:val="clear" w:color="auto" w:fill="CCEEFF"/>
          </w:tcPr>
          <w:p>
            <w:pPr>
              <w:spacing w:after="0"/>
              <w:rPr>
                <w:sz w:val="13"/>
                <w:szCs w:val="13"/>
                <w:color w:val="auto"/>
              </w:rPr>
            </w:pPr>
          </w:p>
        </w:tc>
        <w:tc>
          <w:tcPr>
            <w:tcW w:w="3740" w:type="dxa"/>
            <w:vAlign w:val="bottom"/>
            <w:shd w:val="clear" w:color="auto" w:fill="CCEEFF"/>
          </w:tcPr>
          <w:p>
            <w:pPr>
              <w:spacing w:after="0"/>
              <w:rPr>
                <w:sz w:val="13"/>
                <w:szCs w:val="13"/>
                <w:color w:val="auto"/>
              </w:rPr>
            </w:pPr>
          </w:p>
        </w:tc>
        <w:tc>
          <w:tcPr>
            <w:tcW w:w="160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Goods/Activities/Movies</w:t>
            </w: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4.75%</w:t>
            </w:r>
          </w:p>
        </w:tc>
        <w:tc>
          <w:tcPr>
            <w:tcW w:w="72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w w:val="96"/>
              </w:rPr>
              <w:t>5/28/2021</w:t>
            </w: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497,500</w:t>
            </w:r>
          </w:p>
        </w:tc>
        <w:tc>
          <w:tcPr>
            <w:tcW w:w="14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493,004</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492,276</w:t>
            </w: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4520" w:type="dxa"/>
            <w:vAlign w:val="bottom"/>
            <w:gridSpan w:val="2"/>
          </w:tcPr>
          <w:p>
            <w:pPr>
              <w:spacing w:after="0" w:line="138" w:lineRule="exact"/>
              <w:rPr>
                <w:sz w:val="20"/>
                <w:szCs w:val="20"/>
                <w:color w:val="auto"/>
              </w:rPr>
            </w:pPr>
            <w:r>
              <w:rPr>
                <w:rFonts w:ascii="Arial" w:cs="Arial" w:eastAsia="Arial" w:hAnsi="Arial"/>
                <w:sz w:val="14"/>
                <w:szCs w:val="14"/>
                <w:color w:val="auto"/>
              </w:rPr>
              <w:t>Acosta Holdco Inc.</w:t>
            </w:r>
          </w:p>
        </w:tc>
        <w:tc>
          <w:tcPr>
            <w:tcW w:w="1600" w:type="dxa"/>
            <w:vAlign w:val="bottom"/>
          </w:tcPr>
          <w:p>
            <w:pPr>
              <w:spacing w:after="0" w:line="138" w:lineRule="exact"/>
              <w:rPr>
                <w:sz w:val="20"/>
                <w:szCs w:val="20"/>
                <w:color w:val="auto"/>
              </w:rPr>
            </w:pPr>
            <w:r>
              <w:rPr>
                <w:rFonts w:ascii="Arial" w:cs="Arial" w:eastAsia="Arial" w:hAnsi="Arial"/>
                <w:sz w:val="14"/>
                <w:szCs w:val="14"/>
                <w:color w:val="auto"/>
              </w:rPr>
              <w:t>Media</w:t>
            </w:r>
          </w:p>
        </w:tc>
        <w:tc>
          <w:tcPr>
            <w:tcW w:w="920" w:type="dxa"/>
            <w:vAlign w:val="bottom"/>
            <w:gridSpan w:val="3"/>
          </w:tcPr>
          <w:p>
            <w:pPr>
              <w:ind w:left="100"/>
              <w:spacing w:after="0" w:line="138" w:lineRule="exact"/>
              <w:rPr>
                <w:sz w:val="20"/>
                <w:szCs w:val="20"/>
                <w:color w:val="auto"/>
              </w:rPr>
            </w:pPr>
            <w:r>
              <w:rPr>
                <w:rFonts w:ascii="Arial" w:cs="Arial" w:eastAsia="Arial" w:hAnsi="Arial"/>
                <w:sz w:val="14"/>
                <w:szCs w:val="14"/>
                <w:color w:val="auto"/>
              </w:rPr>
              <w:t>Term Loan</w:t>
            </w:r>
          </w:p>
        </w:tc>
        <w:tc>
          <w:tcPr>
            <w:tcW w:w="440" w:type="dxa"/>
            <w:vAlign w:val="bottom"/>
            <w:gridSpan w:val="2"/>
          </w:tcPr>
          <w:p>
            <w:pPr>
              <w:spacing w:after="0" w:line="138" w:lineRule="exact"/>
              <w:rPr>
                <w:sz w:val="20"/>
                <w:szCs w:val="20"/>
                <w:color w:val="auto"/>
              </w:rPr>
            </w:pPr>
            <w:r>
              <w:rPr>
                <w:rFonts w:ascii="Arial" w:cs="Arial" w:eastAsia="Arial" w:hAnsi="Arial"/>
                <w:sz w:val="14"/>
                <w:szCs w:val="14"/>
                <w:color w:val="auto"/>
              </w:rPr>
              <w:t>Loan</w:t>
            </w: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780" w:type="dxa"/>
            <w:vAlign w:val="bottom"/>
          </w:tcPr>
          <w:p>
            <w:pPr>
              <w:spacing w:after="0"/>
              <w:rPr>
                <w:sz w:val="13"/>
                <w:szCs w:val="13"/>
                <w:color w:val="auto"/>
              </w:rPr>
            </w:pPr>
          </w:p>
        </w:tc>
        <w:tc>
          <w:tcPr>
            <w:tcW w:w="374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920" w:type="dxa"/>
            <w:vAlign w:val="bottom"/>
            <w:gridSpan w:val="3"/>
          </w:tcPr>
          <w:p>
            <w:pPr>
              <w:ind w:left="100"/>
              <w:spacing w:after="0" w:line="159" w:lineRule="exact"/>
              <w:rPr>
                <w:sz w:val="20"/>
                <w:szCs w:val="20"/>
                <w:color w:val="auto"/>
              </w:rPr>
            </w:pPr>
            <w:r>
              <w:rPr>
                <w:rFonts w:ascii="Arial" w:cs="Arial" w:eastAsia="Arial" w:hAnsi="Arial"/>
                <w:sz w:val="14"/>
                <w:szCs w:val="14"/>
                <w:color w:val="auto"/>
              </w:rPr>
              <w:t>B</w:t>
            </w: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5.00%</w:t>
            </w:r>
          </w:p>
        </w:tc>
        <w:tc>
          <w:tcPr>
            <w:tcW w:w="72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w w:val="96"/>
              </w:rPr>
              <w:t>9/27/2021</w:t>
            </w: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70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w w:val="83"/>
              </w:rPr>
              <w:t>1,995,000</w:t>
            </w:r>
          </w:p>
        </w:tc>
        <w:tc>
          <w:tcPr>
            <w:tcW w:w="140" w:type="dxa"/>
            <w:vAlign w:val="bottom"/>
          </w:tcPr>
          <w:p>
            <w:pPr>
              <w:spacing w:after="0"/>
              <w:rPr>
                <w:sz w:val="13"/>
                <w:szCs w:val="13"/>
                <w:color w:val="auto"/>
              </w:rPr>
            </w:pPr>
          </w:p>
        </w:tc>
        <w:tc>
          <w:tcPr>
            <w:tcW w:w="68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w w:val="93"/>
              </w:rPr>
              <w:t>1,981,328</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jc w:val="right"/>
              <w:spacing w:after="0" w:line="159" w:lineRule="exact"/>
              <w:rPr>
                <w:sz w:val="20"/>
                <w:szCs w:val="20"/>
                <w:color w:val="auto"/>
              </w:rPr>
            </w:pPr>
            <w:r>
              <w:rPr>
                <w:rFonts w:ascii="Arial" w:cs="Arial" w:eastAsia="Arial" w:hAnsi="Arial"/>
                <w:sz w:val="14"/>
                <w:szCs w:val="14"/>
                <w:color w:val="auto"/>
                <w:w w:val="96"/>
              </w:rPr>
              <w:t>2,004,416</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452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Aderant North America, Inc.</w:t>
            </w:r>
          </w:p>
        </w:tc>
        <w:tc>
          <w:tcPr>
            <w:tcW w:w="160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Services: Business</w:t>
            </w:r>
          </w:p>
        </w:tc>
        <w:tc>
          <w:tcPr>
            <w:tcW w:w="920" w:type="dxa"/>
            <w:vAlign w:val="bottom"/>
            <w:gridSpan w:val="3"/>
            <w:shd w:val="clear" w:color="auto" w:fill="CCEEFF"/>
          </w:tcPr>
          <w:p>
            <w:pPr>
              <w:ind w:left="100"/>
              <w:spacing w:after="0" w:line="138" w:lineRule="exact"/>
              <w:rPr>
                <w:sz w:val="20"/>
                <w:szCs w:val="20"/>
                <w:color w:val="auto"/>
              </w:rPr>
            </w:pPr>
            <w:r>
              <w:rPr>
                <w:rFonts w:ascii="Arial" w:cs="Arial" w:eastAsia="Arial" w:hAnsi="Arial"/>
                <w:sz w:val="14"/>
                <w:szCs w:val="14"/>
                <w:color w:val="auto"/>
              </w:rPr>
              <w:t>Term Loan</w:t>
            </w:r>
          </w:p>
        </w:tc>
        <w:tc>
          <w:tcPr>
            <w:tcW w:w="44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Loan</w:t>
            </w:r>
          </w:p>
        </w:tc>
        <w:tc>
          <w:tcPr>
            <w:tcW w:w="5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780" w:type="dxa"/>
            <w:vAlign w:val="bottom"/>
            <w:shd w:val="clear" w:color="auto" w:fill="CCEEFF"/>
          </w:tcPr>
          <w:p>
            <w:pPr>
              <w:spacing w:after="0"/>
              <w:rPr>
                <w:sz w:val="13"/>
                <w:szCs w:val="13"/>
                <w:color w:val="auto"/>
              </w:rPr>
            </w:pPr>
          </w:p>
        </w:tc>
        <w:tc>
          <w:tcPr>
            <w:tcW w:w="3740" w:type="dxa"/>
            <w:vAlign w:val="bottom"/>
            <w:shd w:val="clear" w:color="auto" w:fill="CCEEFF"/>
          </w:tcPr>
          <w:p>
            <w:pPr>
              <w:spacing w:after="0"/>
              <w:rPr>
                <w:sz w:val="13"/>
                <w:szCs w:val="13"/>
                <w:color w:val="auto"/>
              </w:rPr>
            </w:pPr>
          </w:p>
        </w:tc>
        <w:tc>
          <w:tcPr>
            <w:tcW w:w="1600" w:type="dxa"/>
            <w:vAlign w:val="bottom"/>
            <w:shd w:val="clear" w:color="auto" w:fill="CCEEFF"/>
          </w:tcPr>
          <w:p>
            <w:pPr>
              <w:spacing w:after="0"/>
              <w:rPr>
                <w:sz w:val="13"/>
                <w:szCs w:val="13"/>
                <w:color w:val="auto"/>
              </w:rPr>
            </w:pPr>
          </w:p>
        </w:tc>
        <w:tc>
          <w:tcPr>
            <w:tcW w:w="920" w:type="dxa"/>
            <w:vAlign w:val="bottom"/>
            <w:gridSpan w:val="3"/>
            <w:shd w:val="clear" w:color="auto" w:fill="CCEEFF"/>
          </w:tcPr>
          <w:p>
            <w:pPr>
              <w:ind w:left="100"/>
              <w:spacing w:after="0" w:line="159" w:lineRule="exact"/>
              <w:rPr>
                <w:sz w:val="20"/>
                <w:szCs w:val="20"/>
                <w:color w:val="auto"/>
              </w:rPr>
            </w:pPr>
            <w:r>
              <w:rPr>
                <w:rFonts w:ascii="Arial" w:cs="Arial" w:eastAsia="Arial" w:hAnsi="Arial"/>
                <w:sz w:val="14"/>
                <w:szCs w:val="14"/>
                <w:color w:val="auto"/>
              </w:rPr>
              <w:t>(First Lien)</w:t>
            </w:r>
          </w:p>
        </w:tc>
        <w:tc>
          <w:tcPr>
            <w:tcW w:w="3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5.25%</w:t>
            </w:r>
          </w:p>
        </w:tc>
        <w:tc>
          <w:tcPr>
            <w:tcW w:w="72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w w:val="85"/>
              </w:rPr>
              <w:t>12/20/2018</w:t>
            </w: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w w:val="83"/>
              </w:rPr>
              <w:t>3,260,898</w:t>
            </w:r>
          </w:p>
        </w:tc>
        <w:tc>
          <w:tcPr>
            <w:tcW w:w="14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w w:val="93"/>
              </w:rPr>
              <w:t>3,260,898</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96"/>
              </w:rPr>
              <w:t>3,240,517</w:t>
            </w: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4520" w:type="dxa"/>
            <w:vAlign w:val="bottom"/>
            <w:gridSpan w:val="2"/>
          </w:tcPr>
          <w:p>
            <w:pPr>
              <w:spacing w:after="0" w:line="138" w:lineRule="exact"/>
              <w:rPr>
                <w:sz w:val="20"/>
                <w:szCs w:val="20"/>
                <w:color w:val="auto"/>
              </w:rPr>
            </w:pPr>
            <w:r>
              <w:rPr>
                <w:rFonts w:ascii="Arial" w:cs="Arial" w:eastAsia="Arial" w:hAnsi="Arial"/>
                <w:sz w:val="14"/>
                <w:szCs w:val="14"/>
                <w:color w:val="auto"/>
              </w:rPr>
              <w:t>Advantage Sales &amp; Marketing Inc.</w:t>
            </w:r>
          </w:p>
        </w:tc>
        <w:tc>
          <w:tcPr>
            <w:tcW w:w="1600" w:type="dxa"/>
            <w:vAlign w:val="bottom"/>
          </w:tcPr>
          <w:p>
            <w:pPr>
              <w:spacing w:after="0" w:line="138" w:lineRule="exact"/>
              <w:rPr>
                <w:sz w:val="20"/>
                <w:szCs w:val="20"/>
                <w:color w:val="auto"/>
              </w:rPr>
            </w:pPr>
            <w:r>
              <w:rPr>
                <w:rFonts w:ascii="Arial" w:cs="Arial" w:eastAsia="Arial" w:hAnsi="Arial"/>
                <w:sz w:val="14"/>
                <w:szCs w:val="14"/>
                <w:color w:val="auto"/>
              </w:rPr>
              <w:t>Services: Business</w:t>
            </w:r>
          </w:p>
        </w:tc>
        <w:tc>
          <w:tcPr>
            <w:tcW w:w="920" w:type="dxa"/>
            <w:vAlign w:val="bottom"/>
            <w:gridSpan w:val="3"/>
          </w:tcPr>
          <w:p>
            <w:pPr>
              <w:ind w:left="100"/>
              <w:spacing w:after="0" w:line="138" w:lineRule="exact"/>
              <w:rPr>
                <w:sz w:val="20"/>
                <w:szCs w:val="20"/>
                <w:color w:val="auto"/>
              </w:rPr>
            </w:pPr>
            <w:r>
              <w:rPr>
                <w:rFonts w:ascii="Arial" w:cs="Arial" w:eastAsia="Arial" w:hAnsi="Arial"/>
                <w:sz w:val="14"/>
                <w:szCs w:val="14"/>
                <w:color w:val="auto"/>
              </w:rPr>
              <w:t>Delayed</w:t>
            </w:r>
          </w:p>
        </w:tc>
        <w:tc>
          <w:tcPr>
            <w:tcW w:w="440" w:type="dxa"/>
            <w:vAlign w:val="bottom"/>
            <w:gridSpan w:val="2"/>
          </w:tcPr>
          <w:p>
            <w:pPr>
              <w:spacing w:after="0" w:line="138" w:lineRule="exact"/>
              <w:rPr>
                <w:sz w:val="20"/>
                <w:szCs w:val="20"/>
                <w:color w:val="auto"/>
              </w:rPr>
            </w:pPr>
            <w:r>
              <w:rPr>
                <w:rFonts w:ascii="Arial" w:cs="Arial" w:eastAsia="Arial" w:hAnsi="Arial"/>
                <w:sz w:val="14"/>
                <w:szCs w:val="14"/>
                <w:color w:val="auto"/>
              </w:rPr>
              <w:t>Loan</w:t>
            </w: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780" w:type="dxa"/>
            <w:vAlign w:val="bottom"/>
          </w:tcPr>
          <w:p>
            <w:pPr>
              <w:spacing w:after="0"/>
              <w:rPr>
                <w:sz w:val="12"/>
                <w:szCs w:val="12"/>
                <w:color w:val="auto"/>
              </w:rPr>
            </w:pPr>
          </w:p>
        </w:tc>
        <w:tc>
          <w:tcPr>
            <w:tcW w:w="374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92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Draw Term</w:t>
            </w: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780" w:type="dxa"/>
            <w:vAlign w:val="bottom"/>
          </w:tcPr>
          <w:p>
            <w:pPr>
              <w:spacing w:after="0"/>
              <w:rPr>
                <w:sz w:val="13"/>
                <w:szCs w:val="13"/>
                <w:color w:val="auto"/>
              </w:rPr>
            </w:pPr>
          </w:p>
        </w:tc>
        <w:tc>
          <w:tcPr>
            <w:tcW w:w="374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920" w:type="dxa"/>
            <w:vAlign w:val="bottom"/>
            <w:gridSpan w:val="3"/>
          </w:tcPr>
          <w:p>
            <w:pPr>
              <w:ind w:left="100"/>
              <w:spacing w:after="0" w:line="159" w:lineRule="exact"/>
              <w:rPr>
                <w:sz w:val="20"/>
                <w:szCs w:val="20"/>
                <w:color w:val="auto"/>
              </w:rPr>
            </w:pPr>
            <w:r>
              <w:rPr>
                <w:rFonts w:ascii="Arial" w:cs="Arial" w:eastAsia="Arial" w:hAnsi="Arial"/>
                <w:sz w:val="14"/>
                <w:szCs w:val="14"/>
                <w:color w:val="auto"/>
              </w:rPr>
              <w:t>Loan</w:t>
            </w: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4.25%</w:t>
            </w:r>
          </w:p>
        </w:tc>
        <w:tc>
          <w:tcPr>
            <w:tcW w:w="72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w w:val="96"/>
              </w:rPr>
              <w:t>7/25/2021</w:t>
            </w: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70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w w:val="83"/>
              </w:rPr>
              <w:t>1,995,000</w:t>
            </w:r>
          </w:p>
        </w:tc>
        <w:tc>
          <w:tcPr>
            <w:tcW w:w="140" w:type="dxa"/>
            <w:vAlign w:val="bottom"/>
          </w:tcPr>
          <w:p>
            <w:pPr>
              <w:spacing w:after="0"/>
              <w:rPr>
                <w:sz w:val="13"/>
                <w:szCs w:val="13"/>
                <w:color w:val="auto"/>
              </w:rPr>
            </w:pPr>
          </w:p>
        </w:tc>
        <w:tc>
          <w:tcPr>
            <w:tcW w:w="68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w w:val="93"/>
              </w:rPr>
              <w:t>1,993,940</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jc w:val="right"/>
              <w:spacing w:after="0" w:line="159" w:lineRule="exact"/>
              <w:rPr>
                <w:sz w:val="20"/>
                <w:szCs w:val="20"/>
                <w:color w:val="auto"/>
              </w:rPr>
            </w:pPr>
            <w:r>
              <w:rPr>
                <w:rFonts w:ascii="Arial" w:cs="Arial" w:eastAsia="Arial" w:hAnsi="Arial"/>
                <w:sz w:val="14"/>
                <w:szCs w:val="14"/>
                <w:color w:val="auto"/>
                <w:w w:val="96"/>
              </w:rPr>
              <w:t>1,984,287</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452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AECOM Technology Corporation</w:t>
            </w:r>
          </w:p>
        </w:tc>
        <w:tc>
          <w:tcPr>
            <w:tcW w:w="160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Services: Business</w:t>
            </w:r>
          </w:p>
        </w:tc>
        <w:tc>
          <w:tcPr>
            <w:tcW w:w="920" w:type="dxa"/>
            <w:vAlign w:val="bottom"/>
            <w:gridSpan w:val="3"/>
            <w:shd w:val="clear" w:color="auto" w:fill="CCEEFF"/>
          </w:tcPr>
          <w:p>
            <w:pPr>
              <w:ind w:left="100"/>
              <w:spacing w:after="0" w:line="138" w:lineRule="exact"/>
              <w:rPr>
                <w:sz w:val="20"/>
                <w:szCs w:val="20"/>
                <w:color w:val="auto"/>
              </w:rPr>
            </w:pPr>
            <w:r>
              <w:rPr>
                <w:rFonts w:ascii="Arial" w:cs="Arial" w:eastAsia="Arial" w:hAnsi="Arial"/>
                <w:sz w:val="14"/>
                <w:szCs w:val="14"/>
                <w:color w:val="auto"/>
              </w:rPr>
              <w:t>Term Loan</w:t>
            </w:r>
          </w:p>
        </w:tc>
        <w:tc>
          <w:tcPr>
            <w:tcW w:w="44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Loan</w:t>
            </w:r>
          </w:p>
        </w:tc>
        <w:tc>
          <w:tcPr>
            <w:tcW w:w="5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780" w:type="dxa"/>
            <w:vAlign w:val="bottom"/>
            <w:shd w:val="clear" w:color="auto" w:fill="CCEEFF"/>
          </w:tcPr>
          <w:p>
            <w:pPr>
              <w:spacing w:after="0"/>
              <w:rPr>
                <w:sz w:val="13"/>
                <w:szCs w:val="13"/>
                <w:color w:val="auto"/>
              </w:rPr>
            </w:pPr>
          </w:p>
        </w:tc>
        <w:tc>
          <w:tcPr>
            <w:tcW w:w="3740" w:type="dxa"/>
            <w:vAlign w:val="bottom"/>
            <w:shd w:val="clear" w:color="auto" w:fill="CCEEFF"/>
          </w:tcPr>
          <w:p>
            <w:pPr>
              <w:spacing w:after="0"/>
              <w:rPr>
                <w:sz w:val="13"/>
                <w:szCs w:val="13"/>
                <w:color w:val="auto"/>
              </w:rPr>
            </w:pPr>
          </w:p>
        </w:tc>
        <w:tc>
          <w:tcPr>
            <w:tcW w:w="1600" w:type="dxa"/>
            <w:vAlign w:val="bottom"/>
            <w:shd w:val="clear" w:color="auto" w:fill="CCEEFF"/>
          </w:tcPr>
          <w:p>
            <w:pPr>
              <w:spacing w:after="0"/>
              <w:rPr>
                <w:sz w:val="13"/>
                <w:szCs w:val="13"/>
                <w:color w:val="auto"/>
              </w:rPr>
            </w:pPr>
          </w:p>
        </w:tc>
        <w:tc>
          <w:tcPr>
            <w:tcW w:w="920" w:type="dxa"/>
            <w:vAlign w:val="bottom"/>
            <w:gridSpan w:val="3"/>
            <w:shd w:val="clear" w:color="auto" w:fill="CCEEFF"/>
          </w:tcPr>
          <w:p>
            <w:pPr>
              <w:ind w:left="100"/>
              <w:spacing w:after="0" w:line="159" w:lineRule="exact"/>
              <w:rPr>
                <w:sz w:val="20"/>
                <w:szCs w:val="20"/>
                <w:color w:val="auto"/>
              </w:rPr>
            </w:pPr>
            <w:r>
              <w:rPr>
                <w:rFonts w:ascii="Arial" w:cs="Arial" w:eastAsia="Arial" w:hAnsi="Arial"/>
                <w:sz w:val="14"/>
                <w:szCs w:val="14"/>
                <w:color w:val="auto"/>
              </w:rPr>
              <w:t>B</w:t>
            </w:r>
          </w:p>
        </w:tc>
        <w:tc>
          <w:tcPr>
            <w:tcW w:w="3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3.75%</w:t>
            </w:r>
          </w:p>
        </w:tc>
        <w:tc>
          <w:tcPr>
            <w:tcW w:w="72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w w:val="85"/>
              </w:rPr>
              <w:t>10/15/2021</w:t>
            </w: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319,903</w:t>
            </w:r>
          </w:p>
        </w:tc>
        <w:tc>
          <w:tcPr>
            <w:tcW w:w="14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318,380</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321,304</w:t>
            </w: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4520" w:type="dxa"/>
            <w:vAlign w:val="bottom"/>
            <w:gridSpan w:val="2"/>
          </w:tcPr>
          <w:p>
            <w:pPr>
              <w:spacing w:after="0" w:line="138" w:lineRule="exact"/>
              <w:rPr>
                <w:sz w:val="20"/>
                <w:szCs w:val="20"/>
                <w:color w:val="auto"/>
              </w:rPr>
            </w:pPr>
            <w:r>
              <w:rPr>
                <w:rFonts w:ascii="Arial" w:cs="Arial" w:eastAsia="Arial" w:hAnsi="Arial"/>
                <w:sz w:val="14"/>
                <w:szCs w:val="14"/>
                <w:color w:val="auto"/>
              </w:rPr>
              <w:t>Aegis Toxicology Science Corporation</w:t>
            </w:r>
          </w:p>
        </w:tc>
        <w:tc>
          <w:tcPr>
            <w:tcW w:w="1600" w:type="dxa"/>
            <w:vAlign w:val="bottom"/>
          </w:tcPr>
          <w:p>
            <w:pPr>
              <w:spacing w:after="0" w:line="138" w:lineRule="exact"/>
              <w:rPr>
                <w:sz w:val="20"/>
                <w:szCs w:val="20"/>
                <w:color w:val="auto"/>
              </w:rPr>
            </w:pPr>
            <w:r>
              <w:rPr>
                <w:rFonts w:ascii="Arial" w:cs="Arial" w:eastAsia="Arial" w:hAnsi="Arial"/>
                <w:sz w:val="14"/>
                <w:szCs w:val="14"/>
                <w:color w:val="auto"/>
              </w:rPr>
              <w:t>Healthcare &amp;</w:t>
            </w:r>
          </w:p>
        </w:tc>
        <w:tc>
          <w:tcPr>
            <w:tcW w:w="920" w:type="dxa"/>
            <w:vAlign w:val="bottom"/>
            <w:gridSpan w:val="3"/>
          </w:tcPr>
          <w:p>
            <w:pPr>
              <w:ind w:left="100"/>
              <w:spacing w:after="0" w:line="138" w:lineRule="exact"/>
              <w:rPr>
                <w:sz w:val="20"/>
                <w:szCs w:val="20"/>
                <w:color w:val="auto"/>
              </w:rPr>
            </w:pPr>
            <w:r>
              <w:rPr>
                <w:rFonts w:ascii="Arial" w:cs="Arial" w:eastAsia="Arial" w:hAnsi="Arial"/>
                <w:sz w:val="14"/>
                <w:szCs w:val="14"/>
                <w:color w:val="auto"/>
              </w:rPr>
              <w:t>Term B</w:t>
            </w:r>
          </w:p>
        </w:tc>
        <w:tc>
          <w:tcPr>
            <w:tcW w:w="440" w:type="dxa"/>
            <w:vAlign w:val="bottom"/>
            <w:gridSpan w:val="2"/>
          </w:tcPr>
          <w:p>
            <w:pPr>
              <w:spacing w:after="0" w:line="138" w:lineRule="exact"/>
              <w:rPr>
                <w:sz w:val="20"/>
                <w:szCs w:val="20"/>
                <w:color w:val="auto"/>
              </w:rPr>
            </w:pPr>
            <w:r>
              <w:rPr>
                <w:rFonts w:ascii="Arial" w:cs="Arial" w:eastAsia="Arial" w:hAnsi="Arial"/>
                <w:sz w:val="14"/>
                <w:szCs w:val="14"/>
                <w:color w:val="auto"/>
              </w:rPr>
              <w:t>Loan</w:t>
            </w: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780" w:type="dxa"/>
            <w:vAlign w:val="bottom"/>
          </w:tcPr>
          <w:p>
            <w:pPr>
              <w:spacing w:after="0"/>
              <w:rPr>
                <w:sz w:val="13"/>
                <w:szCs w:val="13"/>
                <w:color w:val="auto"/>
              </w:rPr>
            </w:pPr>
          </w:p>
        </w:tc>
        <w:tc>
          <w:tcPr>
            <w:tcW w:w="3740" w:type="dxa"/>
            <w:vAlign w:val="bottom"/>
          </w:tcPr>
          <w:p>
            <w:pPr>
              <w:spacing w:after="0"/>
              <w:rPr>
                <w:sz w:val="13"/>
                <w:szCs w:val="13"/>
                <w:color w:val="auto"/>
              </w:rPr>
            </w:pPr>
          </w:p>
        </w:tc>
        <w:tc>
          <w:tcPr>
            <w:tcW w:w="1600" w:type="dxa"/>
            <w:vAlign w:val="bottom"/>
          </w:tcPr>
          <w:p>
            <w:pPr>
              <w:spacing w:after="0" w:line="159" w:lineRule="exact"/>
              <w:rPr>
                <w:sz w:val="20"/>
                <w:szCs w:val="20"/>
                <w:color w:val="auto"/>
              </w:rPr>
            </w:pPr>
            <w:r>
              <w:rPr>
                <w:rFonts w:ascii="Arial" w:cs="Arial" w:eastAsia="Arial" w:hAnsi="Arial"/>
                <w:sz w:val="14"/>
                <w:szCs w:val="14"/>
                <w:color w:val="auto"/>
              </w:rPr>
              <w:t>Pharmaceuticals</w:t>
            </w:r>
          </w:p>
        </w:tc>
        <w:tc>
          <w:tcPr>
            <w:tcW w:w="920" w:type="dxa"/>
            <w:vAlign w:val="bottom"/>
            <w:gridSpan w:val="3"/>
          </w:tcPr>
          <w:p>
            <w:pPr>
              <w:ind w:left="100"/>
              <w:spacing w:after="0" w:line="159" w:lineRule="exact"/>
              <w:rPr>
                <w:sz w:val="20"/>
                <w:szCs w:val="20"/>
                <w:color w:val="auto"/>
              </w:rPr>
            </w:pPr>
            <w:r>
              <w:rPr>
                <w:rFonts w:ascii="Arial" w:cs="Arial" w:eastAsia="Arial" w:hAnsi="Arial"/>
                <w:sz w:val="14"/>
                <w:szCs w:val="14"/>
                <w:color w:val="auto"/>
              </w:rPr>
              <w:t>Loan</w:t>
            </w: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5.50%</w:t>
            </w:r>
          </w:p>
        </w:tc>
        <w:tc>
          <w:tcPr>
            <w:tcW w:w="72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w w:val="96"/>
              </w:rPr>
              <w:t>2/24/2021</w:t>
            </w: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70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995,000</w:t>
            </w:r>
          </w:p>
        </w:tc>
        <w:tc>
          <w:tcPr>
            <w:tcW w:w="140" w:type="dxa"/>
            <w:vAlign w:val="bottom"/>
          </w:tcPr>
          <w:p>
            <w:pPr>
              <w:spacing w:after="0"/>
              <w:rPr>
                <w:sz w:val="13"/>
                <w:szCs w:val="13"/>
                <w:color w:val="auto"/>
              </w:rPr>
            </w:pPr>
          </w:p>
        </w:tc>
        <w:tc>
          <w:tcPr>
            <w:tcW w:w="68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995,000</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jc w:val="right"/>
              <w:spacing w:after="0" w:line="159" w:lineRule="exact"/>
              <w:rPr>
                <w:sz w:val="20"/>
                <w:szCs w:val="20"/>
                <w:color w:val="auto"/>
              </w:rPr>
            </w:pPr>
            <w:r>
              <w:rPr>
                <w:rFonts w:ascii="Arial" w:cs="Arial" w:eastAsia="Arial" w:hAnsi="Arial"/>
                <w:sz w:val="14"/>
                <w:szCs w:val="14"/>
                <w:color w:val="auto"/>
              </w:rPr>
              <w:t>997,488</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452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Akorn, Inc.</w:t>
            </w:r>
          </w:p>
        </w:tc>
        <w:tc>
          <w:tcPr>
            <w:tcW w:w="160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Healthcare &amp;</w:t>
            </w:r>
          </w:p>
        </w:tc>
        <w:tc>
          <w:tcPr>
            <w:tcW w:w="920" w:type="dxa"/>
            <w:vAlign w:val="bottom"/>
            <w:gridSpan w:val="3"/>
            <w:shd w:val="clear" w:color="auto" w:fill="CCEEFF"/>
          </w:tcPr>
          <w:p>
            <w:pPr>
              <w:ind w:left="100"/>
              <w:spacing w:after="0" w:line="138" w:lineRule="exact"/>
              <w:rPr>
                <w:sz w:val="20"/>
                <w:szCs w:val="20"/>
                <w:color w:val="auto"/>
              </w:rPr>
            </w:pPr>
            <w:r>
              <w:rPr>
                <w:rFonts w:ascii="Arial" w:cs="Arial" w:eastAsia="Arial" w:hAnsi="Arial"/>
                <w:sz w:val="14"/>
                <w:szCs w:val="14"/>
                <w:color w:val="auto"/>
              </w:rPr>
              <w:t>Term Loan</w:t>
            </w:r>
          </w:p>
        </w:tc>
        <w:tc>
          <w:tcPr>
            <w:tcW w:w="44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Loan</w:t>
            </w:r>
          </w:p>
        </w:tc>
        <w:tc>
          <w:tcPr>
            <w:tcW w:w="5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780" w:type="dxa"/>
            <w:vAlign w:val="bottom"/>
            <w:shd w:val="clear" w:color="auto" w:fill="CCEEFF"/>
          </w:tcPr>
          <w:p>
            <w:pPr>
              <w:spacing w:after="0"/>
              <w:rPr>
                <w:sz w:val="13"/>
                <w:szCs w:val="13"/>
                <w:color w:val="auto"/>
              </w:rPr>
            </w:pPr>
          </w:p>
        </w:tc>
        <w:tc>
          <w:tcPr>
            <w:tcW w:w="3740" w:type="dxa"/>
            <w:vAlign w:val="bottom"/>
            <w:shd w:val="clear" w:color="auto" w:fill="CCEEFF"/>
          </w:tcPr>
          <w:p>
            <w:pPr>
              <w:spacing w:after="0"/>
              <w:rPr>
                <w:sz w:val="13"/>
                <w:szCs w:val="13"/>
                <w:color w:val="auto"/>
              </w:rPr>
            </w:pPr>
          </w:p>
        </w:tc>
        <w:tc>
          <w:tcPr>
            <w:tcW w:w="160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Pharmaceuticals</w:t>
            </w:r>
          </w:p>
        </w:tc>
        <w:tc>
          <w:tcPr>
            <w:tcW w:w="920" w:type="dxa"/>
            <w:vAlign w:val="bottom"/>
            <w:gridSpan w:val="3"/>
            <w:shd w:val="clear" w:color="auto" w:fill="CCEEFF"/>
          </w:tcPr>
          <w:p>
            <w:pPr>
              <w:ind w:left="100"/>
              <w:spacing w:after="0" w:line="159" w:lineRule="exact"/>
              <w:rPr>
                <w:sz w:val="20"/>
                <w:szCs w:val="20"/>
                <w:color w:val="auto"/>
              </w:rPr>
            </w:pPr>
            <w:r>
              <w:rPr>
                <w:rFonts w:ascii="Arial" w:cs="Arial" w:eastAsia="Arial" w:hAnsi="Arial"/>
                <w:sz w:val="14"/>
                <w:szCs w:val="14"/>
                <w:color w:val="auto"/>
              </w:rPr>
              <w:t>B</w:t>
            </w:r>
          </w:p>
        </w:tc>
        <w:tc>
          <w:tcPr>
            <w:tcW w:w="3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4.50%</w:t>
            </w:r>
          </w:p>
        </w:tc>
        <w:tc>
          <w:tcPr>
            <w:tcW w:w="72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w w:val="96"/>
              </w:rPr>
              <w:t>4/16/2021</w:t>
            </w: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498,750</w:t>
            </w:r>
          </w:p>
        </w:tc>
        <w:tc>
          <w:tcPr>
            <w:tcW w:w="14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496,691</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500,411</w:t>
            </w: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4520" w:type="dxa"/>
            <w:vAlign w:val="bottom"/>
            <w:gridSpan w:val="2"/>
          </w:tcPr>
          <w:p>
            <w:pPr>
              <w:spacing w:after="0" w:line="138" w:lineRule="exact"/>
              <w:rPr>
                <w:sz w:val="20"/>
                <w:szCs w:val="20"/>
                <w:color w:val="auto"/>
              </w:rPr>
            </w:pPr>
            <w:r>
              <w:rPr>
                <w:rFonts w:ascii="Arial" w:cs="Arial" w:eastAsia="Arial" w:hAnsi="Arial"/>
                <w:sz w:val="14"/>
                <w:szCs w:val="14"/>
                <w:color w:val="auto"/>
              </w:rPr>
              <w:t>Albertson’s LLC</w:t>
            </w:r>
          </w:p>
        </w:tc>
        <w:tc>
          <w:tcPr>
            <w:tcW w:w="1600" w:type="dxa"/>
            <w:vAlign w:val="bottom"/>
          </w:tcPr>
          <w:p>
            <w:pPr>
              <w:spacing w:after="0" w:line="138" w:lineRule="exact"/>
              <w:rPr>
                <w:sz w:val="20"/>
                <w:szCs w:val="20"/>
                <w:color w:val="auto"/>
              </w:rPr>
            </w:pPr>
            <w:r>
              <w:rPr>
                <w:rFonts w:ascii="Arial" w:cs="Arial" w:eastAsia="Arial" w:hAnsi="Arial"/>
                <w:sz w:val="14"/>
                <w:szCs w:val="14"/>
                <w:color w:val="auto"/>
                <w:w w:val="93"/>
              </w:rPr>
              <w:t>Retailers (Except Food and</w:t>
            </w:r>
          </w:p>
        </w:tc>
        <w:tc>
          <w:tcPr>
            <w:tcW w:w="920" w:type="dxa"/>
            <w:vAlign w:val="bottom"/>
            <w:gridSpan w:val="3"/>
          </w:tcPr>
          <w:p>
            <w:pPr>
              <w:ind w:left="100"/>
              <w:spacing w:after="0" w:line="138" w:lineRule="exact"/>
              <w:rPr>
                <w:sz w:val="20"/>
                <w:szCs w:val="20"/>
                <w:color w:val="auto"/>
              </w:rPr>
            </w:pPr>
            <w:r>
              <w:rPr>
                <w:rFonts w:ascii="Arial" w:cs="Arial" w:eastAsia="Arial" w:hAnsi="Arial"/>
                <w:sz w:val="14"/>
                <w:szCs w:val="14"/>
                <w:color w:val="auto"/>
              </w:rPr>
              <w:t>Term Loan</w:t>
            </w:r>
          </w:p>
        </w:tc>
        <w:tc>
          <w:tcPr>
            <w:tcW w:w="440" w:type="dxa"/>
            <w:vAlign w:val="bottom"/>
            <w:gridSpan w:val="2"/>
          </w:tcPr>
          <w:p>
            <w:pPr>
              <w:spacing w:after="0" w:line="138" w:lineRule="exact"/>
              <w:rPr>
                <w:sz w:val="20"/>
                <w:szCs w:val="20"/>
                <w:color w:val="auto"/>
              </w:rPr>
            </w:pPr>
            <w:r>
              <w:rPr>
                <w:rFonts w:ascii="Arial" w:cs="Arial" w:eastAsia="Arial" w:hAnsi="Arial"/>
                <w:sz w:val="14"/>
                <w:szCs w:val="14"/>
                <w:color w:val="auto"/>
              </w:rPr>
              <w:t>Loan</w:t>
            </w: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780" w:type="dxa"/>
            <w:vAlign w:val="bottom"/>
          </w:tcPr>
          <w:p>
            <w:pPr>
              <w:spacing w:after="0"/>
              <w:rPr>
                <w:sz w:val="13"/>
                <w:szCs w:val="13"/>
                <w:color w:val="auto"/>
              </w:rPr>
            </w:pPr>
          </w:p>
        </w:tc>
        <w:tc>
          <w:tcPr>
            <w:tcW w:w="3740" w:type="dxa"/>
            <w:vAlign w:val="bottom"/>
          </w:tcPr>
          <w:p>
            <w:pPr>
              <w:spacing w:after="0"/>
              <w:rPr>
                <w:sz w:val="13"/>
                <w:szCs w:val="13"/>
                <w:color w:val="auto"/>
              </w:rPr>
            </w:pPr>
          </w:p>
        </w:tc>
        <w:tc>
          <w:tcPr>
            <w:tcW w:w="1600" w:type="dxa"/>
            <w:vAlign w:val="bottom"/>
          </w:tcPr>
          <w:p>
            <w:pPr>
              <w:spacing w:after="0" w:line="159" w:lineRule="exact"/>
              <w:rPr>
                <w:sz w:val="20"/>
                <w:szCs w:val="20"/>
                <w:color w:val="auto"/>
              </w:rPr>
            </w:pPr>
            <w:r>
              <w:rPr>
                <w:rFonts w:ascii="Arial" w:cs="Arial" w:eastAsia="Arial" w:hAnsi="Arial"/>
                <w:sz w:val="14"/>
                <w:szCs w:val="14"/>
                <w:color w:val="auto"/>
              </w:rPr>
              <w:t>Drugs)</w:t>
            </w:r>
          </w:p>
        </w:tc>
        <w:tc>
          <w:tcPr>
            <w:tcW w:w="920" w:type="dxa"/>
            <w:vAlign w:val="bottom"/>
            <w:gridSpan w:val="3"/>
          </w:tcPr>
          <w:p>
            <w:pPr>
              <w:ind w:left="100"/>
              <w:spacing w:after="0" w:line="159" w:lineRule="exact"/>
              <w:rPr>
                <w:sz w:val="20"/>
                <w:szCs w:val="20"/>
                <w:color w:val="auto"/>
              </w:rPr>
            </w:pPr>
            <w:r>
              <w:rPr>
                <w:rFonts w:ascii="Arial" w:cs="Arial" w:eastAsia="Arial" w:hAnsi="Arial"/>
                <w:sz w:val="14"/>
                <w:szCs w:val="14"/>
                <w:color w:val="auto"/>
              </w:rPr>
              <w:t>B-4</w:t>
            </w: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5.50%</w:t>
            </w:r>
          </w:p>
        </w:tc>
        <w:tc>
          <w:tcPr>
            <w:tcW w:w="72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w w:val="96"/>
              </w:rPr>
              <w:t>8/25/2021</w:t>
            </w: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70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w w:val="83"/>
              </w:rPr>
              <w:t>3,410,000</w:t>
            </w:r>
          </w:p>
        </w:tc>
        <w:tc>
          <w:tcPr>
            <w:tcW w:w="140" w:type="dxa"/>
            <w:vAlign w:val="bottom"/>
          </w:tcPr>
          <w:p>
            <w:pPr>
              <w:spacing w:after="0"/>
              <w:rPr>
                <w:sz w:val="13"/>
                <w:szCs w:val="13"/>
                <w:color w:val="auto"/>
              </w:rPr>
            </w:pPr>
          </w:p>
        </w:tc>
        <w:tc>
          <w:tcPr>
            <w:tcW w:w="68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w w:val="93"/>
              </w:rPr>
              <w:t>3,389,632</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jc w:val="right"/>
              <w:spacing w:after="0" w:line="159" w:lineRule="exact"/>
              <w:rPr>
                <w:sz w:val="20"/>
                <w:szCs w:val="20"/>
                <w:color w:val="auto"/>
              </w:rPr>
            </w:pPr>
            <w:r>
              <w:rPr>
                <w:rFonts w:ascii="Arial" w:cs="Arial" w:eastAsia="Arial" w:hAnsi="Arial"/>
                <w:sz w:val="14"/>
                <w:szCs w:val="14"/>
                <w:color w:val="auto"/>
                <w:w w:val="96"/>
              </w:rPr>
              <w:t>3,437,723</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452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Alere Inc. (fka IM US Holdings, LLC)</w:t>
            </w:r>
          </w:p>
        </w:tc>
        <w:tc>
          <w:tcPr>
            <w:tcW w:w="160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Healthcare &amp;</w:t>
            </w:r>
          </w:p>
        </w:tc>
        <w:tc>
          <w:tcPr>
            <w:tcW w:w="920" w:type="dxa"/>
            <w:vAlign w:val="bottom"/>
            <w:gridSpan w:val="3"/>
            <w:shd w:val="clear" w:color="auto" w:fill="CCEEFF"/>
          </w:tcPr>
          <w:p>
            <w:pPr>
              <w:ind w:left="100"/>
              <w:spacing w:after="0" w:line="138" w:lineRule="exact"/>
              <w:rPr>
                <w:sz w:val="20"/>
                <w:szCs w:val="20"/>
                <w:color w:val="auto"/>
              </w:rPr>
            </w:pPr>
            <w:r>
              <w:rPr>
                <w:rFonts w:ascii="Arial" w:cs="Arial" w:eastAsia="Arial" w:hAnsi="Arial"/>
                <w:sz w:val="14"/>
                <w:szCs w:val="14"/>
                <w:color w:val="auto"/>
              </w:rPr>
              <w:t>Incremental</w:t>
            </w:r>
          </w:p>
        </w:tc>
        <w:tc>
          <w:tcPr>
            <w:tcW w:w="44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Loan</w:t>
            </w:r>
          </w:p>
        </w:tc>
        <w:tc>
          <w:tcPr>
            <w:tcW w:w="5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780" w:type="dxa"/>
            <w:vAlign w:val="bottom"/>
            <w:shd w:val="clear" w:color="auto" w:fill="CCEEFF"/>
          </w:tcPr>
          <w:p>
            <w:pPr>
              <w:spacing w:after="0"/>
              <w:rPr>
                <w:sz w:val="12"/>
                <w:szCs w:val="12"/>
                <w:color w:val="auto"/>
              </w:rPr>
            </w:pPr>
          </w:p>
        </w:tc>
        <w:tc>
          <w:tcPr>
            <w:tcW w:w="3740" w:type="dxa"/>
            <w:vAlign w:val="bottom"/>
            <w:shd w:val="clear" w:color="auto" w:fill="CCEEFF"/>
          </w:tcPr>
          <w:p>
            <w:pPr>
              <w:spacing w:after="0"/>
              <w:rPr>
                <w:sz w:val="12"/>
                <w:szCs w:val="12"/>
                <w:color w:val="auto"/>
              </w:rPr>
            </w:pPr>
          </w:p>
        </w:tc>
        <w:tc>
          <w:tcPr>
            <w:tcW w:w="16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Pharmaceuticals</w:t>
            </w:r>
          </w:p>
        </w:tc>
        <w:tc>
          <w:tcPr>
            <w:tcW w:w="92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B-1 Term</w:t>
            </w: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780" w:type="dxa"/>
            <w:vAlign w:val="bottom"/>
            <w:shd w:val="clear" w:color="auto" w:fill="CCEEFF"/>
          </w:tcPr>
          <w:p>
            <w:pPr>
              <w:spacing w:after="0"/>
              <w:rPr>
                <w:sz w:val="13"/>
                <w:szCs w:val="13"/>
                <w:color w:val="auto"/>
              </w:rPr>
            </w:pPr>
          </w:p>
        </w:tc>
        <w:tc>
          <w:tcPr>
            <w:tcW w:w="3740" w:type="dxa"/>
            <w:vAlign w:val="bottom"/>
            <w:shd w:val="clear" w:color="auto" w:fill="CCEEFF"/>
          </w:tcPr>
          <w:p>
            <w:pPr>
              <w:spacing w:after="0"/>
              <w:rPr>
                <w:sz w:val="13"/>
                <w:szCs w:val="13"/>
                <w:color w:val="auto"/>
              </w:rPr>
            </w:pPr>
          </w:p>
        </w:tc>
        <w:tc>
          <w:tcPr>
            <w:tcW w:w="1600" w:type="dxa"/>
            <w:vAlign w:val="bottom"/>
            <w:shd w:val="clear" w:color="auto" w:fill="CCEEFF"/>
          </w:tcPr>
          <w:p>
            <w:pPr>
              <w:spacing w:after="0"/>
              <w:rPr>
                <w:sz w:val="13"/>
                <w:szCs w:val="13"/>
                <w:color w:val="auto"/>
              </w:rPr>
            </w:pPr>
          </w:p>
        </w:tc>
        <w:tc>
          <w:tcPr>
            <w:tcW w:w="920" w:type="dxa"/>
            <w:vAlign w:val="bottom"/>
            <w:gridSpan w:val="3"/>
            <w:shd w:val="clear" w:color="auto" w:fill="CCEEFF"/>
          </w:tcPr>
          <w:p>
            <w:pPr>
              <w:ind w:left="100"/>
              <w:spacing w:after="0" w:line="159" w:lineRule="exact"/>
              <w:rPr>
                <w:sz w:val="20"/>
                <w:szCs w:val="20"/>
                <w:color w:val="auto"/>
              </w:rPr>
            </w:pPr>
            <w:r>
              <w:rPr>
                <w:rFonts w:ascii="Arial" w:cs="Arial" w:eastAsia="Arial" w:hAnsi="Arial"/>
                <w:sz w:val="14"/>
                <w:szCs w:val="14"/>
                <w:color w:val="auto"/>
              </w:rPr>
              <w:t>Loan</w:t>
            </w:r>
          </w:p>
        </w:tc>
        <w:tc>
          <w:tcPr>
            <w:tcW w:w="3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4.25%</w:t>
            </w:r>
          </w:p>
        </w:tc>
        <w:tc>
          <w:tcPr>
            <w:tcW w:w="72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w w:val="96"/>
              </w:rPr>
              <w:t>6/30/2017</w:t>
            </w: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w w:val="83"/>
              </w:rPr>
              <w:t>1,529,610</w:t>
            </w:r>
          </w:p>
        </w:tc>
        <w:tc>
          <w:tcPr>
            <w:tcW w:w="14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w w:val="93"/>
              </w:rPr>
              <w:t>1,529,610</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96"/>
              </w:rPr>
              <w:t>1,529,610</w:t>
            </w: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520" w:type="dxa"/>
            <w:vAlign w:val="bottom"/>
            <w:gridSpan w:val="2"/>
          </w:tcPr>
          <w:p>
            <w:pPr>
              <w:spacing w:after="0" w:line="149" w:lineRule="exact"/>
              <w:rPr>
                <w:sz w:val="20"/>
                <w:szCs w:val="20"/>
                <w:color w:val="auto"/>
              </w:rPr>
            </w:pPr>
            <w:r>
              <w:rPr>
                <w:rFonts w:ascii="Arial" w:cs="Arial" w:eastAsia="Arial" w:hAnsi="Arial"/>
                <w:sz w:val="14"/>
                <w:szCs w:val="14"/>
                <w:color w:val="auto"/>
              </w:rPr>
              <w:t>American Tire Distributors Inc</w:t>
            </w:r>
          </w:p>
        </w:tc>
        <w:tc>
          <w:tcPr>
            <w:tcW w:w="1600" w:type="dxa"/>
            <w:vAlign w:val="bottom"/>
          </w:tcPr>
          <w:p>
            <w:pPr>
              <w:spacing w:after="0" w:line="149" w:lineRule="exact"/>
              <w:rPr>
                <w:sz w:val="20"/>
                <w:szCs w:val="20"/>
                <w:color w:val="auto"/>
              </w:rPr>
            </w:pPr>
            <w:r>
              <w:rPr>
                <w:rFonts w:ascii="Arial" w:cs="Arial" w:eastAsia="Arial" w:hAnsi="Arial"/>
                <w:sz w:val="14"/>
                <w:szCs w:val="14"/>
                <w:color w:val="auto"/>
              </w:rPr>
              <w:t>Automotive</w:t>
            </w:r>
          </w:p>
        </w:tc>
        <w:tc>
          <w:tcPr>
            <w:tcW w:w="92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Term Loan</w:t>
            </w:r>
          </w:p>
        </w:tc>
        <w:tc>
          <w:tcPr>
            <w:tcW w:w="440" w:type="dxa"/>
            <w:vAlign w:val="bottom"/>
            <w:gridSpan w:val="2"/>
          </w:tcPr>
          <w:p>
            <w:pPr>
              <w:spacing w:after="0" w:line="149" w:lineRule="exact"/>
              <w:rPr>
                <w:sz w:val="20"/>
                <w:szCs w:val="20"/>
                <w:color w:val="auto"/>
              </w:rPr>
            </w:pPr>
            <w:r>
              <w:rPr>
                <w:rFonts w:ascii="Arial" w:cs="Arial" w:eastAsia="Arial" w:hAnsi="Arial"/>
                <w:sz w:val="14"/>
                <w:szCs w:val="14"/>
                <w:color w:val="auto"/>
              </w:rPr>
              <w:t>Loan</w:t>
            </w:r>
          </w:p>
        </w:tc>
        <w:tc>
          <w:tcPr>
            <w:tcW w:w="7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5.75%</w:t>
            </w:r>
          </w:p>
        </w:tc>
        <w:tc>
          <w:tcPr>
            <w:tcW w:w="7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6/1/2018</w:t>
            </w: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7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496,487</w:t>
            </w:r>
          </w:p>
        </w:tc>
        <w:tc>
          <w:tcPr>
            <w:tcW w:w="140" w:type="dxa"/>
            <w:vAlign w:val="bottom"/>
          </w:tcPr>
          <w:p>
            <w:pPr>
              <w:spacing w:after="0"/>
              <w:rPr>
                <w:sz w:val="12"/>
                <w:szCs w:val="12"/>
                <w:color w:val="auto"/>
              </w:rPr>
            </w:pPr>
          </w:p>
        </w:tc>
        <w:tc>
          <w:tcPr>
            <w:tcW w:w="6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496,486</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497,108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452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Aramark Corporation</w:t>
            </w:r>
          </w:p>
        </w:tc>
        <w:tc>
          <w:tcPr>
            <w:tcW w:w="160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Food Products</w:t>
            </w:r>
          </w:p>
        </w:tc>
        <w:tc>
          <w:tcPr>
            <w:tcW w:w="920" w:type="dxa"/>
            <w:vAlign w:val="bottom"/>
            <w:gridSpan w:val="3"/>
            <w:shd w:val="clear" w:color="auto" w:fill="CCEEFF"/>
          </w:tcPr>
          <w:p>
            <w:pPr>
              <w:ind w:left="100"/>
              <w:spacing w:after="0" w:line="138" w:lineRule="exact"/>
              <w:rPr>
                <w:sz w:val="20"/>
                <w:szCs w:val="20"/>
                <w:color w:val="auto"/>
              </w:rPr>
            </w:pPr>
            <w:r>
              <w:rPr>
                <w:rFonts w:ascii="Arial" w:cs="Arial" w:eastAsia="Arial" w:hAnsi="Arial"/>
                <w:sz w:val="14"/>
                <w:szCs w:val="14"/>
                <w:color w:val="auto"/>
              </w:rPr>
              <w:t>LC-2</w:t>
            </w:r>
          </w:p>
        </w:tc>
        <w:tc>
          <w:tcPr>
            <w:tcW w:w="44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Loan</w:t>
            </w:r>
          </w:p>
        </w:tc>
        <w:tc>
          <w:tcPr>
            <w:tcW w:w="5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780" w:type="dxa"/>
            <w:vAlign w:val="bottom"/>
            <w:shd w:val="clear" w:color="auto" w:fill="CCEEFF"/>
          </w:tcPr>
          <w:p>
            <w:pPr>
              <w:spacing w:after="0"/>
              <w:rPr>
                <w:sz w:val="13"/>
                <w:szCs w:val="13"/>
                <w:color w:val="auto"/>
              </w:rPr>
            </w:pPr>
          </w:p>
        </w:tc>
        <w:tc>
          <w:tcPr>
            <w:tcW w:w="3740" w:type="dxa"/>
            <w:vAlign w:val="bottom"/>
            <w:shd w:val="clear" w:color="auto" w:fill="CCEEFF"/>
          </w:tcPr>
          <w:p>
            <w:pPr>
              <w:spacing w:after="0"/>
              <w:rPr>
                <w:sz w:val="13"/>
                <w:szCs w:val="13"/>
                <w:color w:val="auto"/>
              </w:rPr>
            </w:pPr>
          </w:p>
        </w:tc>
        <w:tc>
          <w:tcPr>
            <w:tcW w:w="1600" w:type="dxa"/>
            <w:vAlign w:val="bottom"/>
            <w:shd w:val="clear" w:color="auto" w:fill="CCEEFF"/>
          </w:tcPr>
          <w:p>
            <w:pPr>
              <w:spacing w:after="0"/>
              <w:rPr>
                <w:sz w:val="13"/>
                <w:szCs w:val="13"/>
                <w:color w:val="auto"/>
              </w:rPr>
            </w:pPr>
          </w:p>
        </w:tc>
        <w:tc>
          <w:tcPr>
            <w:tcW w:w="920" w:type="dxa"/>
            <w:vAlign w:val="bottom"/>
            <w:gridSpan w:val="3"/>
            <w:shd w:val="clear" w:color="auto" w:fill="CCEEFF"/>
          </w:tcPr>
          <w:p>
            <w:pPr>
              <w:ind w:left="100"/>
              <w:spacing w:after="0" w:line="159" w:lineRule="exact"/>
              <w:rPr>
                <w:sz w:val="20"/>
                <w:szCs w:val="20"/>
                <w:color w:val="auto"/>
              </w:rPr>
            </w:pPr>
            <w:r>
              <w:rPr>
                <w:rFonts w:ascii="Arial" w:cs="Arial" w:eastAsia="Arial" w:hAnsi="Arial"/>
                <w:sz w:val="14"/>
                <w:szCs w:val="14"/>
                <w:color w:val="auto"/>
              </w:rPr>
              <w:t>Facility</w:t>
            </w:r>
          </w:p>
        </w:tc>
        <w:tc>
          <w:tcPr>
            <w:tcW w:w="3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3.74%</w:t>
            </w:r>
          </w:p>
        </w:tc>
        <w:tc>
          <w:tcPr>
            <w:tcW w:w="72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w w:val="96"/>
              </w:rPr>
              <w:t>7/26/2016</w:t>
            </w: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79,187</w:t>
            </w:r>
          </w:p>
        </w:tc>
        <w:tc>
          <w:tcPr>
            <w:tcW w:w="14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79,178</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78,395</w:t>
            </w: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4520" w:type="dxa"/>
            <w:vAlign w:val="bottom"/>
            <w:gridSpan w:val="2"/>
          </w:tcPr>
          <w:p>
            <w:pPr>
              <w:spacing w:after="0" w:line="138" w:lineRule="exact"/>
              <w:rPr>
                <w:sz w:val="20"/>
                <w:szCs w:val="20"/>
                <w:color w:val="auto"/>
              </w:rPr>
            </w:pPr>
            <w:r>
              <w:rPr>
                <w:rFonts w:ascii="Arial" w:cs="Arial" w:eastAsia="Arial" w:hAnsi="Arial"/>
                <w:sz w:val="14"/>
                <w:szCs w:val="14"/>
                <w:color w:val="auto"/>
              </w:rPr>
              <w:t>Aramark Corporation</w:t>
            </w:r>
          </w:p>
        </w:tc>
        <w:tc>
          <w:tcPr>
            <w:tcW w:w="1600" w:type="dxa"/>
            <w:vAlign w:val="bottom"/>
          </w:tcPr>
          <w:p>
            <w:pPr>
              <w:spacing w:after="0" w:line="138" w:lineRule="exact"/>
              <w:rPr>
                <w:sz w:val="20"/>
                <w:szCs w:val="20"/>
                <w:color w:val="auto"/>
              </w:rPr>
            </w:pPr>
            <w:r>
              <w:rPr>
                <w:rFonts w:ascii="Arial" w:cs="Arial" w:eastAsia="Arial" w:hAnsi="Arial"/>
                <w:sz w:val="14"/>
                <w:szCs w:val="14"/>
                <w:color w:val="auto"/>
              </w:rPr>
              <w:t>Food Products</w:t>
            </w:r>
          </w:p>
        </w:tc>
        <w:tc>
          <w:tcPr>
            <w:tcW w:w="920" w:type="dxa"/>
            <w:vAlign w:val="bottom"/>
            <w:gridSpan w:val="3"/>
          </w:tcPr>
          <w:p>
            <w:pPr>
              <w:ind w:left="100"/>
              <w:spacing w:after="0" w:line="138" w:lineRule="exact"/>
              <w:rPr>
                <w:sz w:val="20"/>
                <w:szCs w:val="20"/>
                <w:color w:val="auto"/>
              </w:rPr>
            </w:pPr>
            <w:r>
              <w:rPr>
                <w:rFonts w:ascii="Arial" w:cs="Arial" w:eastAsia="Arial" w:hAnsi="Arial"/>
                <w:sz w:val="14"/>
                <w:szCs w:val="14"/>
                <w:color w:val="auto"/>
              </w:rPr>
              <w:t>LC-3</w:t>
            </w:r>
          </w:p>
        </w:tc>
        <w:tc>
          <w:tcPr>
            <w:tcW w:w="440" w:type="dxa"/>
            <w:vAlign w:val="bottom"/>
            <w:gridSpan w:val="2"/>
          </w:tcPr>
          <w:p>
            <w:pPr>
              <w:spacing w:after="0" w:line="138" w:lineRule="exact"/>
              <w:rPr>
                <w:sz w:val="20"/>
                <w:szCs w:val="20"/>
                <w:color w:val="auto"/>
              </w:rPr>
            </w:pPr>
            <w:r>
              <w:rPr>
                <w:rFonts w:ascii="Arial" w:cs="Arial" w:eastAsia="Arial" w:hAnsi="Arial"/>
                <w:sz w:val="14"/>
                <w:szCs w:val="14"/>
                <w:color w:val="auto"/>
              </w:rPr>
              <w:t>Loan</w:t>
            </w: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780" w:type="dxa"/>
            <w:vAlign w:val="bottom"/>
          </w:tcPr>
          <w:p>
            <w:pPr>
              <w:spacing w:after="0"/>
              <w:rPr>
                <w:sz w:val="13"/>
                <w:szCs w:val="13"/>
                <w:color w:val="auto"/>
              </w:rPr>
            </w:pPr>
          </w:p>
        </w:tc>
        <w:tc>
          <w:tcPr>
            <w:tcW w:w="374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920" w:type="dxa"/>
            <w:vAlign w:val="bottom"/>
            <w:gridSpan w:val="3"/>
          </w:tcPr>
          <w:p>
            <w:pPr>
              <w:ind w:left="100"/>
              <w:spacing w:after="0" w:line="159" w:lineRule="exact"/>
              <w:rPr>
                <w:sz w:val="20"/>
                <w:szCs w:val="20"/>
                <w:color w:val="auto"/>
              </w:rPr>
            </w:pPr>
            <w:r>
              <w:rPr>
                <w:rFonts w:ascii="Arial" w:cs="Arial" w:eastAsia="Arial" w:hAnsi="Arial"/>
                <w:sz w:val="14"/>
                <w:szCs w:val="14"/>
                <w:color w:val="auto"/>
              </w:rPr>
              <w:t>Facility</w:t>
            </w: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3.74%</w:t>
            </w:r>
          </w:p>
        </w:tc>
        <w:tc>
          <w:tcPr>
            <w:tcW w:w="72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w w:val="96"/>
              </w:rPr>
              <w:t>7/26/2016</w:t>
            </w: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70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43,961</w:t>
            </w:r>
          </w:p>
        </w:tc>
        <w:tc>
          <w:tcPr>
            <w:tcW w:w="140" w:type="dxa"/>
            <w:vAlign w:val="bottom"/>
          </w:tcPr>
          <w:p>
            <w:pPr>
              <w:spacing w:after="0"/>
              <w:rPr>
                <w:sz w:val="13"/>
                <w:szCs w:val="13"/>
                <w:color w:val="auto"/>
              </w:rPr>
            </w:pPr>
          </w:p>
        </w:tc>
        <w:tc>
          <w:tcPr>
            <w:tcW w:w="68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43,961</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jc w:val="right"/>
              <w:spacing w:after="0" w:line="159" w:lineRule="exact"/>
              <w:rPr>
                <w:sz w:val="20"/>
                <w:szCs w:val="20"/>
                <w:color w:val="auto"/>
              </w:rPr>
            </w:pPr>
            <w:r>
              <w:rPr>
                <w:rFonts w:ascii="Arial" w:cs="Arial" w:eastAsia="Arial" w:hAnsi="Arial"/>
                <w:sz w:val="14"/>
                <w:szCs w:val="14"/>
                <w:color w:val="auto"/>
              </w:rPr>
              <w:t>43,521</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452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Aramark Corporation</w:t>
            </w:r>
          </w:p>
        </w:tc>
        <w:tc>
          <w:tcPr>
            <w:tcW w:w="160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Food Products</w:t>
            </w:r>
          </w:p>
        </w:tc>
        <w:tc>
          <w:tcPr>
            <w:tcW w:w="920" w:type="dxa"/>
            <w:vAlign w:val="bottom"/>
            <w:gridSpan w:val="3"/>
            <w:shd w:val="clear" w:color="auto" w:fill="CCEEFF"/>
          </w:tcPr>
          <w:p>
            <w:pPr>
              <w:ind w:left="100"/>
              <w:spacing w:after="0" w:line="138" w:lineRule="exact"/>
              <w:rPr>
                <w:sz w:val="20"/>
                <w:szCs w:val="20"/>
                <w:color w:val="auto"/>
              </w:rPr>
            </w:pPr>
            <w:r>
              <w:rPr>
                <w:rFonts w:ascii="Arial" w:cs="Arial" w:eastAsia="Arial" w:hAnsi="Arial"/>
                <w:sz w:val="14"/>
                <w:szCs w:val="14"/>
                <w:color w:val="auto"/>
              </w:rPr>
              <w:t>U.S. Term F</w:t>
            </w:r>
          </w:p>
        </w:tc>
        <w:tc>
          <w:tcPr>
            <w:tcW w:w="44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Loan</w:t>
            </w:r>
          </w:p>
        </w:tc>
        <w:tc>
          <w:tcPr>
            <w:tcW w:w="5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780" w:type="dxa"/>
            <w:vAlign w:val="bottom"/>
            <w:shd w:val="clear" w:color="auto" w:fill="CCEEFF"/>
          </w:tcPr>
          <w:p>
            <w:pPr>
              <w:spacing w:after="0"/>
              <w:rPr>
                <w:sz w:val="13"/>
                <w:szCs w:val="13"/>
                <w:color w:val="auto"/>
              </w:rPr>
            </w:pPr>
          </w:p>
        </w:tc>
        <w:tc>
          <w:tcPr>
            <w:tcW w:w="3740" w:type="dxa"/>
            <w:vAlign w:val="bottom"/>
            <w:shd w:val="clear" w:color="auto" w:fill="CCEEFF"/>
          </w:tcPr>
          <w:p>
            <w:pPr>
              <w:spacing w:after="0"/>
              <w:rPr>
                <w:sz w:val="13"/>
                <w:szCs w:val="13"/>
                <w:color w:val="auto"/>
              </w:rPr>
            </w:pPr>
          </w:p>
        </w:tc>
        <w:tc>
          <w:tcPr>
            <w:tcW w:w="1600" w:type="dxa"/>
            <w:vAlign w:val="bottom"/>
            <w:shd w:val="clear" w:color="auto" w:fill="CCEEFF"/>
          </w:tcPr>
          <w:p>
            <w:pPr>
              <w:spacing w:after="0"/>
              <w:rPr>
                <w:sz w:val="13"/>
                <w:szCs w:val="13"/>
                <w:color w:val="auto"/>
              </w:rPr>
            </w:pPr>
          </w:p>
        </w:tc>
        <w:tc>
          <w:tcPr>
            <w:tcW w:w="920" w:type="dxa"/>
            <w:vAlign w:val="bottom"/>
            <w:gridSpan w:val="3"/>
            <w:shd w:val="clear" w:color="auto" w:fill="CCEEFF"/>
          </w:tcPr>
          <w:p>
            <w:pPr>
              <w:ind w:left="100"/>
              <w:spacing w:after="0" w:line="159" w:lineRule="exact"/>
              <w:rPr>
                <w:sz w:val="20"/>
                <w:szCs w:val="20"/>
                <w:color w:val="auto"/>
              </w:rPr>
            </w:pPr>
            <w:r>
              <w:rPr>
                <w:rFonts w:ascii="Arial" w:cs="Arial" w:eastAsia="Arial" w:hAnsi="Arial"/>
                <w:sz w:val="14"/>
                <w:szCs w:val="14"/>
                <w:color w:val="auto"/>
              </w:rPr>
              <w:t>Loan</w:t>
            </w:r>
          </w:p>
        </w:tc>
        <w:tc>
          <w:tcPr>
            <w:tcW w:w="3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3.25%</w:t>
            </w:r>
          </w:p>
        </w:tc>
        <w:tc>
          <w:tcPr>
            <w:tcW w:w="72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w w:val="96"/>
              </w:rPr>
              <w:t>2/24/2021</w:t>
            </w: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w w:val="83"/>
              </w:rPr>
              <w:t>3,182,489</w:t>
            </w:r>
          </w:p>
        </w:tc>
        <w:tc>
          <w:tcPr>
            <w:tcW w:w="14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w w:val="93"/>
              </w:rPr>
              <w:t>3,182,489</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96"/>
              </w:rPr>
              <w:t>3,168,581</w:t>
            </w: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520" w:type="dxa"/>
            <w:vAlign w:val="bottom"/>
            <w:gridSpan w:val="2"/>
          </w:tcPr>
          <w:p>
            <w:pPr>
              <w:spacing w:after="0" w:line="149" w:lineRule="exact"/>
              <w:rPr>
                <w:sz w:val="20"/>
                <w:szCs w:val="20"/>
                <w:color w:val="auto"/>
              </w:rPr>
            </w:pPr>
            <w:r>
              <w:rPr>
                <w:rFonts w:ascii="Arial" w:cs="Arial" w:eastAsia="Arial" w:hAnsi="Arial"/>
                <w:sz w:val="14"/>
                <w:szCs w:val="14"/>
                <w:color w:val="auto"/>
              </w:rPr>
              <w:t>ARG IH Corp</w:t>
            </w:r>
          </w:p>
        </w:tc>
        <w:tc>
          <w:tcPr>
            <w:tcW w:w="1600" w:type="dxa"/>
            <w:vAlign w:val="bottom"/>
          </w:tcPr>
          <w:p>
            <w:pPr>
              <w:spacing w:after="0" w:line="149" w:lineRule="exact"/>
              <w:rPr>
                <w:sz w:val="20"/>
                <w:szCs w:val="20"/>
                <w:color w:val="auto"/>
              </w:rPr>
            </w:pPr>
            <w:r>
              <w:rPr>
                <w:rFonts w:ascii="Arial" w:cs="Arial" w:eastAsia="Arial" w:hAnsi="Arial"/>
                <w:sz w:val="14"/>
                <w:szCs w:val="14"/>
                <w:color w:val="auto"/>
              </w:rPr>
              <w:t>Food Services</w:t>
            </w:r>
          </w:p>
        </w:tc>
        <w:tc>
          <w:tcPr>
            <w:tcW w:w="92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Term Loan</w:t>
            </w:r>
          </w:p>
        </w:tc>
        <w:tc>
          <w:tcPr>
            <w:tcW w:w="440" w:type="dxa"/>
            <w:vAlign w:val="bottom"/>
            <w:gridSpan w:val="2"/>
          </w:tcPr>
          <w:p>
            <w:pPr>
              <w:spacing w:after="0" w:line="149" w:lineRule="exact"/>
              <w:rPr>
                <w:sz w:val="20"/>
                <w:szCs w:val="20"/>
                <w:color w:val="auto"/>
              </w:rPr>
            </w:pPr>
            <w:r>
              <w:rPr>
                <w:rFonts w:ascii="Arial" w:cs="Arial" w:eastAsia="Arial" w:hAnsi="Arial"/>
                <w:sz w:val="14"/>
                <w:szCs w:val="14"/>
                <w:color w:val="auto"/>
              </w:rPr>
              <w:t>Loan</w:t>
            </w:r>
          </w:p>
        </w:tc>
        <w:tc>
          <w:tcPr>
            <w:tcW w:w="7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4.75%</w:t>
            </w:r>
          </w:p>
        </w:tc>
        <w:tc>
          <w:tcPr>
            <w:tcW w:w="7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w w:val="85"/>
              </w:rPr>
              <w:t>11/15/2020</w:t>
            </w: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7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495,000</w:t>
            </w:r>
          </w:p>
        </w:tc>
        <w:tc>
          <w:tcPr>
            <w:tcW w:w="140" w:type="dxa"/>
            <w:vAlign w:val="bottom"/>
          </w:tcPr>
          <w:p>
            <w:pPr>
              <w:spacing w:after="0"/>
              <w:rPr>
                <w:sz w:val="12"/>
                <w:szCs w:val="12"/>
                <w:color w:val="auto"/>
              </w:rPr>
            </w:pPr>
          </w:p>
        </w:tc>
        <w:tc>
          <w:tcPr>
            <w:tcW w:w="6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494,038</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495,312</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452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Asurion, LLC (fka Asurion Corporation)</w:t>
            </w:r>
          </w:p>
        </w:tc>
        <w:tc>
          <w:tcPr>
            <w:tcW w:w="160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Insurance</w:t>
            </w:r>
          </w:p>
        </w:tc>
        <w:tc>
          <w:tcPr>
            <w:tcW w:w="920" w:type="dxa"/>
            <w:vAlign w:val="bottom"/>
            <w:gridSpan w:val="3"/>
            <w:shd w:val="clear" w:color="auto" w:fill="CCEEFF"/>
          </w:tcPr>
          <w:p>
            <w:pPr>
              <w:ind w:left="100"/>
              <w:spacing w:after="0" w:line="138" w:lineRule="exact"/>
              <w:rPr>
                <w:sz w:val="20"/>
                <w:szCs w:val="20"/>
                <w:color w:val="auto"/>
              </w:rPr>
            </w:pPr>
            <w:r>
              <w:rPr>
                <w:rFonts w:ascii="Arial" w:cs="Arial" w:eastAsia="Arial" w:hAnsi="Arial"/>
                <w:sz w:val="14"/>
                <w:szCs w:val="14"/>
                <w:color w:val="auto"/>
              </w:rPr>
              <w:t>Incremental</w:t>
            </w:r>
          </w:p>
        </w:tc>
        <w:tc>
          <w:tcPr>
            <w:tcW w:w="44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Loan</w:t>
            </w:r>
          </w:p>
        </w:tc>
        <w:tc>
          <w:tcPr>
            <w:tcW w:w="5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780" w:type="dxa"/>
            <w:vAlign w:val="bottom"/>
            <w:shd w:val="clear" w:color="auto" w:fill="CCEEFF"/>
          </w:tcPr>
          <w:p>
            <w:pPr>
              <w:spacing w:after="0"/>
              <w:rPr>
                <w:sz w:val="12"/>
                <w:szCs w:val="12"/>
                <w:color w:val="auto"/>
              </w:rPr>
            </w:pPr>
          </w:p>
        </w:tc>
        <w:tc>
          <w:tcPr>
            <w:tcW w:w="3740" w:type="dxa"/>
            <w:vAlign w:val="bottom"/>
            <w:shd w:val="clear" w:color="auto" w:fill="CCEEFF"/>
          </w:tcPr>
          <w:p>
            <w:pPr>
              <w:spacing w:after="0"/>
              <w:rPr>
                <w:sz w:val="12"/>
                <w:szCs w:val="12"/>
                <w:color w:val="auto"/>
              </w:rPr>
            </w:pPr>
          </w:p>
        </w:tc>
        <w:tc>
          <w:tcPr>
            <w:tcW w:w="1600" w:type="dxa"/>
            <w:vAlign w:val="bottom"/>
            <w:shd w:val="clear" w:color="auto" w:fill="CCEEFF"/>
          </w:tcPr>
          <w:p>
            <w:pPr>
              <w:spacing w:after="0"/>
              <w:rPr>
                <w:sz w:val="12"/>
                <w:szCs w:val="12"/>
                <w:color w:val="auto"/>
              </w:rPr>
            </w:pPr>
          </w:p>
        </w:tc>
        <w:tc>
          <w:tcPr>
            <w:tcW w:w="92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Tranche B-1</w:t>
            </w: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780" w:type="dxa"/>
            <w:vAlign w:val="bottom"/>
            <w:shd w:val="clear" w:color="auto" w:fill="CCEEFF"/>
          </w:tcPr>
          <w:p>
            <w:pPr>
              <w:spacing w:after="0"/>
              <w:rPr>
                <w:sz w:val="13"/>
                <w:szCs w:val="13"/>
                <w:color w:val="auto"/>
              </w:rPr>
            </w:pPr>
          </w:p>
        </w:tc>
        <w:tc>
          <w:tcPr>
            <w:tcW w:w="3740" w:type="dxa"/>
            <w:vAlign w:val="bottom"/>
            <w:shd w:val="clear" w:color="auto" w:fill="CCEEFF"/>
          </w:tcPr>
          <w:p>
            <w:pPr>
              <w:spacing w:after="0"/>
              <w:rPr>
                <w:sz w:val="13"/>
                <w:szCs w:val="13"/>
                <w:color w:val="auto"/>
              </w:rPr>
            </w:pPr>
          </w:p>
        </w:tc>
        <w:tc>
          <w:tcPr>
            <w:tcW w:w="1600" w:type="dxa"/>
            <w:vAlign w:val="bottom"/>
            <w:shd w:val="clear" w:color="auto" w:fill="CCEEFF"/>
          </w:tcPr>
          <w:p>
            <w:pPr>
              <w:spacing w:after="0"/>
              <w:rPr>
                <w:sz w:val="13"/>
                <w:szCs w:val="13"/>
                <w:color w:val="auto"/>
              </w:rPr>
            </w:pPr>
          </w:p>
        </w:tc>
        <w:tc>
          <w:tcPr>
            <w:tcW w:w="920" w:type="dxa"/>
            <w:vAlign w:val="bottom"/>
            <w:gridSpan w:val="3"/>
            <w:shd w:val="clear" w:color="auto" w:fill="CCEEFF"/>
          </w:tcPr>
          <w:p>
            <w:pPr>
              <w:ind w:left="100"/>
              <w:spacing w:after="0" w:line="159" w:lineRule="exact"/>
              <w:rPr>
                <w:sz w:val="20"/>
                <w:szCs w:val="20"/>
                <w:color w:val="auto"/>
              </w:rPr>
            </w:pPr>
            <w:r>
              <w:rPr>
                <w:rFonts w:ascii="Arial" w:cs="Arial" w:eastAsia="Arial" w:hAnsi="Arial"/>
                <w:sz w:val="14"/>
                <w:szCs w:val="14"/>
                <w:color w:val="auto"/>
              </w:rPr>
              <w:t>Term Loan</w:t>
            </w:r>
          </w:p>
        </w:tc>
        <w:tc>
          <w:tcPr>
            <w:tcW w:w="3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5.00%</w:t>
            </w:r>
          </w:p>
        </w:tc>
        <w:tc>
          <w:tcPr>
            <w:tcW w:w="72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w w:val="96"/>
              </w:rPr>
              <w:t>5/24/2019</w:t>
            </w: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w w:val="83"/>
              </w:rPr>
              <w:t>5,412,086</w:t>
            </w:r>
          </w:p>
        </w:tc>
        <w:tc>
          <w:tcPr>
            <w:tcW w:w="14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w w:val="93"/>
              </w:rPr>
              <w:t>5,370,590</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96"/>
              </w:rPr>
              <w:t>5,424,642</w:t>
            </w: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4520" w:type="dxa"/>
            <w:vAlign w:val="bottom"/>
            <w:gridSpan w:val="2"/>
          </w:tcPr>
          <w:p>
            <w:pPr>
              <w:spacing w:after="0" w:line="138" w:lineRule="exact"/>
              <w:rPr>
                <w:sz w:val="20"/>
                <w:szCs w:val="20"/>
                <w:color w:val="auto"/>
              </w:rPr>
            </w:pPr>
            <w:r>
              <w:rPr>
                <w:rFonts w:ascii="Arial" w:cs="Arial" w:eastAsia="Arial" w:hAnsi="Arial"/>
                <w:sz w:val="14"/>
                <w:szCs w:val="14"/>
                <w:color w:val="auto"/>
              </w:rPr>
              <w:t>Auction.Com, LLC</w:t>
            </w:r>
          </w:p>
        </w:tc>
        <w:tc>
          <w:tcPr>
            <w:tcW w:w="1600" w:type="dxa"/>
            <w:vAlign w:val="bottom"/>
          </w:tcPr>
          <w:p>
            <w:pPr>
              <w:spacing w:after="0" w:line="138" w:lineRule="exact"/>
              <w:rPr>
                <w:sz w:val="20"/>
                <w:szCs w:val="20"/>
                <w:color w:val="auto"/>
              </w:rPr>
            </w:pPr>
            <w:r>
              <w:rPr>
                <w:rFonts w:ascii="Arial" w:cs="Arial" w:eastAsia="Arial" w:hAnsi="Arial"/>
                <w:sz w:val="14"/>
                <w:szCs w:val="14"/>
                <w:color w:val="auto"/>
              </w:rPr>
              <w:t>Services: Business</w:t>
            </w:r>
          </w:p>
        </w:tc>
        <w:tc>
          <w:tcPr>
            <w:tcW w:w="920" w:type="dxa"/>
            <w:vAlign w:val="bottom"/>
            <w:gridSpan w:val="3"/>
          </w:tcPr>
          <w:p>
            <w:pPr>
              <w:ind w:left="100"/>
              <w:spacing w:after="0" w:line="138" w:lineRule="exact"/>
              <w:rPr>
                <w:sz w:val="20"/>
                <w:szCs w:val="20"/>
                <w:color w:val="auto"/>
              </w:rPr>
            </w:pPr>
            <w:r>
              <w:rPr>
                <w:rFonts w:ascii="Arial" w:cs="Arial" w:eastAsia="Arial" w:hAnsi="Arial"/>
                <w:sz w:val="14"/>
                <w:szCs w:val="14"/>
                <w:color w:val="auto"/>
              </w:rPr>
              <w:t>Term Loan</w:t>
            </w:r>
          </w:p>
        </w:tc>
        <w:tc>
          <w:tcPr>
            <w:tcW w:w="440" w:type="dxa"/>
            <w:vAlign w:val="bottom"/>
            <w:gridSpan w:val="2"/>
          </w:tcPr>
          <w:p>
            <w:pPr>
              <w:spacing w:after="0" w:line="138" w:lineRule="exact"/>
              <w:rPr>
                <w:sz w:val="20"/>
                <w:szCs w:val="20"/>
                <w:color w:val="auto"/>
              </w:rPr>
            </w:pPr>
            <w:r>
              <w:rPr>
                <w:rFonts w:ascii="Arial" w:cs="Arial" w:eastAsia="Arial" w:hAnsi="Arial"/>
                <w:sz w:val="14"/>
                <w:szCs w:val="14"/>
                <w:color w:val="auto"/>
              </w:rPr>
              <w:t>Loan</w:t>
            </w: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780" w:type="dxa"/>
            <w:vAlign w:val="bottom"/>
          </w:tcPr>
          <w:p>
            <w:pPr>
              <w:spacing w:after="0"/>
              <w:rPr>
                <w:sz w:val="13"/>
                <w:szCs w:val="13"/>
                <w:color w:val="auto"/>
              </w:rPr>
            </w:pPr>
          </w:p>
        </w:tc>
        <w:tc>
          <w:tcPr>
            <w:tcW w:w="374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920" w:type="dxa"/>
            <w:vAlign w:val="bottom"/>
            <w:gridSpan w:val="3"/>
          </w:tcPr>
          <w:p>
            <w:pPr>
              <w:ind w:left="100"/>
              <w:spacing w:after="0" w:line="159" w:lineRule="exact"/>
              <w:rPr>
                <w:sz w:val="20"/>
                <w:szCs w:val="20"/>
                <w:color w:val="auto"/>
              </w:rPr>
            </w:pPr>
            <w:r>
              <w:rPr>
                <w:rFonts w:ascii="Arial" w:cs="Arial" w:eastAsia="Arial" w:hAnsi="Arial"/>
                <w:sz w:val="14"/>
                <w:szCs w:val="14"/>
                <w:color w:val="auto"/>
              </w:rPr>
              <w:t>A-4</w:t>
            </w: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4.40%</w:t>
            </w:r>
          </w:p>
        </w:tc>
        <w:tc>
          <w:tcPr>
            <w:tcW w:w="72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w w:val="96"/>
              </w:rPr>
              <w:t>2/28/2017</w:t>
            </w: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70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914,567</w:t>
            </w:r>
          </w:p>
        </w:tc>
        <w:tc>
          <w:tcPr>
            <w:tcW w:w="140" w:type="dxa"/>
            <w:vAlign w:val="bottom"/>
          </w:tcPr>
          <w:p>
            <w:pPr>
              <w:spacing w:after="0"/>
              <w:rPr>
                <w:sz w:val="13"/>
                <w:szCs w:val="13"/>
                <w:color w:val="auto"/>
              </w:rPr>
            </w:pPr>
          </w:p>
        </w:tc>
        <w:tc>
          <w:tcPr>
            <w:tcW w:w="68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914,567</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jc w:val="right"/>
              <w:spacing w:after="0" w:line="159" w:lineRule="exact"/>
              <w:rPr>
                <w:sz w:val="20"/>
                <w:szCs w:val="20"/>
                <w:color w:val="auto"/>
              </w:rPr>
            </w:pPr>
            <w:r>
              <w:rPr>
                <w:rFonts w:ascii="Arial" w:cs="Arial" w:eastAsia="Arial" w:hAnsi="Arial"/>
                <w:sz w:val="14"/>
                <w:szCs w:val="14"/>
                <w:color w:val="auto"/>
              </w:rPr>
              <w:t>905,422</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5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Avantor Performance Materials Holdings, Inc.</w:t>
            </w:r>
          </w:p>
        </w:tc>
        <w:tc>
          <w:tcPr>
            <w:tcW w:w="16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Chemicals/Plastics</w:t>
            </w:r>
          </w:p>
        </w:tc>
        <w:tc>
          <w:tcPr>
            <w:tcW w:w="92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Term Loan</w:t>
            </w:r>
          </w:p>
        </w:tc>
        <w:tc>
          <w:tcPr>
            <w:tcW w:w="4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Loan</w:t>
            </w:r>
          </w:p>
        </w:tc>
        <w:tc>
          <w:tcPr>
            <w:tcW w:w="7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5.25%</w:t>
            </w:r>
          </w:p>
        </w:tc>
        <w:tc>
          <w:tcPr>
            <w:tcW w:w="7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96"/>
              </w:rPr>
              <w:t>6/24/2017</w:t>
            </w: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83"/>
              </w:rPr>
              <w:t>4,319,115</w:t>
            </w:r>
          </w:p>
        </w:tc>
        <w:tc>
          <w:tcPr>
            <w:tcW w:w="1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3"/>
              </w:rPr>
              <w:t>4,309,242</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4,297,520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20" w:type="dxa"/>
            <w:vAlign w:val="bottom"/>
            <w:gridSpan w:val="2"/>
          </w:tcPr>
          <w:p>
            <w:pPr>
              <w:spacing w:after="0" w:line="149" w:lineRule="exact"/>
              <w:rPr>
                <w:sz w:val="20"/>
                <w:szCs w:val="20"/>
                <w:color w:val="auto"/>
              </w:rPr>
            </w:pPr>
            <w:r>
              <w:rPr>
                <w:rFonts w:ascii="Arial" w:cs="Arial" w:eastAsia="Arial" w:hAnsi="Arial"/>
                <w:sz w:val="14"/>
                <w:szCs w:val="14"/>
                <w:color w:val="auto"/>
              </w:rPr>
              <w:t>Avast Software</w:t>
            </w:r>
          </w:p>
        </w:tc>
        <w:tc>
          <w:tcPr>
            <w:tcW w:w="1600" w:type="dxa"/>
            <w:vAlign w:val="bottom"/>
          </w:tcPr>
          <w:p>
            <w:pPr>
              <w:spacing w:after="0" w:line="149" w:lineRule="exact"/>
              <w:rPr>
                <w:sz w:val="20"/>
                <w:szCs w:val="20"/>
                <w:color w:val="auto"/>
              </w:rPr>
            </w:pPr>
            <w:r>
              <w:rPr>
                <w:rFonts w:ascii="Arial" w:cs="Arial" w:eastAsia="Arial" w:hAnsi="Arial"/>
                <w:sz w:val="14"/>
                <w:szCs w:val="14"/>
                <w:color w:val="auto"/>
              </w:rPr>
              <w:t>Electronics/Electric</w:t>
            </w:r>
          </w:p>
        </w:tc>
        <w:tc>
          <w:tcPr>
            <w:tcW w:w="92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Term Loan</w:t>
            </w:r>
          </w:p>
        </w:tc>
        <w:tc>
          <w:tcPr>
            <w:tcW w:w="440" w:type="dxa"/>
            <w:vAlign w:val="bottom"/>
            <w:gridSpan w:val="2"/>
          </w:tcPr>
          <w:p>
            <w:pPr>
              <w:spacing w:after="0" w:line="149" w:lineRule="exact"/>
              <w:rPr>
                <w:sz w:val="20"/>
                <w:szCs w:val="20"/>
                <w:color w:val="auto"/>
              </w:rPr>
            </w:pPr>
            <w:r>
              <w:rPr>
                <w:rFonts w:ascii="Arial" w:cs="Arial" w:eastAsia="Arial" w:hAnsi="Arial"/>
                <w:sz w:val="14"/>
                <w:szCs w:val="14"/>
                <w:color w:val="auto"/>
              </w:rPr>
              <w:t>Loan</w:t>
            </w:r>
          </w:p>
        </w:tc>
        <w:tc>
          <w:tcPr>
            <w:tcW w:w="7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4.75%</w:t>
            </w:r>
          </w:p>
        </w:tc>
        <w:tc>
          <w:tcPr>
            <w:tcW w:w="7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w w:val="96"/>
              </w:rPr>
              <w:t>3/20/2020</w:t>
            </w: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7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w w:val="83"/>
              </w:rPr>
              <w:t>1,925,000</w:t>
            </w:r>
          </w:p>
        </w:tc>
        <w:tc>
          <w:tcPr>
            <w:tcW w:w="140" w:type="dxa"/>
            <w:vAlign w:val="bottom"/>
          </w:tcPr>
          <w:p>
            <w:pPr>
              <w:spacing w:after="0"/>
              <w:rPr>
                <w:sz w:val="12"/>
                <w:szCs w:val="12"/>
                <w:color w:val="auto"/>
              </w:rPr>
            </w:pPr>
          </w:p>
        </w:tc>
        <w:tc>
          <w:tcPr>
            <w:tcW w:w="6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w w:val="93"/>
              </w:rPr>
              <w:t>1,923,275</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w w:val="96"/>
              </w:rPr>
              <w:t>1,937,031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AZ Chem US Inc.</w:t>
            </w:r>
          </w:p>
        </w:tc>
        <w:tc>
          <w:tcPr>
            <w:tcW w:w="16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Chemicals/Plastics</w:t>
            </w:r>
          </w:p>
        </w:tc>
        <w:tc>
          <w:tcPr>
            <w:tcW w:w="92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Term Loan</w:t>
            </w:r>
          </w:p>
        </w:tc>
        <w:tc>
          <w:tcPr>
            <w:tcW w:w="4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Loan</w:t>
            </w:r>
          </w:p>
        </w:tc>
        <w:tc>
          <w:tcPr>
            <w:tcW w:w="7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5.25%</w:t>
            </w:r>
          </w:p>
        </w:tc>
        <w:tc>
          <w:tcPr>
            <w:tcW w:w="7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96"/>
              </w:rPr>
              <w:t>6/12/2021</w:t>
            </w: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467,123</w:t>
            </w:r>
          </w:p>
        </w:tc>
        <w:tc>
          <w:tcPr>
            <w:tcW w:w="1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464,958</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466,614</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4520" w:type="dxa"/>
            <w:vAlign w:val="bottom"/>
            <w:gridSpan w:val="2"/>
          </w:tcPr>
          <w:p>
            <w:pPr>
              <w:spacing w:after="0" w:line="138" w:lineRule="exact"/>
              <w:rPr>
                <w:sz w:val="20"/>
                <w:szCs w:val="20"/>
                <w:color w:val="auto"/>
              </w:rPr>
            </w:pPr>
            <w:r>
              <w:rPr>
                <w:rFonts w:ascii="Arial" w:cs="Arial" w:eastAsia="Arial" w:hAnsi="Arial"/>
                <w:sz w:val="14"/>
                <w:szCs w:val="14"/>
                <w:color w:val="auto"/>
              </w:rPr>
              <w:t>Bass Pro Group, LLC</w:t>
            </w:r>
          </w:p>
        </w:tc>
        <w:tc>
          <w:tcPr>
            <w:tcW w:w="1600" w:type="dxa"/>
            <w:vAlign w:val="bottom"/>
          </w:tcPr>
          <w:p>
            <w:pPr>
              <w:spacing w:after="0" w:line="138" w:lineRule="exact"/>
              <w:rPr>
                <w:sz w:val="20"/>
                <w:szCs w:val="20"/>
                <w:color w:val="auto"/>
              </w:rPr>
            </w:pPr>
            <w:r>
              <w:rPr>
                <w:rFonts w:ascii="Arial" w:cs="Arial" w:eastAsia="Arial" w:hAnsi="Arial"/>
                <w:sz w:val="14"/>
                <w:szCs w:val="14"/>
                <w:color w:val="auto"/>
                <w:w w:val="93"/>
              </w:rPr>
              <w:t>Retailers (Except Food and</w:t>
            </w:r>
          </w:p>
        </w:tc>
        <w:tc>
          <w:tcPr>
            <w:tcW w:w="920" w:type="dxa"/>
            <w:vAlign w:val="bottom"/>
            <w:gridSpan w:val="3"/>
          </w:tcPr>
          <w:p>
            <w:pPr>
              <w:ind w:left="100"/>
              <w:spacing w:after="0" w:line="138" w:lineRule="exact"/>
              <w:rPr>
                <w:sz w:val="20"/>
                <w:szCs w:val="20"/>
                <w:color w:val="auto"/>
              </w:rPr>
            </w:pPr>
            <w:r>
              <w:rPr>
                <w:rFonts w:ascii="Arial" w:cs="Arial" w:eastAsia="Arial" w:hAnsi="Arial"/>
                <w:sz w:val="14"/>
                <w:szCs w:val="14"/>
                <w:color w:val="auto"/>
              </w:rPr>
              <w:t>New Term</w:t>
            </w:r>
          </w:p>
        </w:tc>
        <w:tc>
          <w:tcPr>
            <w:tcW w:w="440" w:type="dxa"/>
            <w:vAlign w:val="bottom"/>
            <w:gridSpan w:val="2"/>
          </w:tcPr>
          <w:p>
            <w:pPr>
              <w:spacing w:after="0" w:line="138" w:lineRule="exact"/>
              <w:rPr>
                <w:sz w:val="20"/>
                <w:szCs w:val="20"/>
                <w:color w:val="auto"/>
              </w:rPr>
            </w:pPr>
            <w:r>
              <w:rPr>
                <w:rFonts w:ascii="Arial" w:cs="Arial" w:eastAsia="Arial" w:hAnsi="Arial"/>
                <w:sz w:val="14"/>
                <w:szCs w:val="14"/>
                <w:color w:val="auto"/>
              </w:rPr>
              <w:t>Loan</w:t>
            </w: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780" w:type="dxa"/>
            <w:vAlign w:val="bottom"/>
          </w:tcPr>
          <w:p>
            <w:pPr>
              <w:spacing w:after="0"/>
              <w:rPr>
                <w:sz w:val="13"/>
                <w:szCs w:val="13"/>
                <w:color w:val="auto"/>
              </w:rPr>
            </w:pPr>
          </w:p>
        </w:tc>
        <w:tc>
          <w:tcPr>
            <w:tcW w:w="3740" w:type="dxa"/>
            <w:vAlign w:val="bottom"/>
          </w:tcPr>
          <w:p>
            <w:pPr>
              <w:spacing w:after="0"/>
              <w:rPr>
                <w:sz w:val="13"/>
                <w:szCs w:val="13"/>
                <w:color w:val="auto"/>
              </w:rPr>
            </w:pPr>
          </w:p>
        </w:tc>
        <w:tc>
          <w:tcPr>
            <w:tcW w:w="1600" w:type="dxa"/>
            <w:vAlign w:val="bottom"/>
          </w:tcPr>
          <w:p>
            <w:pPr>
              <w:spacing w:after="0" w:line="159" w:lineRule="exact"/>
              <w:rPr>
                <w:sz w:val="20"/>
                <w:szCs w:val="20"/>
                <w:color w:val="auto"/>
              </w:rPr>
            </w:pPr>
            <w:r>
              <w:rPr>
                <w:rFonts w:ascii="Arial" w:cs="Arial" w:eastAsia="Arial" w:hAnsi="Arial"/>
                <w:sz w:val="14"/>
                <w:szCs w:val="14"/>
                <w:color w:val="auto"/>
              </w:rPr>
              <w:t>Drugs)</w:t>
            </w:r>
          </w:p>
        </w:tc>
        <w:tc>
          <w:tcPr>
            <w:tcW w:w="920" w:type="dxa"/>
            <w:vAlign w:val="bottom"/>
            <w:gridSpan w:val="3"/>
          </w:tcPr>
          <w:p>
            <w:pPr>
              <w:ind w:left="100"/>
              <w:spacing w:after="0" w:line="159" w:lineRule="exact"/>
              <w:rPr>
                <w:sz w:val="20"/>
                <w:szCs w:val="20"/>
                <w:color w:val="auto"/>
              </w:rPr>
            </w:pPr>
            <w:r>
              <w:rPr>
                <w:rFonts w:ascii="Arial" w:cs="Arial" w:eastAsia="Arial" w:hAnsi="Arial"/>
                <w:sz w:val="14"/>
                <w:szCs w:val="14"/>
                <w:color w:val="auto"/>
              </w:rPr>
              <w:t>Loan</w:t>
            </w: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3.75%</w:t>
            </w:r>
          </w:p>
        </w:tc>
        <w:tc>
          <w:tcPr>
            <w:tcW w:w="72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w w:val="85"/>
              </w:rPr>
              <w:t>11/20/2019</w:t>
            </w: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70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493,623</w:t>
            </w:r>
          </w:p>
        </w:tc>
        <w:tc>
          <w:tcPr>
            <w:tcW w:w="140" w:type="dxa"/>
            <w:vAlign w:val="bottom"/>
          </w:tcPr>
          <w:p>
            <w:pPr>
              <w:spacing w:after="0"/>
              <w:rPr>
                <w:sz w:val="13"/>
                <w:szCs w:val="13"/>
                <w:color w:val="auto"/>
              </w:rPr>
            </w:pPr>
          </w:p>
        </w:tc>
        <w:tc>
          <w:tcPr>
            <w:tcW w:w="68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493,111</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jc w:val="right"/>
              <w:spacing w:after="0" w:line="159" w:lineRule="exact"/>
              <w:rPr>
                <w:sz w:val="20"/>
                <w:szCs w:val="20"/>
                <w:color w:val="auto"/>
              </w:rPr>
            </w:pPr>
            <w:r>
              <w:rPr>
                <w:rFonts w:ascii="Arial" w:cs="Arial" w:eastAsia="Arial" w:hAnsi="Arial"/>
                <w:sz w:val="14"/>
                <w:szCs w:val="14"/>
                <w:color w:val="auto"/>
              </w:rPr>
              <w:t>492,236</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452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Bayonne Energy Center</w:t>
            </w:r>
          </w:p>
        </w:tc>
        <w:tc>
          <w:tcPr>
            <w:tcW w:w="160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Oil &amp; Gas</w:t>
            </w:r>
          </w:p>
        </w:tc>
        <w:tc>
          <w:tcPr>
            <w:tcW w:w="920" w:type="dxa"/>
            <w:vAlign w:val="bottom"/>
            <w:gridSpan w:val="3"/>
            <w:shd w:val="clear" w:color="auto" w:fill="CCEEFF"/>
          </w:tcPr>
          <w:p>
            <w:pPr>
              <w:ind w:left="100"/>
              <w:spacing w:after="0" w:line="138" w:lineRule="exact"/>
              <w:rPr>
                <w:sz w:val="20"/>
                <w:szCs w:val="20"/>
                <w:color w:val="auto"/>
              </w:rPr>
            </w:pPr>
            <w:r>
              <w:rPr>
                <w:rFonts w:ascii="Arial" w:cs="Arial" w:eastAsia="Arial" w:hAnsi="Arial"/>
                <w:sz w:val="14"/>
                <w:szCs w:val="14"/>
                <w:color w:val="auto"/>
              </w:rPr>
              <w:t>Term Loan</w:t>
            </w:r>
          </w:p>
        </w:tc>
        <w:tc>
          <w:tcPr>
            <w:tcW w:w="44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Loan</w:t>
            </w:r>
          </w:p>
        </w:tc>
        <w:tc>
          <w:tcPr>
            <w:tcW w:w="5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780" w:type="dxa"/>
            <w:vAlign w:val="bottom"/>
            <w:shd w:val="clear" w:color="auto" w:fill="CCEEFF"/>
          </w:tcPr>
          <w:p>
            <w:pPr>
              <w:spacing w:after="0"/>
              <w:rPr>
                <w:sz w:val="13"/>
                <w:szCs w:val="13"/>
                <w:color w:val="auto"/>
              </w:rPr>
            </w:pPr>
          </w:p>
        </w:tc>
        <w:tc>
          <w:tcPr>
            <w:tcW w:w="3740" w:type="dxa"/>
            <w:vAlign w:val="bottom"/>
            <w:shd w:val="clear" w:color="auto" w:fill="CCEEFF"/>
          </w:tcPr>
          <w:p>
            <w:pPr>
              <w:spacing w:after="0"/>
              <w:rPr>
                <w:sz w:val="13"/>
                <w:szCs w:val="13"/>
                <w:color w:val="auto"/>
              </w:rPr>
            </w:pPr>
          </w:p>
        </w:tc>
        <w:tc>
          <w:tcPr>
            <w:tcW w:w="1600" w:type="dxa"/>
            <w:vAlign w:val="bottom"/>
            <w:shd w:val="clear" w:color="auto" w:fill="CCEEFF"/>
          </w:tcPr>
          <w:p>
            <w:pPr>
              <w:spacing w:after="0"/>
              <w:rPr>
                <w:sz w:val="13"/>
                <w:szCs w:val="13"/>
                <w:color w:val="auto"/>
              </w:rPr>
            </w:pPr>
          </w:p>
        </w:tc>
        <w:tc>
          <w:tcPr>
            <w:tcW w:w="920" w:type="dxa"/>
            <w:vAlign w:val="bottom"/>
            <w:gridSpan w:val="3"/>
            <w:shd w:val="clear" w:color="auto" w:fill="CCEEFF"/>
          </w:tcPr>
          <w:p>
            <w:pPr>
              <w:ind w:left="100"/>
              <w:spacing w:after="0" w:line="159" w:lineRule="exact"/>
              <w:rPr>
                <w:sz w:val="20"/>
                <w:szCs w:val="20"/>
                <w:color w:val="auto"/>
              </w:rPr>
            </w:pPr>
            <w:r>
              <w:rPr>
                <w:rFonts w:ascii="Arial" w:cs="Arial" w:eastAsia="Arial" w:hAnsi="Arial"/>
                <w:sz w:val="14"/>
                <w:szCs w:val="14"/>
                <w:color w:val="auto"/>
              </w:rPr>
              <w:t>B</w:t>
            </w:r>
          </w:p>
        </w:tc>
        <w:tc>
          <w:tcPr>
            <w:tcW w:w="3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5.00%</w:t>
            </w:r>
          </w:p>
        </w:tc>
        <w:tc>
          <w:tcPr>
            <w:tcW w:w="72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w w:val="96"/>
              </w:rPr>
              <w:t>8/19/2021</w:t>
            </w: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969,671</w:t>
            </w:r>
          </w:p>
        </w:tc>
        <w:tc>
          <w:tcPr>
            <w:tcW w:w="14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965,093</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964,416</w:t>
            </w: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520" w:type="dxa"/>
            <w:vAlign w:val="bottom"/>
            <w:gridSpan w:val="2"/>
          </w:tcPr>
          <w:p>
            <w:pPr>
              <w:spacing w:after="0" w:line="149" w:lineRule="exact"/>
              <w:rPr>
                <w:sz w:val="20"/>
                <w:szCs w:val="20"/>
                <w:color w:val="auto"/>
              </w:rPr>
            </w:pPr>
            <w:r>
              <w:rPr>
                <w:rFonts w:ascii="Arial" w:cs="Arial" w:eastAsia="Arial" w:hAnsi="Arial"/>
                <w:sz w:val="14"/>
                <w:szCs w:val="14"/>
                <w:color w:val="auto"/>
              </w:rPr>
              <w:t>Belmond Hotels</w:t>
            </w:r>
          </w:p>
        </w:tc>
        <w:tc>
          <w:tcPr>
            <w:tcW w:w="1600" w:type="dxa"/>
            <w:vAlign w:val="bottom"/>
          </w:tcPr>
          <w:p>
            <w:pPr>
              <w:spacing w:after="0" w:line="149" w:lineRule="exact"/>
              <w:rPr>
                <w:sz w:val="20"/>
                <w:szCs w:val="20"/>
                <w:color w:val="auto"/>
              </w:rPr>
            </w:pPr>
            <w:r>
              <w:rPr>
                <w:rFonts w:ascii="Arial" w:cs="Arial" w:eastAsia="Arial" w:hAnsi="Arial"/>
                <w:sz w:val="14"/>
                <w:szCs w:val="14"/>
                <w:color w:val="auto"/>
              </w:rPr>
              <w:t>Lodging &amp; Casinos</w:t>
            </w:r>
          </w:p>
        </w:tc>
        <w:tc>
          <w:tcPr>
            <w:tcW w:w="92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Term Loan</w:t>
            </w:r>
          </w:p>
        </w:tc>
        <w:tc>
          <w:tcPr>
            <w:tcW w:w="440" w:type="dxa"/>
            <w:vAlign w:val="bottom"/>
            <w:gridSpan w:val="2"/>
          </w:tcPr>
          <w:p>
            <w:pPr>
              <w:spacing w:after="0" w:line="149" w:lineRule="exact"/>
              <w:rPr>
                <w:sz w:val="20"/>
                <w:szCs w:val="20"/>
                <w:color w:val="auto"/>
              </w:rPr>
            </w:pPr>
            <w:r>
              <w:rPr>
                <w:rFonts w:ascii="Arial" w:cs="Arial" w:eastAsia="Arial" w:hAnsi="Arial"/>
                <w:sz w:val="14"/>
                <w:szCs w:val="14"/>
                <w:color w:val="auto"/>
              </w:rPr>
              <w:t>Loan</w:t>
            </w:r>
          </w:p>
        </w:tc>
        <w:tc>
          <w:tcPr>
            <w:tcW w:w="7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4.00%</w:t>
            </w:r>
          </w:p>
        </w:tc>
        <w:tc>
          <w:tcPr>
            <w:tcW w:w="7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w w:val="96"/>
              </w:rPr>
              <w:t>3/19/2021</w:t>
            </w: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7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496,250</w:t>
            </w:r>
          </w:p>
        </w:tc>
        <w:tc>
          <w:tcPr>
            <w:tcW w:w="140" w:type="dxa"/>
            <w:vAlign w:val="bottom"/>
          </w:tcPr>
          <w:p>
            <w:pPr>
              <w:spacing w:after="0"/>
              <w:rPr>
                <w:sz w:val="12"/>
                <w:szCs w:val="12"/>
                <w:color w:val="auto"/>
              </w:rPr>
            </w:pPr>
          </w:p>
        </w:tc>
        <w:tc>
          <w:tcPr>
            <w:tcW w:w="6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494,055</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495,009</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Berry Plastics Corporation</w:t>
            </w:r>
          </w:p>
        </w:tc>
        <w:tc>
          <w:tcPr>
            <w:tcW w:w="16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Chemicals/Plastics</w:t>
            </w:r>
          </w:p>
        </w:tc>
        <w:tc>
          <w:tcPr>
            <w:tcW w:w="92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w w:val="98"/>
              </w:rPr>
              <w:t>Term E Loan</w:t>
            </w:r>
          </w:p>
        </w:tc>
        <w:tc>
          <w:tcPr>
            <w:tcW w:w="4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Loan</w:t>
            </w:r>
          </w:p>
        </w:tc>
        <w:tc>
          <w:tcPr>
            <w:tcW w:w="7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3.75%</w:t>
            </w:r>
          </w:p>
        </w:tc>
        <w:tc>
          <w:tcPr>
            <w:tcW w:w="7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1/6/2021</w:t>
            </w: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83"/>
              </w:rPr>
              <w:t>1,814,499</w:t>
            </w:r>
          </w:p>
        </w:tc>
        <w:tc>
          <w:tcPr>
            <w:tcW w:w="1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3"/>
              </w:rPr>
              <w:t>1,802,403</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1,812,648</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4520" w:type="dxa"/>
            <w:vAlign w:val="bottom"/>
            <w:gridSpan w:val="2"/>
          </w:tcPr>
          <w:p>
            <w:pPr>
              <w:spacing w:after="0" w:line="138" w:lineRule="exact"/>
              <w:rPr>
                <w:sz w:val="20"/>
                <w:szCs w:val="20"/>
                <w:color w:val="auto"/>
              </w:rPr>
            </w:pPr>
            <w:r>
              <w:rPr>
                <w:rFonts w:ascii="Arial" w:cs="Arial" w:eastAsia="Arial" w:hAnsi="Arial"/>
                <w:sz w:val="14"/>
                <w:szCs w:val="14"/>
                <w:color w:val="auto"/>
              </w:rPr>
              <w:t>Big Heart Pet Brands (fka Del Monte Corporation)</w:t>
            </w:r>
          </w:p>
        </w:tc>
        <w:tc>
          <w:tcPr>
            <w:tcW w:w="1600" w:type="dxa"/>
            <w:vAlign w:val="bottom"/>
          </w:tcPr>
          <w:p>
            <w:pPr>
              <w:spacing w:after="0" w:line="138" w:lineRule="exact"/>
              <w:rPr>
                <w:sz w:val="20"/>
                <w:szCs w:val="20"/>
                <w:color w:val="auto"/>
              </w:rPr>
            </w:pPr>
            <w:r>
              <w:rPr>
                <w:rFonts w:ascii="Arial" w:cs="Arial" w:eastAsia="Arial" w:hAnsi="Arial"/>
                <w:sz w:val="14"/>
                <w:szCs w:val="14"/>
                <w:color w:val="auto"/>
              </w:rPr>
              <w:t>Food/Drug Retailers</w:t>
            </w:r>
          </w:p>
        </w:tc>
        <w:tc>
          <w:tcPr>
            <w:tcW w:w="920" w:type="dxa"/>
            <w:vAlign w:val="bottom"/>
            <w:gridSpan w:val="3"/>
          </w:tcPr>
          <w:p>
            <w:pPr>
              <w:ind w:left="100"/>
              <w:spacing w:after="0" w:line="138" w:lineRule="exact"/>
              <w:rPr>
                <w:sz w:val="20"/>
                <w:szCs w:val="20"/>
                <w:color w:val="auto"/>
              </w:rPr>
            </w:pPr>
            <w:r>
              <w:rPr>
                <w:rFonts w:ascii="Arial" w:cs="Arial" w:eastAsia="Arial" w:hAnsi="Arial"/>
                <w:sz w:val="14"/>
                <w:szCs w:val="14"/>
                <w:color w:val="auto"/>
              </w:rPr>
              <w:t>Initial Term</w:t>
            </w:r>
          </w:p>
        </w:tc>
        <w:tc>
          <w:tcPr>
            <w:tcW w:w="440" w:type="dxa"/>
            <w:vAlign w:val="bottom"/>
            <w:gridSpan w:val="2"/>
          </w:tcPr>
          <w:p>
            <w:pPr>
              <w:spacing w:after="0" w:line="138" w:lineRule="exact"/>
              <w:rPr>
                <w:sz w:val="20"/>
                <w:szCs w:val="20"/>
                <w:color w:val="auto"/>
              </w:rPr>
            </w:pPr>
            <w:r>
              <w:rPr>
                <w:rFonts w:ascii="Arial" w:cs="Arial" w:eastAsia="Arial" w:hAnsi="Arial"/>
                <w:sz w:val="14"/>
                <w:szCs w:val="14"/>
                <w:color w:val="auto"/>
              </w:rPr>
              <w:t>Loan</w:t>
            </w: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780" w:type="dxa"/>
            <w:vAlign w:val="bottom"/>
          </w:tcPr>
          <w:p>
            <w:pPr>
              <w:spacing w:after="0"/>
              <w:rPr>
                <w:sz w:val="13"/>
                <w:szCs w:val="13"/>
                <w:color w:val="auto"/>
              </w:rPr>
            </w:pPr>
          </w:p>
        </w:tc>
        <w:tc>
          <w:tcPr>
            <w:tcW w:w="374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920" w:type="dxa"/>
            <w:vAlign w:val="bottom"/>
            <w:gridSpan w:val="3"/>
          </w:tcPr>
          <w:p>
            <w:pPr>
              <w:ind w:left="100"/>
              <w:spacing w:after="0" w:line="159" w:lineRule="exact"/>
              <w:rPr>
                <w:sz w:val="20"/>
                <w:szCs w:val="20"/>
                <w:color w:val="auto"/>
              </w:rPr>
            </w:pPr>
            <w:r>
              <w:rPr>
                <w:rFonts w:ascii="Arial" w:cs="Arial" w:eastAsia="Arial" w:hAnsi="Arial"/>
                <w:sz w:val="14"/>
                <w:szCs w:val="14"/>
                <w:color w:val="auto"/>
              </w:rPr>
              <w:t>Loan</w:t>
            </w: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3.50%</w:t>
            </w:r>
          </w:p>
        </w:tc>
        <w:tc>
          <w:tcPr>
            <w:tcW w:w="72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3/9/2020</w:t>
            </w: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70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w w:val="83"/>
              </w:rPr>
              <w:t>2,977,500</w:t>
            </w:r>
          </w:p>
        </w:tc>
        <w:tc>
          <w:tcPr>
            <w:tcW w:w="140" w:type="dxa"/>
            <w:vAlign w:val="bottom"/>
          </w:tcPr>
          <w:p>
            <w:pPr>
              <w:spacing w:after="0"/>
              <w:rPr>
                <w:sz w:val="13"/>
                <w:szCs w:val="13"/>
                <w:color w:val="auto"/>
              </w:rPr>
            </w:pPr>
          </w:p>
        </w:tc>
        <w:tc>
          <w:tcPr>
            <w:tcW w:w="68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w w:val="93"/>
              </w:rPr>
              <w:t>2,996,769</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jc w:val="right"/>
              <w:spacing w:after="0" w:line="159" w:lineRule="exact"/>
              <w:rPr>
                <w:sz w:val="20"/>
                <w:szCs w:val="20"/>
                <w:color w:val="auto"/>
              </w:rPr>
            </w:pPr>
            <w:r>
              <w:rPr>
                <w:rFonts w:ascii="Arial" w:cs="Arial" w:eastAsia="Arial" w:hAnsi="Arial"/>
                <w:sz w:val="14"/>
                <w:szCs w:val="14"/>
                <w:color w:val="auto"/>
                <w:w w:val="96"/>
              </w:rPr>
              <w:t>2,971,307</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452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Biomet, Inc.</w:t>
            </w:r>
          </w:p>
        </w:tc>
        <w:tc>
          <w:tcPr>
            <w:tcW w:w="160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Healthcare &amp;</w:t>
            </w:r>
          </w:p>
        </w:tc>
        <w:tc>
          <w:tcPr>
            <w:tcW w:w="920" w:type="dxa"/>
            <w:vAlign w:val="bottom"/>
            <w:gridSpan w:val="3"/>
            <w:shd w:val="clear" w:color="auto" w:fill="CCEEFF"/>
          </w:tcPr>
          <w:p>
            <w:pPr>
              <w:ind w:left="100"/>
              <w:spacing w:after="0" w:line="138" w:lineRule="exact"/>
              <w:rPr>
                <w:sz w:val="20"/>
                <w:szCs w:val="20"/>
                <w:color w:val="auto"/>
              </w:rPr>
            </w:pPr>
            <w:r>
              <w:rPr>
                <w:rFonts w:ascii="Arial" w:cs="Arial" w:eastAsia="Arial" w:hAnsi="Arial"/>
                <w:sz w:val="14"/>
                <w:szCs w:val="14"/>
                <w:color w:val="auto"/>
              </w:rPr>
              <w:t>Dollar Term</w:t>
            </w:r>
          </w:p>
        </w:tc>
        <w:tc>
          <w:tcPr>
            <w:tcW w:w="44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Loan</w:t>
            </w:r>
          </w:p>
        </w:tc>
        <w:tc>
          <w:tcPr>
            <w:tcW w:w="5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780" w:type="dxa"/>
            <w:vAlign w:val="bottom"/>
            <w:shd w:val="clear" w:color="auto" w:fill="CCEEFF"/>
          </w:tcPr>
          <w:p>
            <w:pPr>
              <w:spacing w:after="0"/>
              <w:rPr>
                <w:sz w:val="13"/>
                <w:szCs w:val="13"/>
                <w:color w:val="auto"/>
              </w:rPr>
            </w:pPr>
          </w:p>
        </w:tc>
        <w:tc>
          <w:tcPr>
            <w:tcW w:w="3740" w:type="dxa"/>
            <w:vAlign w:val="bottom"/>
            <w:shd w:val="clear" w:color="auto" w:fill="CCEEFF"/>
          </w:tcPr>
          <w:p>
            <w:pPr>
              <w:spacing w:after="0"/>
              <w:rPr>
                <w:sz w:val="13"/>
                <w:szCs w:val="13"/>
                <w:color w:val="auto"/>
              </w:rPr>
            </w:pPr>
          </w:p>
        </w:tc>
        <w:tc>
          <w:tcPr>
            <w:tcW w:w="160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Pharmaceuticals</w:t>
            </w:r>
          </w:p>
        </w:tc>
        <w:tc>
          <w:tcPr>
            <w:tcW w:w="920" w:type="dxa"/>
            <w:vAlign w:val="bottom"/>
            <w:gridSpan w:val="3"/>
            <w:shd w:val="clear" w:color="auto" w:fill="CCEEFF"/>
          </w:tcPr>
          <w:p>
            <w:pPr>
              <w:ind w:left="100"/>
              <w:spacing w:after="0" w:line="159" w:lineRule="exact"/>
              <w:rPr>
                <w:sz w:val="20"/>
                <w:szCs w:val="20"/>
                <w:color w:val="auto"/>
              </w:rPr>
            </w:pPr>
            <w:r>
              <w:rPr>
                <w:rFonts w:ascii="Arial" w:cs="Arial" w:eastAsia="Arial" w:hAnsi="Arial"/>
                <w:sz w:val="14"/>
                <w:szCs w:val="14"/>
                <w:color w:val="auto"/>
              </w:rPr>
              <w:t>B-2 Loan</w:t>
            </w:r>
          </w:p>
        </w:tc>
        <w:tc>
          <w:tcPr>
            <w:tcW w:w="3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3.65%</w:t>
            </w:r>
          </w:p>
        </w:tc>
        <w:tc>
          <w:tcPr>
            <w:tcW w:w="72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w w:val="96"/>
              </w:rPr>
              <w:t>7/25/2017</w:t>
            </w: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w w:val="83"/>
              </w:rPr>
              <w:t>1,840,718</w:t>
            </w:r>
          </w:p>
        </w:tc>
        <w:tc>
          <w:tcPr>
            <w:tcW w:w="14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w w:val="93"/>
              </w:rPr>
              <w:t>1,840,718</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96"/>
              </w:rPr>
              <w:t>1,838,601</w:t>
            </w: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4520" w:type="dxa"/>
            <w:vAlign w:val="bottom"/>
            <w:gridSpan w:val="2"/>
          </w:tcPr>
          <w:p>
            <w:pPr>
              <w:spacing w:after="0" w:line="138" w:lineRule="exact"/>
              <w:rPr>
                <w:sz w:val="20"/>
                <w:szCs w:val="20"/>
                <w:color w:val="auto"/>
              </w:rPr>
            </w:pPr>
            <w:r>
              <w:rPr>
                <w:rFonts w:ascii="Arial" w:cs="Arial" w:eastAsia="Arial" w:hAnsi="Arial"/>
                <w:sz w:val="14"/>
                <w:szCs w:val="14"/>
                <w:color w:val="auto"/>
              </w:rPr>
              <w:t>BJ’s Wholesale Club, Inc.</w:t>
            </w:r>
          </w:p>
        </w:tc>
        <w:tc>
          <w:tcPr>
            <w:tcW w:w="1600" w:type="dxa"/>
            <w:vAlign w:val="bottom"/>
          </w:tcPr>
          <w:p>
            <w:pPr>
              <w:spacing w:after="0" w:line="138" w:lineRule="exact"/>
              <w:rPr>
                <w:sz w:val="20"/>
                <w:szCs w:val="20"/>
                <w:color w:val="auto"/>
              </w:rPr>
            </w:pPr>
            <w:r>
              <w:rPr>
                <w:rFonts w:ascii="Arial" w:cs="Arial" w:eastAsia="Arial" w:hAnsi="Arial"/>
                <w:sz w:val="14"/>
                <w:szCs w:val="14"/>
                <w:color w:val="auto"/>
              </w:rPr>
              <w:t>Food/Drug Retailers</w:t>
            </w:r>
          </w:p>
        </w:tc>
        <w:tc>
          <w:tcPr>
            <w:tcW w:w="920" w:type="dxa"/>
            <w:vAlign w:val="bottom"/>
            <w:gridSpan w:val="3"/>
          </w:tcPr>
          <w:p>
            <w:pPr>
              <w:ind w:left="100"/>
              <w:spacing w:after="0" w:line="138" w:lineRule="exact"/>
              <w:rPr>
                <w:sz w:val="20"/>
                <w:szCs w:val="20"/>
                <w:color w:val="auto"/>
              </w:rPr>
            </w:pPr>
            <w:r>
              <w:rPr>
                <w:rFonts w:ascii="Arial" w:cs="Arial" w:eastAsia="Arial" w:hAnsi="Arial"/>
                <w:sz w:val="14"/>
                <w:szCs w:val="14"/>
                <w:color w:val="auto"/>
              </w:rPr>
              <w:t>New 2013</w:t>
            </w:r>
          </w:p>
        </w:tc>
        <w:tc>
          <w:tcPr>
            <w:tcW w:w="440" w:type="dxa"/>
            <w:vAlign w:val="bottom"/>
            <w:gridSpan w:val="2"/>
          </w:tcPr>
          <w:p>
            <w:pPr>
              <w:spacing w:after="0" w:line="138" w:lineRule="exact"/>
              <w:rPr>
                <w:sz w:val="20"/>
                <w:szCs w:val="20"/>
                <w:color w:val="auto"/>
              </w:rPr>
            </w:pPr>
            <w:r>
              <w:rPr>
                <w:rFonts w:ascii="Arial" w:cs="Arial" w:eastAsia="Arial" w:hAnsi="Arial"/>
                <w:sz w:val="14"/>
                <w:szCs w:val="14"/>
                <w:color w:val="auto"/>
              </w:rPr>
              <w:t>Loan</w:t>
            </w: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780" w:type="dxa"/>
            <w:vAlign w:val="bottom"/>
          </w:tcPr>
          <w:p>
            <w:pPr>
              <w:spacing w:after="0"/>
              <w:rPr>
                <w:sz w:val="12"/>
                <w:szCs w:val="12"/>
                <w:color w:val="auto"/>
              </w:rPr>
            </w:pPr>
          </w:p>
        </w:tc>
        <w:tc>
          <w:tcPr>
            <w:tcW w:w="374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92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(November)</w:t>
            </w: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80" w:type="dxa"/>
            <w:vAlign w:val="bottom"/>
          </w:tcPr>
          <w:p>
            <w:pPr>
              <w:spacing w:after="0"/>
              <w:rPr>
                <w:sz w:val="12"/>
                <w:szCs w:val="12"/>
                <w:color w:val="auto"/>
              </w:rPr>
            </w:pPr>
          </w:p>
        </w:tc>
        <w:tc>
          <w:tcPr>
            <w:tcW w:w="374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920" w:type="dxa"/>
            <w:vAlign w:val="bottom"/>
            <w:gridSpan w:val="3"/>
          </w:tcPr>
          <w:p>
            <w:pPr>
              <w:ind w:left="100"/>
              <w:spacing w:after="0" w:line="149" w:lineRule="exact"/>
              <w:rPr>
                <w:sz w:val="20"/>
                <w:szCs w:val="20"/>
                <w:color w:val="auto"/>
              </w:rPr>
            </w:pPr>
            <w:r>
              <w:rPr>
                <w:rFonts w:ascii="Arial" w:cs="Arial" w:eastAsia="Arial" w:hAnsi="Arial"/>
                <w:sz w:val="14"/>
                <w:szCs w:val="14"/>
                <w:color w:val="auto"/>
                <w:w w:val="96"/>
              </w:rPr>
              <w:t>Replacement</w:t>
            </w: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80" w:type="dxa"/>
            <w:vAlign w:val="bottom"/>
          </w:tcPr>
          <w:p>
            <w:pPr>
              <w:spacing w:after="0"/>
              <w:rPr>
                <w:sz w:val="12"/>
                <w:szCs w:val="12"/>
                <w:color w:val="auto"/>
              </w:rPr>
            </w:pPr>
          </w:p>
        </w:tc>
        <w:tc>
          <w:tcPr>
            <w:tcW w:w="374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92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Loan (First</w:t>
            </w: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780" w:type="dxa"/>
            <w:vAlign w:val="bottom"/>
          </w:tcPr>
          <w:p>
            <w:pPr>
              <w:spacing w:after="0"/>
              <w:rPr>
                <w:sz w:val="13"/>
                <w:szCs w:val="13"/>
                <w:color w:val="auto"/>
              </w:rPr>
            </w:pPr>
          </w:p>
        </w:tc>
        <w:tc>
          <w:tcPr>
            <w:tcW w:w="374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920" w:type="dxa"/>
            <w:vAlign w:val="bottom"/>
            <w:gridSpan w:val="3"/>
          </w:tcPr>
          <w:p>
            <w:pPr>
              <w:ind w:left="100"/>
              <w:spacing w:after="0" w:line="159" w:lineRule="exact"/>
              <w:rPr>
                <w:sz w:val="20"/>
                <w:szCs w:val="20"/>
                <w:color w:val="auto"/>
              </w:rPr>
            </w:pPr>
            <w:r>
              <w:rPr>
                <w:rFonts w:ascii="Arial" w:cs="Arial" w:eastAsia="Arial" w:hAnsi="Arial"/>
                <w:sz w:val="14"/>
                <w:szCs w:val="14"/>
                <w:color w:val="auto"/>
              </w:rPr>
              <w:t>Lien)</w:t>
            </w: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4.50%</w:t>
            </w:r>
          </w:p>
        </w:tc>
        <w:tc>
          <w:tcPr>
            <w:tcW w:w="72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w w:val="96"/>
              </w:rPr>
              <w:t>9/26/2019</w:t>
            </w: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70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w w:val="83"/>
              </w:rPr>
              <w:t>1,489,975</w:t>
            </w:r>
          </w:p>
        </w:tc>
        <w:tc>
          <w:tcPr>
            <w:tcW w:w="140" w:type="dxa"/>
            <w:vAlign w:val="bottom"/>
          </w:tcPr>
          <w:p>
            <w:pPr>
              <w:spacing w:after="0"/>
              <w:rPr>
                <w:sz w:val="13"/>
                <w:szCs w:val="13"/>
                <w:color w:val="auto"/>
              </w:rPr>
            </w:pPr>
          </w:p>
        </w:tc>
        <w:tc>
          <w:tcPr>
            <w:tcW w:w="68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w w:val="93"/>
              </w:rPr>
              <w:t>1,488,922</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jc w:val="right"/>
              <w:spacing w:after="0" w:line="159" w:lineRule="exact"/>
              <w:rPr>
                <w:sz w:val="20"/>
                <w:szCs w:val="20"/>
                <w:color w:val="auto"/>
              </w:rPr>
            </w:pPr>
            <w:r>
              <w:rPr>
                <w:rFonts w:ascii="Arial" w:cs="Arial" w:eastAsia="Arial" w:hAnsi="Arial"/>
                <w:sz w:val="14"/>
                <w:szCs w:val="14"/>
                <w:color w:val="auto"/>
                <w:w w:val="96"/>
              </w:rPr>
              <w:t>1,483,374</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452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Bombardier Recreational Products Inc.</w:t>
            </w:r>
          </w:p>
        </w:tc>
        <w:tc>
          <w:tcPr>
            <w:tcW w:w="160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Leisure</w:t>
            </w:r>
          </w:p>
        </w:tc>
        <w:tc>
          <w:tcPr>
            <w:tcW w:w="920" w:type="dxa"/>
            <w:vAlign w:val="bottom"/>
            <w:gridSpan w:val="3"/>
            <w:shd w:val="clear" w:color="auto" w:fill="CCEEFF"/>
          </w:tcPr>
          <w:p>
            <w:pPr>
              <w:ind w:left="100"/>
              <w:spacing w:after="0" w:line="138" w:lineRule="exact"/>
              <w:rPr>
                <w:sz w:val="20"/>
                <w:szCs w:val="20"/>
                <w:color w:val="auto"/>
              </w:rPr>
            </w:pPr>
            <w:r>
              <w:rPr>
                <w:rFonts w:ascii="Arial" w:cs="Arial" w:eastAsia="Arial" w:hAnsi="Arial"/>
                <w:sz w:val="14"/>
                <w:szCs w:val="14"/>
                <w:color w:val="auto"/>
              </w:rPr>
              <w:t>Term B</w:t>
            </w:r>
          </w:p>
        </w:tc>
        <w:tc>
          <w:tcPr>
            <w:tcW w:w="44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Loan</w:t>
            </w:r>
          </w:p>
        </w:tc>
        <w:tc>
          <w:tcPr>
            <w:tcW w:w="5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780" w:type="dxa"/>
            <w:vAlign w:val="bottom"/>
            <w:shd w:val="clear" w:color="auto" w:fill="CCEEFF"/>
          </w:tcPr>
          <w:p>
            <w:pPr>
              <w:spacing w:after="0"/>
              <w:rPr>
                <w:sz w:val="13"/>
                <w:szCs w:val="13"/>
                <w:color w:val="auto"/>
              </w:rPr>
            </w:pPr>
          </w:p>
        </w:tc>
        <w:tc>
          <w:tcPr>
            <w:tcW w:w="3740" w:type="dxa"/>
            <w:vAlign w:val="bottom"/>
            <w:shd w:val="clear" w:color="auto" w:fill="CCEEFF"/>
          </w:tcPr>
          <w:p>
            <w:pPr>
              <w:spacing w:after="0"/>
              <w:rPr>
                <w:sz w:val="13"/>
                <w:szCs w:val="13"/>
                <w:color w:val="auto"/>
              </w:rPr>
            </w:pPr>
          </w:p>
        </w:tc>
        <w:tc>
          <w:tcPr>
            <w:tcW w:w="160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Goods/Activities/Movies</w:t>
            </w:r>
          </w:p>
        </w:tc>
        <w:tc>
          <w:tcPr>
            <w:tcW w:w="920" w:type="dxa"/>
            <w:vAlign w:val="bottom"/>
            <w:gridSpan w:val="3"/>
            <w:shd w:val="clear" w:color="auto" w:fill="CCEEFF"/>
          </w:tcPr>
          <w:p>
            <w:pPr>
              <w:ind w:left="100"/>
              <w:spacing w:after="0" w:line="159" w:lineRule="exact"/>
              <w:rPr>
                <w:sz w:val="20"/>
                <w:szCs w:val="20"/>
                <w:color w:val="auto"/>
              </w:rPr>
            </w:pPr>
            <w:r>
              <w:rPr>
                <w:rFonts w:ascii="Arial" w:cs="Arial" w:eastAsia="Arial" w:hAnsi="Arial"/>
                <w:sz w:val="14"/>
                <w:szCs w:val="14"/>
                <w:color w:val="auto"/>
              </w:rPr>
              <w:t>Loan</w:t>
            </w:r>
          </w:p>
        </w:tc>
        <w:tc>
          <w:tcPr>
            <w:tcW w:w="3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4.00%</w:t>
            </w:r>
          </w:p>
        </w:tc>
        <w:tc>
          <w:tcPr>
            <w:tcW w:w="72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w w:val="96"/>
              </w:rPr>
              <w:t>1/30/2019</w:t>
            </w: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754,286</w:t>
            </w:r>
          </w:p>
        </w:tc>
        <w:tc>
          <w:tcPr>
            <w:tcW w:w="14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750,287</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747,120</w:t>
            </w: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4520" w:type="dxa"/>
            <w:vAlign w:val="bottom"/>
            <w:gridSpan w:val="2"/>
          </w:tcPr>
          <w:p>
            <w:pPr>
              <w:spacing w:after="0" w:line="138" w:lineRule="exact"/>
              <w:rPr>
                <w:sz w:val="20"/>
                <w:szCs w:val="20"/>
                <w:color w:val="auto"/>
              </w:rPr>
            </w:pPr>
            <w:r>
              <w:rPr>
                <w:rFonts w:ascii="Arial" w:cs="Arial" w:eastAsia="Arial" w:hAnsi="Arial"/>
                <w:sz w:val="14"/>
                <w:szCs w:val="14"/>
                <w:color w:val="auto"/>
              </w:rPr>
              <w:t>Brickman Group Holdings, Inc.</w:t>
            </w:r>
          </w:p>
        </w:tc>
        <w:tc>
          <w:tcPr>
            <w:tcW w:w="1600" w:type="dxa"/>
            <w:vAlign w:val="bottom"/>
          </w:tcPr>
          <w:p>
            <w:pPr>
              <w:spacing w:after="0" w:line="138" w:lineRule="exact"/>
              <w:rPr>
                <w:sz w:val="20"/>
                <w:szCs w:val="20"/>
                <w:color w:val="auto"/>
              </w:rPr>
            </w:pPr>
            <w:r>
              <w:rPr>
                <w:rFonts w:ascii="Arial" w:cs="Arial" w:eastAsia="Arial" w:hAnsi="Arial"/>
                <w:sz w:val="14"/>
                <w:szCs w:val="14"/>
                <w:color w:val="auto"/>
                <w:w w:val="91"/>
              </w:rPr>
              <w:t>Brokers/Dealers/Investment</w:t>
            </w:r>
          </w:p>
        </w:tc>
        <w:tc>
          <w:tcPr>
            <w:tcW w:w="920" w:type="dxa"/>
            <w:vAlign w:val="bottom"/>
            <w:gridSpan w:val="3"/>
          </w:tcPr>
          <w:p>
            <w:pPr>
              <w:ind w:left="100"/>
              <w:spacing w:after="0" w:line="138" w:lineRule="exact"/>
              <w:rPr>
                <w:sz w:val="20"/>
                <w:szCs w:val="20"/>
                <w:color w:val="auto"/>
              </w:rPr>
            </w:pPr>
            <w:r>
              <w:rPr>
                <w:rFonts w:ascii="Arial" w:cs="Arial" w:eastAsia="Arial" w:hAnsi="Arial"/>
                <w:sz w:val="14"/>
                <w:szCs w:val="14"/>
                <w:color w:val="auto"/>
              </w:rPr>
              <w:t>Initial Term</w:t>
            </w:r>
          </w:p>
        </w:tc>
        <w:tc>
          <w:tcPr>
            <w:tcW w:w="440" w:type="dxa"/>
            <w:vAlign w:val="bottom"/>
            <w:gridSpan w:val="2"/>
          </w:tcPr>
          <w:p>
            <w:pPr>
              <w:spacing w:after="0" w:line="138" w:lineRule="exact"/>
              <w:rPr>
                <w:sz w:val="20"/>
                <w:szCs w:val="20"/>
                <w:color w:val="auto"/>
              </w:rPr>
            </w:pPr>
            <w:r>
              <w:rPr>
                <w:rFonts w:ascii="Arial" w:cs="Arial" w:eastAsia="Arial" w:hAnsi="Arial"/>
                <w:sz w:val="14"/>
                <w:szCs w:val="14"/>
                <w:color w:val="auto"/>
              </w:rPr>
              <w:t>Loan</w:t>
            </w: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780" w:type="dxa"/>
            <w:vAlign w:val="bottom"/>
          </w:tcPr>
          <w:p>
            <w:pPr>
              <w:spacing w:after="0"/>
              <w:rPr>
                <w:sz w:val="12"/>
                <w:szCs w:val="12"/>
                <w:color w:val="auto"/>
              </w:rPr>
            </w:pPr>
          </w:p>
        </w:tc>
        <w:tc>
          <w:tcPr>
            <w:tcW w:w="3740" w:type="dxa"/>
            <w:vAlign w:val="bottom"/>
          </w:tcPr>
          <w:p>
            <w:pPr>
              <w:spacing w:after="0"/>
              <w:rPr>
                <w:sz w:val="12"/>
                <w:szCs w:val="12"/>
                <w:color w:val="auto"/>
              </w:rPr>
            </w:pPr>
          </w:p>
        </w:tc>
        <w:tc>
          <w:tcPr>
            <w:tcW w:w="1600" w:type="dxa"/>
            <w:vAlign w:val="bottom"/>
          </w:tcPr>
          <w:p>
            <w:pPr>
              <w:spacing w:after="0" w:line="149" w:lineRule="exact"/>
              <w:rPr>
                <w:sz w:val="20"/>
                <w:szCs w:val="20"/>
                <w:color w:val="auto"/>
              </w:rPr>
            </w:pPr>
            <w:r>
              <w:rPr>
                <w:rFonts w:ascii="Arial" w:cs="Arial" w:eastAsia="Arial" w:hAnsi="Arial"/>
                <w:sz w:val="14"/>
                <w:szCs w:val="14"/>
                <w:color w:val="auto"/>
              </w:rPr>
              <w:t>Houses</w:t>
            </w:r>
          </w:p>
        </w:tc>
        <w:tc>
          <w:tcPr>
            <w:tcW w:w="92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Loan (First</w:t>
            </w: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780" w:type="dxa"/>
            <w:vAlign w:val="bottom"/>
          </w:tcPr>
          <w:p>
            <w:pPr>
              <w:spacing w:after="0"/>
              <w:rPr>
                <w:sz w:val="13"/>
                <w:szCs w:val="13"/>
                <w:color w:val="auto"/>
              </w:rPr>
            </w:pPr>
          </w:p>
        </w:tc>
        <w:tc>
          <w:tcPr>
            <w:tcW w:w="374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920" w:type="dxa"/>
            <w:vAlign w:val="bottom"/>
            <w:gridSpan w:val="3"/>
          </w:tcPr>
          <w:p>
            <w:pPr>
              <w:ind w:left="100"/>
              <w:spacing w:after="0" w:line="159" w:lineRule="exact"/>
              <w:rPr>
                <w:sz w:val="20"/>
                <w:szCs w:val="20"/>
                <w:color w:val="auto"/>
              </w:rPr>
            </w:pPr>
            <w:r>
              <w:rPr>
                <w:rFonts w:ascii="Arial" w:cs="Arial" w:eastAsia="Arial" w:hAnsi="Arial"/>
                <w:sz w:val="14"/>
                <w:szCs w:val="14"/>
                <w:color w:val="auto"/>
              </w:rPr>
              <w:t>Lien)</w:t>
            </w: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4.00%</w:t>
            </w:r>
          </w:p>
        </w:tc>
        <w:tc>
          <w:tcPr>
            <w:tcW w:w="72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w w:val="85"/>
              </w:rPr>
              <w:t>12/18/2020</w:t>
            </w: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70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w w:val="83"/>
              </w:rPr>
              <w:t>1,491,237</w:t>
            </w:r>
          </w:p>
        </w:tc>
        <w:tc>
          <w:tcPr>
            <w:tcW w:w="140" w:type="dxa"/>
            <w:vAlign w:val="bottom"/>
          </w:tcPr>
          <w:p>
            <w:pPr>
              <w:spacing w:after="0"/>
              <w:rPr>
                <w:sz w:val="13"/>
                <w:szCs w:val="13"/>
                <w:color w:val="auto"/>
              </w:rPr>
            </w:pPr>
          </w:p>
        </w:tc>
        <w:tc>
          <w:tcPr>
            <w:tcW w:w="68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w w:val="93"/>
              </w:rPr>
              <w:t>1,478,800</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jc w:val="right"/>
              <w:spacing w:after="0" w:line="159" w:lineRule="exact"/>
              <w:rPr>
                <w:sz w:val="20"/>
                <w:szCs w:val="20"/>
                <w:color w:val="auto"/>
              </w:rPr>
            </w:pPr>
            <w:r>
              <w:rPr>
                <w:rFonts w:ascii="Arial" w:cs="Arial" w:eastAsia="Arial" w:hAnsi="Arial"/>
                <w:sz w:val="14"/>
                <w:szCs w:val="14"/>
                <w:color w:val="auto"/>
                <w:w w:val="96"/>
              </w:rPr>
              <w:t>1,478,935</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452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Brock Holdings III, Inc.</w:t>
            </w:r>
          </w:p>
        </w:tc>
        <w:tc>
          <w:tcPr>
            <w:tcW w:w="160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Industrial Equipment</w:t>
            </w:r>
          </w:p>
        </w:tc>
        <w:tc>
          <w:tcPr>
            <w:tcW w:w="920" w:type="dxa"/>
            <w:vAlign w:val="bottom"/>
            <w:gridSpan w:val="3"/>
            <w:shd w:val="clear" w:color="auto" w:fill="CCEEFF"/>
          </w:tcPr>
          <w:p>
            <w:pPr>
              <w:ind w:left="100"/>
              <w:spacing w:after="0" w:line="138" w:lineRule="exact"/>
              <w:rPr>
                <w:sz w:val="20"/>
                <w:szCs w:val="20"/>
                <w:color w:val="auto"/>
              </w:rPr>
            </w:pPr>
            <w:r>
              <w:rPr>
                <w:rFonts w:ascii="Arial" w:cs="Arial" w:eastAsia="Arial" w:hAnsi="Arial"/>
                <w:sz w:val="14"/>
                <w:szCs w:val="14"/>
                <w:color w:val="auto"/>
              </w:rPr>
              <w:t>Term Loan</w:t>
            </w:r>
          </w:p>
        </w:tc>
        <w:tc>
          <w:tcPr>
            <w:tcW w:w="44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Loan</w:t>
            </w:r>
          </w:p>
        </w:tc>
        <w:tc>
          <w:tcPr>
            <w:tcW w:w="5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780" w:type="dxa"/>
            <w:vAlign w:val="bottom"/>
            <w:shd w:val="clear" w:color="auto" w:fill="CCEEFF"/>
          </w:tcPr>
          <w:p>
            <w:pPr>
              <w:spacing w:after="0"/>
              <w:rPr>
                <w:sz w:val="13"/>
                <w:szCs w:val="13"/>
                <w:color w:val="auto"/>
              </w:rPr>
            </w:pPr>
          </w:p>
        </w:tc>
        <w:tc>
          <w:tcPr>
            <w:tcW w:w="3740" w:type="dxa"/>
            <w:vAlign w:val="bottom"/>
            <w:shd w:val="clear" w:color="auto" w:fill="CCEEFF"/>
          </w:tcPr>
          <w:p>
            <w:pPr>
              <w:spacing w:after="0"/>
              <w:rPr>
                <w:sz w:val="13"/>
                <w:szCs w:val="13"/>
                <w:color w:val="auto"/>
              </w:rPr>
            </w:pPr>
          </w:p>
        </w:tc>
        <w:tc>
          <w:tcPr>
            <w:tcW w:w="1600" w:type="dxa"/>
            <w:vAlign w:val="bottom"/>
            <w:shd w:val="clear" w:color="auto" w:fill="CCEEFF"/>
          </w:tcPr>
          <w:p>
            <w:pPr>
              <w:spacing w:after="0"/>
              <w:rPr>
                <w:sz w:val="13"/>
                <w:szCs w:val="13"/>
                <w:color w:val="auto"/>
              </w:rPr>
            </w:pPr>
          </w:p>
        </w:tc>
        <w:tc>
          <w:tcPr>
            <w:tcW w:w="920" w:type="dxa"/>
            <w:vAlign w:val="bottom"/>
            <w:gridSpan w:val="3"/>
            <w:shd w:val="clear" w:color="auto" w:fill="CCEEFF"/>
          </w:tcPr>
          <w:p>
            <w:pPr>
              <w:ind w:left="100"/>
              <w:spacing w:after="0" w:line="159" w:lineRule="exact"/>
              <w:rPr>
                <w:sz w:val="20"/>
                <w:szCs w:val="20"/>
                <w:color w:val="auto"/>
              </w:rPr>
            </w:pPr>
            <w:r>
              <w:rPr>
                <w:rFonts w:ascii="Arial" w:cs="Arial" w:eastAsia="Arial" w:hAnsi="Arial"/>
                <w:sz w:val="14"/>
                <w:szCs w:val="14"/>
                <w:color w:val="auto"/>
              </w:rPr>
              <w:t>(First Lien)</w:t>
            </w:r>
          </w:p>
        </w:tc>
        <w:tc>
          <w:tcPr>
            <w:tcW w:w="3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6.00%</w:t>
            </w:r>
          </w:p>
        </w:tc>
        <w:tc>
          <w:tcPr>
            <w:tcW w:w="72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w w:val="96"/>
              </w:rPr>
              <w:t>3/16/2017</w:t>
            </w: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w w:val="83"/>
              </w:rPr>
              <w:t>1,938,503</w:t>
            </w:r>
          </w:p>
        </w:tc>
        <w:tc>
          <w:tcPr>
            <w:tcW w:w="14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w w:val="93"/>
              </w:rPr>
              <w:t>1,952,391</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96"/>
              </w:rPr>
              <w:t>1,904,580</w:t>
            </w: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4520" w:type="dxa"/>
            <w:vAlign w:val="bottom"/>
            <w:gridSpan w:val="2"/>
          </w:tcPr>
          <w:p>
            <w:pPr>
              <w:spacing w:after="0" w:line="138" w:lineRule="exact"/>
              <w:rPr>
                <w:sz w:val="20"/>
                <w:szCs w:val="20"/>
                <w:color w:val="auto"/>
              </w:rPr>
            </w:pPr>
            <w:r>
              <w:rPr>
                <w:rFonts w:ascii="Arial" w:cs="Arial" w:eastAsia="Arial" w:hAnsi="Arial"/>
                <w:sz w:val="14"/>
                <w:szCs w:val="14"/>
                <w:color w:val="auto"/>
              </w:rPr>
              <w:t>Burlington Coat Factory Warehouse Corporation</w:t>
            </w:r>
          </w:p>
        </w:tc>
        <w:tc>
          <w:tcPr>
            <w:tcW w:w="1600" w:type="dxa"/>
            <w:vAlign w:val="bottom"/>
          </w:tcPr>
          <w:p>
            <w:pPr>
              <w:spacing w:after="0" w:line="138" w:lineRule="exact"/>
              <w:rPr>
                <w:sz w:val="20"/>
                <w:szCs w:val="20"/>
                <w:color w:val="auto"/>
              </w:rPr>
            </w:pPr>
            <w:r>
              <w:rPr>
                <w:rFonts w:ascii="Arial" w:cs="Arial" w:eastAsia="Arial" w:hAnsi="Arial"/>
                <w:sz w:val="14"/>
                <w:szCs w:val="14"/>
                <w:color w:val="auto"/>
                <w:w w:val="93"/>
              </w:rPr>
              <w:t>Retailers (Except Food and</w:t>
            </w:r>
          </w:p>
        </w:tc>
        <w:tc>
          <w:tcPr>
            <w:tcW w:w="920" w:type="dxa"/>
            <w:vAlign w:val="bottom"/>
            <w:gridSpan w:val="3"/>
          </w:tcPr>
          <w:p>
            <w:pPr>
              <w:ind w:left="100"/>
              <w:spacing w:after="0" w:line="138" w:lineRule="exact"/>
              <w:rPr>
                <w:sz w:val="20"/>
                <w:szCs w:val="20"/>
                <w:color w:val="auto"/>
              </w:rPr>
            </w:pPr>
            <w:r>
              <w:rPr>
                <w:rFonts w:ascii="Arial" w:cs="Arial" w:eastAsia="Arial" w:hAnsi="Arial"/>
                <w:sz w:val="14"/>
                <w:szCs w:val="14"/>
                <w:color w:val="auto"/>
              </w:rPr>
              <w:t>Term B-2</w:t>
            </w:r>
          </w:p>
        </w:tc>
        <w:tc>
          <w:tcPr>
            <w:tcW w:w="440" w:type="dxa"/>
            <w:vAlign w:val="bottom"/>
            <w:gridSpan w:val="2"/>
          </w:tcPr>
          <w:p>
            <w:pPr>
              <w:spacing w:after="0" w:line="138" w:lineRule="exact"/>
              <w:rPr>
                <w:sz w:val="20"/>
                <w:szCs w:val="20"/>
                <w:color w:val="auto"/>
              </w:rPr>
            </w:pPr>
            <w:r>
              <w:rPr>
                <w:rFonts w:ascii="Arial" w:cs="Arial" w:eastAsia="Arial" w:hAnsi="Arial"/>
                <w:sz w:val="14"/>
                <w:szCs w:val="14"/>
                <w:color w:val="auto"/>
              </w:rPr>
              <w:t>Loan</w:t>
            </w: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780" w:type="dxa"/>
            <w:vAlign w:val="bottom"/>
          </w:tcPr>
          <w:p>
            <w:pPr>
              <w:spacing w:after="0"/>
              <w:rPr>
                <w:sz w:val="13"/>
                <w:szCs w:val="13"/>
                <w:color w:val="auto"/>
              </w:rPr>
            </w:pPr>
          </w:p>
        </w:tc>
        <w:tc>
          <w:tcPr>
            <w:tcW w:w="3740" w:type="dxa"/>
            <w:vAlign w:val="bottom"/>
          </w:tcPr>
          <w:p>
            <w:pPr>
              <w:spacing w:after="0"/>
              <w:rPr>
                <w:sz w:val="13"/>
                <w:szCs w:val="13"/>
                <w:color w:val="auto"/>
              </w:rPr>
            </w:pPr>
          </w:p>
        </w:tc>
        <w:tc>
          <w:tcPr>
            <w:tcW w:w="1600" w:type="dxa"/>
            <w:vAlign w:val="bottom"/>
          </w:tcPr>
          <w:p>
            <w:pPr>
              <w:spacing w:after="0" w:line="159" w:lineRule="exact"/>
              <w:rPr>
                <w:sz w:val="20"/>
                <w:szCs w:val="20"/>
                <w:color w:val="auto"/>
              </w:rPr>
            </w:pPr>
            <w:r>
              <w:rPr>
                <w:rFonts w:ascii="Arial" w:cs="Arial" w:eastAsia="Arial" w:hAnsi="Arial"/>
                <w:sz w:val="14"/>
                <w:szCs w:val="14"/>
                <w:color w:val="auto"/>
              </w:rPr>
              <w:t>Drugs)</w:t>
            </w:r>
          </w:p>
        </w:tc>
        <w:tc>
          <w:tcPr>
            <w:tcW w:w="920" w:type="dxa"/>
            <w:vAlign w:val="bottom"/>
            <w:gridSpan w:val="3"/>
          </w:tcPr>
          <w:p>
            <w:pPr>
              <w:ind w:left="100"/>
              <w:spacing w:after="0" w:line="159" w:lineRule="exact"/>
              <w:rPr>
                <w:sz w:val="20"/>
                <w:szCs w:val="20"/>
                <w:color w:val="auto"/>
              </w:rPr>
            </w:pPr>
            <w:r>
              <w:rPr>
                <w:rFonts w:ascii="Arial" w:cs="Arial" w:eastAsia="Arial" w:hAnsi="Arial"/>
                <w:sz w:val="14"/>
                <w:szCs w:val="14"/>
                <w:color w:val="auto"/>
              </w:rPr>
              <w:t>Loan</w:t>
            </w: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4.25%</w:t>
            </w:r>
          </w:p>
        </w:tc>
        <w:tc>
          <w:tcPr>
            <w:tcW w:w="72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w w:val="96"/>
              </w:rPr>
              <w:t>8/13/2021</w:t>
            </w: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70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w w:val="83"/>
              </w:rPr>
              <w:t>1,945,000</w:t>
            </w:r>
          </w:p>
        </w:tc>
        <w:tc>
          <w:tcPr>
            <w:tcW w:w="140" w:type="dxa"/>
            <w:vAlign w:val="bottom"/>
          </w:tcPr>
          <w:p>
            <w:pPr>
              <w:spacing w:after="0"/>
              <w:rPr>
                <w:sz w:val="13"/>
                <w:szCs w:val="13"/>
                <w:color w:val="auto"/>
              </w:rPr>
            </w:pPr>
          </w:p>
        </w:tc>
        <w:tc>
          <w:tcPr>
            <w:tcW w:w="68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w w:val="93"/>
              </w:rPr>
              <w:t>1,935,814</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jc w:val="right"/>
              <w:spacing w:after="0" w:line="159" w:lineRule="exact"/>
              <w:rPr>
                <w:sz w:val="20"/>
                <w:szCs w:val="20"/>
                <w:color w:val="auto"/>
              </w:rPr>
            </w:pPr>
            <w:r>
              <w:rPr>
                <w:rFonts w:ascii="Arial" w:cs="Arial" w:eastAsia="Arial" w:hAnsi="Arial"/>
                <w:sz w:val="14"/>
                <w:szCs w:val="14"/>
                <w:color w:val="auto"/>
                <w:w w:val="96"/>
              </w:rPr>
              <w:t>1,942,219</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452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BWAY</w:t>
            </w:r>
          </w:p>
        </w:tc>
        <w:tc>
          <w:tcPr>
            <w:tcW w:w="160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Leisure</w:t>
            </w:r>
          </w:p>
        </w:tc>
        <w:tc>
          <w:tcPr>
            <w:tcW w:w="920" w:type="dxa"/>
            <w:vAlign w:val="bottom"/>
            <w:gridSpan w:val="3"/>
            <w:shd w:val="clear" w:color="auto" w:fill="CCEEFF"/>
          </w:tcPr>
          <w:p>
            <w:pPr>
              <w:ind w:left="100"/>
              <w:spacing w:after="0" w:line="138" w:lineRule="exact"/>
              <w:rPr>
                <w:sz w:val="20"/>
                <w:szCs w:val="20"/>
                <w:color w:val="auto"/>
              </w:rPr>
            </w:pPr>
            <w:r>
              <w:rPr>
                <w:rFonts w:ascii="Arial" w:cs="Arial" w:eastAsia="Arial" w:hAnsi="Arial"/>
                <w:sz w:val="14"/>
                <w:szCs w:val="14"/>
                <w:color w:val="auto"/>
              </w:rPr>
              <w:t>Term Loan</w:t>
            </w:r>
          </w:p>
        </w:tc>
        <w:tc>
          <w:tcPr>
            <w:tcW w:w="44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Loan</w:t>
            </w:r>
          </w:p>
        </w:tc>
        <w:tc>
          <w:tcPr>
            <w:tcW w:w="5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780" w:type="dxa"/>
            <w:vAlign w:val="bottom"/>
            <w:shd w:val="clear" w:color="auto" w:fill="CCEEFF"/>
          </w:tcPr>
          <w:p>
            <w:pPr>
              <w:spacing w:after="0"/>
              <w:rPr>
                <w:sz w:val="13"/>
                <w:szCs w:val="13"/>
                <w:color w:val="auto"/>
              </w:rPr>
            </w:pPr>
          </w:p>
        </w:tc>
        <w:tc>
          <w:tcPr>
            <w:tcW w:w="3740" w:type="dxa"/>
            <w:vAlign w:val="bottom"/>
            <w:shd w:val="clear" w:color="auto" w:fill="CCEEFF"/>
          </w:tcPr>
          <w:p>
            <w:pPr>
              <w:spacing w:after="0"/>
              <w:rPr>
                <w:sz w:val="13"/>
                <w:szCs w:val="13"/>
                <w:color w:val="auto"/>
              </w:rPr>
            </w:pPr>
          </w:p>
        </w:tc>
        <w:tc>
          <w:tcPr>
            <w:tcW w:w="160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Goods/Activities/Movies</w:t>
            </w:r>
          </w:p>
        </w:tc>
        <w:tc>
          <w:tcPr>
            <w:tcW w:w="920" w:type="dxa"/>
            <w:vAlign w:val="bottom"/>
            <w:gridSpan w:val="3"/>
            <w:shd w:val="clear" w:color="auto" w:fill="CCEEFF"/>
          </w:tcPr>
          <w:p>
            <w:pPr>
              <w:ind w:left="100"/>
              <w:spacing w:after="0" w:line="159" w:lineRule="exact"/>
              <w:rPr>
                <w:sz w:val="20"/>
                <w:szCs w:val="20"/>
                <w:color w:val="auto"/>
              </w:rPr>
            </w:pPr>
            <w:r>
              <w:rPr>
                <w:rFonts w:ascii="Arial" w:cs="Arial" w:eastAsia="Arial" w:hAnsi="Arial"/>
                <w:sz w:val="14"/>
                <w:szCs w:val="14"/>
                <w:color w:val="auto"/>
              </w:rPr>
              <w:t>B</w:t>
            </w:r>
          </w:p>
        </w:tc>
        <w:tc>
          <w:tcPr>
            <w:tcW w:w="3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5.50%</w:t>
            </w:r>
          </w:p>
        </w:tc>
        <w:tc>
          <w:tcPr>
            <w:tcW w:w="72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w w:val="96"/>
              </w:rPr>
              <w:t>8/14/2020</w:t>
            </w: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995,000</w:t>
            </w:r>
          </w:p>
        </w:tc>
        <w:tc>
          <w:tcPr>
            <w:tcW w:w="14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985,881</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998,423</w:t>
            </w: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4520" w:type="dxa"/>
            <w:vAlign w:val="bottom"/>
            <w:gridSpan w:val="2"/>
          </w:tcPr>
          <w:p>
            <w:pPr>
              <w:spacing w:after="0" w:line="138" w:lineRule="exact"/>
              <w:rPr>
                <w:sz w:val="20"/>
                <w:szCs w:val="20"/>
                <w:color w:val="auto"/>
              </w:rPr>
            </w:pPr>
            <w:r>
              <w:rPr>
                <w:rFonts w:ascii="Arial" w:cs="Arial" w:eastAsia="Arial" w:hAnsi="Arial"/>
                <w:sz w:val="14"/>
                <w:szCs w:val="14"/>
                <w:color w:val="auto"/>
              </w:rPr>
              <w:t>Caesars Entertainment Corp.</w:t>
            </w:r>
          </w:p>
        </w:tc>
        <w:tc>
          <w:tcPr>
            <w:tcW w:w="1600" w:type="dxa"/>
            <w:vAlign w:val="bottom"/>
          </w:tcPr>
          <w:p>
            <w:pPr>
              <w:spacing w:after="0" w:line="138" w:lineRule="exact"/>
              <w:rPr>
                <w:sz w:val="20"/>
                <w:szCs w:val="20"/>
                <w:color w:val="auto"/>
              </w:rPr>
            </w:pPr>
            <w:r>
              <w:rPr>
                <w:rFonts w:ascii="Arial" w:cs="Arial" w:eastAsia="Arial" w:hAnsi="Arial"/>
                <w:sz w:val="14"/>
                <w:szCs w:val="14"/>
                <w:color w:val="auto"/>
              </w:rPr>
              <w:t>Lodging &amp; Casinos</w:t>
            </w:r>
          </w:p>
        </w:tc>
        <w:tc>
          <w:tcPr>
            <w:tcW w:w="920" w:type="dxa"/>
            <w:vAlign w:val="bottom"/>
            <w:gridSpan w:val="3"/>
          </w:tcPr>
          <w:p>
            <w:pPr>
              <w:ind w:left="100"/>
              <w:spacing w:after="0" w:line="138" w:lineRule="exact"/>
              <w:rPr>
                <w:sz w:val="20"/>
                <w:szCs w:val="20"/>
                <w:color w:val="auto"/>
              </w:rPr>
            </w:pPr>
            <w:r>
              <w:rPr>
                <w:rFonts w:ascii="Arial" w:cs="Arial" w:eastAsia="Arial" w:hAnsi="Arial"/>
                <w:sz w:val="14"/>
                <w:szCs w:val="14"/>
                <w:color w:val="auto"/>
              </w:rPr>
              <w:t>Term B-7</w:t>
            </w:r>
          </w:p>
        </w:tc>
        <w:tc>
          <w:tcPr>
            <w:tcW w:w="440" w:type="dxa"/>
            <w:vAlign w:val="bottom"/>
            <w:gridSpan w:val="2"/>
          </w:tcPr>
          <w:p>
            <w:pPr>
              <w:spacing w:after="0" w:line="138" w:lineRule="exact"/>
              <w:rPr>
                <w:sz w:val="20"/>
                <w:szCs w:val="20"/>
                <w:color w:val="auto"/>
              </w:rPr>
            </w:pPr>
            <w:r>
              <w:rPr>
                <w:rFonts w:ascii="Arial" w:cs="Arial" w:eastAsia="Arial" w:hAnsi="Arial"/>
                <w:sz w:val="14"/>
                <w:szCs w:val="14"/>
                <w:color w:val="auto"/>
              </w:rPr>
              <w:t>Loan</w:t>
            </w: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780" w:type="dxa"/>
            <w:vAlign w:val="bottom"/>
          </w:tcPr>
          <w:p>
            <w:pPr>
              <w:spacing w:after="0"/>
              <w:rPr>
                <w:sz w:val="13"/>
                <w:szCs w:val="13"/>
                <w:color w:val="auto"/>
              </w:rPr>
            </w:pPr>
          </w:p>
        </w:tc>
        <w:tc>
          <w:tcPr>
            <w:tcW w:w="374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920" w:type="dxa"/>
            <w:vAlign w:val="bottom"/>
            <w:gridSpan w:val="3"/>
          </w:tcPr>
          <w:p>
            <w:pPr>
              <w:ind w:left="100"/>
              <w:spacing w:after="0" w:line="159" w:lineRule="exact"/>
              <w:rPr>
                <w:sz w:val="20"/>
                <w:szCs w:val="20"/>
                <w:color w:val="auto"/>
              </w:rPr>
            </w:pPr>
            <w:r>
              <w:rPr>
                <w:rFonts w:ascii="Arial" w:cs="Arial" w:eastAsia="Arial" w:hAnsi="Arial"/>
                <w:sz w:val="14"/>
                <w:szCs w:val="14"/>
                <w:color w:val="auto"/>
              </w:rPr>
              <w:t>Loan</w:t>
            </w: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9.75%</w:t>
            </w:r>
          </w:p>
        </w:tc>
        <w:tc>
          <w:tcPr>
            <w:tcW w:w="72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w w:val="96"/>
              </w:rPr>
              <w:t>1/28/2018</w:t>
            </w: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70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995,000</w:t>
            </w:r>
          </w:p>
        </w:tc>
        <w:tc>
          <w:tcPr>
            <w:tcW w:w="140" w:type="dxa"/>
            <w:vAlign w:val="bottom"/>
          </w:tcPr>
          <w:p>
            <w:pPr>
              <w:spacing w:after="0"/>
              <w:rPr>
                <w:sz w:val="13"/>
                <w:szCs w:val="13"/>
                <w:color w:val="auto"/>
              </w:rPr>
            </w:pPr>
          </w:p>
        </w:tc>
        <w:tc>
          <w:tcPr>
            <w:tcW w:w="68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989,028</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jc w:val="right"/>
              <w:spacing w:after="0" w:line="159" w:lineRule="exact"/>
              <w:rPr>
                <w:sz w:val="20"/>
                <w:szCs w:val="20"/>
                <w:color w:val="auto"/>
              </w:rPr>
            </w:pPr>
            <w:r>
              <w:rPr>
                <w:rFonts w:ascii="Arial" w:cs="Arial" w:eastAsia="Arial" w:hAnsi="Arial"/>
                <w:sz w:val="14"/>
                <w:szCs w:val="14"/>
                <w:color w:val="auto"/>
              </w:rPr>
              <w:t>917,141</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452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Camp International Holding Company</w:t>
            </w:r>
          </w:p>
        </w:tc>
        <w:tc>
          <w:tcPr>
            <w:tcW w:w="160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Aerospace and Defense</w:t>
            </w:r>
          </w:p>
        </w:tc>
        <w:tc>
          <w:tcPr>
            <w:tcW w:w="820" w:type="dxa"/>
            <w:vAlign w:val="bottom"/>
            <w:gridSpan w:val="2"/>
            <w:shd w:val="clear" w:color="auto" w:fill="CCEEFF"/>
          </w:tcPr>
          <w:p>
            <w:pPr>
              <w:ind w:left="100"/>
              <w:spacing w:after="0" w:line="138" w:lineRule="exact"/>
              <w:rPr>
                <w:sz w:val="20"/>
                <w:szCs w:val="20"/>
                <w:color w:val="auto"/>
              </w:rPr>
            </w:pPr>
            <w:r>
              <w:rPr>
                <w:rFonts w:ascii="Arial" w:cs="Arial" w:eastAsia="Arial" w:hAnsi="Arial"/>
                <w:sz w:val="14"/>
                <w:szCs w:val="14"/>
                <w:color w:val="auto"/>
              </w:rPr>
              <w:t>2013</w:t>
            </w:r>
          </w:p>
        </w:tc>
        <w:tc>
          <w:tcPr>
            <w:tcW w:w="100" w:type="dxa"/>
            <w:vAlign w:val="bottom"/>
            <w:shd w:val="clear" w:color="auto" w:fill="CCEEFF"/>
          </w:tcPr>
          <w:p>
            <w:pPr>
              <w:spacing w:after="0"/>
              <w:rPr>
                <w:sz w:val="11"/>
                <w:szCs w:val="11"/>
                <w:color w:val="auto"/>
              </w:rPr>
            </w:pPr>
          </w:p>
        </w:tc>
        <w:tc>
          <w:tcPr>
            <w:tcW w:w="44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Loan</w:t>
            </w:r>
          </w:p>
        </w:tc>
        <w:tc>
          <w:tcPr>
            <w:tcW w:w="5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780" w:type="dxa"/>
            <w:vAlign w:val="bottom"/>
            <w:shd w:val="clear" w:color="auto" w:fill="CCEEFF"/>
          </w:tcPr>
          <w:p>
            <w:pPr>
              <w:spacing w:after="0"/>
              <w:rPr>
                <w:sz w:val="12"/>
                <w:szCs w:val="12"/>
                <w:color w:val="auto"/>
              </w:rPr>
            </w:pPr>
          </w:p>
        </w:tc>
        <w:tc>
          <w:tcPr>
            <w:tcW w:w="3740" w:type="dxa"/>
            <w:vAlign w:val="bottom"/>
            <w:shd w:val="clear" w:color="auto" w:fill="CCEEFF"/>
          </w:tcPr>
          <w:p>
            <w:pPr>
              <w:spacing w:after="0"/>
              <w:rPr>
                <w:sz w:val="12"/>
                <w:szCs w:val="12"/>
                <w:color w:val="auto"/>
              </w:rPr>
            </w:pPr>
          </w:p>
        </w:tc>
        <w:tc>
          <w:tcPr>
            <w:tcW w:w="1600" w:type="dxa"/>
            <w:vAlign w:val="bottom"/>
            <w:shd w:val="clear" w:color="auto" w:fill="CCEEFF"/>
          </w:tcPr>
          <w:p>
            <w:pPr>
              <w:spacing w:after="0"/>
              <w:rPr>
                <w:sz w:val="12"/>
                <w:szCs w:val="12"/>
                <w:color w:val="auto"/>
              </w:rPr>
            </w:pPr>
          </w:p>
        </w:tc>
        <w:tc>
          <w:tcPr>
            <w:tcW w:w="92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w w:val="96"/>
              </w:rPr>
              <w:t>Replacement</w:t>
            </w: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80" w:type="dxa"/>
            <w:vAlign w:val="bottom"/>
            <w:shd w:val="clear" w:color="auto" w:fill="CCEEFF"/>
          </w:tcPr>
          <w:p>
            <w:pPr>
              <w:spacing w:after="0"/>
              <w:rPr>
                <w:sz w:val="12"/>
                <w:szCs w:val="12"/>
                <w:color w:val="auto"/>
              </w:rPr>
            </w:pPr>
          </w:p>
        </w:tc>
        <w:tc>
          <w:tcPr>
            <w:tcW w:w="3740" w:type="dxa"/>
            <w:vAlign w:val="bottom"/>
            <w:shd w:val="clear" w:color="auto" w:fill="CCEEFF"/>
          </w:tcPr>
          <w:p>
            <w:pPr>
              <w:spacing w:after="0"/>
              <w:rPr>
                <w:sz w:val="12"/>
                <w:szCs w:val="12"/>
                <w:color w:val="auto"/>
              </w:rPr>
            </w:pPr>
          </w:p>
        </w:tc>
        <w:tc>
          <w:tcPr>
            <w:tcW w:w="1600" w:type="dxa"/>
            <w:vAlign w:val="bottom"/>
            <w:shd w:val="clear" w:color="auto" w:fill="CCEEFF"/>
          </w:tcPr>
          <w:p>
            <w:pPr>
              <w:spacing w:after="0"/>
              <w:rPr>
                <w:sz w:val="12"/>
                <w:szCs w:val="12"/>
                <w:color w:val="auto"/>
              </w:rPr>
            </w:pPr>
          </w:p>
        </w:tc>
        <w:tc>
          <w:tcPr>
            <w:tcW w:w="92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Term Loan</w:t>
            </w: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780" w:type="dxa"/>
            <w:vAlign w:val="bottom"/>
            <w:shd w:val="clear" w:color="auto" w:fill="CCEEFF"/>
          </w:tcPr>
          <w:p>
            <w:pPr>
              <w:spacing w:after="0"/>
              <w:rPr>
                <w:sz w:val="13"/>
                <w:szCs w:val="13"/>
                <w:color w:val="auto"/>
              </w:rPr>
            </w:pPr>
          </w:p>
        </w:tc>
        <w:tc>
          <w:tcPr>
            <w:tcW w:w="3740" w:type="dxa"/>
            <w:vAlign w:val="bottom"/>
            <w:shd w:val="clear" w:color="auto" w:fill="CCEEFF"/>
          </w:tcPr>
          <w:p>
            <w:pPr>
              <w:spacing w:after="0"/>
              <w:rPr>
                <w:sz w:val="13"/>
                <w:szCs w:val="13"/>
                <w:color w:val="auto"/>
              </w:rPr>
            </w:pPr>
          </w:p>
        </w:tc>
        <w:tc>
          <w:tcPr>
            <w:tcW w:w="1600" w:type="dxa"/>
            <w:vAlign w:val="bottom"/>
            <w:shd w:val="clear" w:color="auto" w:fill="CCEEFF"/>
          </w:tcPr>
          <w:p>
            <w:pPr>
              <w:spacing w:after="0"/>
              <w:rPr>
                <w:sz w:val="13"/>
                <w:szCs w:val="13"/>
                <w:color w:val="auto"/>
              </w:rPr>
            </w:pPr>
          </w:p>
        </w:tc>
        <w:tc>
          <w:tcPr>
            <w:tcW w:w="920" w:type="dxa"/>
            <w:vAlign w:val="bottom"/>
            <w:gridSpan w:val="3"/>
            <w:shd w:val="clear" w:color="auto" w:fill="CCEEFF"/>
          </w:tcPr>
          <w:p>
            <w:pPr>
              <w:ind w:left="100"/>
              <w:spacing w:after="0" w:line="159" w:lineRule="exact"/>
              <w:rPr>
                <w:sz w:val="20"/>
                <w:szCs w:val="20"/>
                <w:color w:val="auto"/>
              </w:rPr>
            </w:pPr>
            <w:r>
              <w:rPr>
                <w:rFonts w:ascii="Arial" w:cs="Arial" w:eastAsia="Arial" w:hAnsi="Arial"/>
                <w:sz w:val="14"/>
                <w:szCs w:val="14"/>
                <w:color w:val="auto"/>
              </w:rPr>
              <w:t>(First Lien)</w:t>
            </w:r>
          </w:p>
        </w:tc>
        <w:tc>
          <w:tcPr>
            <w:tcW w:w="3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4.75%</w:t>
            </w:r>
          </w:p>
        </w:tc>
        <w:tc>
          <w:tcPr>
            <w:tcW w:w="72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w w:val="96"/>
              </w:rPr>
              <w:t>5/31/2019</w:t>
            </w: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w w:val="83"/>
              </w:rPr>
              <w:t>1,960,046</w:t>
            </w:r>
          </w:p>
        </w:tc>
        <w:tc>
          <w:tcPr>
            <w:tcW w:w="14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w w:val="93"/>
              </w:rPr>
              <w:t>1,965,495</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96"/>
              </w:rPr>
              <w:t>1,969,846</w:t>
            </w: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4520" w:type="dxa"/>
            <w:vAlign w:val="bottom"/>
            <w:gridSpan w:val="2"/>
          </w:tcPr>
          <w:p>
            <w:pPr>
              <w:spacing w:after="0" w:line="138" w:lineRule="exact"/>
              <w:rPr>
                <w:sz w:val="20"/>
                <w:szCs w:val="20"/>
                <w:color w:val="auto"/>
              </w:rPr>
            </w:pPr>
            <w:r>
              <w:rPr>
                <w:rFonts w:ascii="Arial" w:cs="Arial" w:eastAsia="Arial" w:hAnsi="Arial"/>
                <w:sz w:val="14"/>
                <w:szCs w:val="14"/>
                <w:color w:val="auto"/>
              </w:rPr>
              <w:t>Capital Automotive L.P.</w:t>
            </w:r>
          </w:p>
        </w:tc>
        <w:tc>
          <w:tcPr>
            <w:tcW w:w="1600" w:type="dxa"/>
            <w:vAlign w:val="bottom"/>
          </w:tcPr>
          <w:p>
            <w:pPr>
              <w:spacing w:after="0" w:line="138" w:lineRule="exact"/>
              <w:rPr>
                <w:sz w:val="20"/>
                <w:szCs w:val="20"/>
                <w:color w:val="auto"/>
              </w:rPr>
            </w:pPr>
            <w:r>
              <w:rPr>
                <w:rFonts w:ascii="Arial" w:cs="Arial" w:eastAsia="Arial" w:hAnsi="Arial"/>
                <w:sz w:val="14"/>
                <w:szCs w:val="14"/>
                <w:color w:val="auto"/>
              </w:rPr>
              <w:t>Conglomerate</w:t>
            </w:r>
          </w:p>
        </w:tc>
        <w:tc>
          <w:tcPr>
            <w:tcW w:w="920" w:type="dxa"/>
            <w:vAlign w:val="bottom"/>
            <w:gridSpan w:val="3"/>
          </w:tcPr>
          <w:p>
            <w:pPr>
              <w:ind w:left="100"/>
              <w:spacing w:after="0" w:line="138" w:lineRule="exact"/>
              <w:rPr>
                <w:sz w:val="20"/>
                <w:szCs w:val="20"/>
                <w:color w:val="auto"/>
              </w:rPr>
            </w:pPr>
            <w:r>
              <w:rPr>
                <w:rFonts w:ascii="Arial" w:cs="Arial" w:eastAsia="Arial" w:hAnsi="Arial"/>
                <w:sz w:val="14"/>
                <w:szCs w:val="14"/>
                <w:color w:val="auto"/>
              </w:rPr>
              <w:t>Tranche B-1</w:t>
            </w:r>
          </w:p>
        </w:tc>
        <w:tc>
          <w:tcPr>
            <w:tcW w:w="440" w:type="dxa"/>
            <w:vAlign w:val="bottom"/>
            <w:gridSpan w:val="2"/>
          </w:tcPr>
          <w:p>
            <w:pPr>
              <w:spacing w:after="0" w:line="138" w:lineRule="exact"/>
              <w:rPr>
                <w:sz w:val="20"/>
                <w:szCs w:val="20"/>
                <w:color w:val="auto"/>
              </w:rPr>
            </w:pPr>
            <w:r>
              <w:rPr>
                <w:rFonts w:ascii="Arial" w:cs="Arial" w:eastAsia="Arial" w:hAnsi="Arial"/>
                <w:sz w:val="14"/>
                <w:szCs w:val="14"/>
                <w:color w:val="auto"/>
              </w:rPr>
              <w:t>Loan</w:t>
            </w: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780" w:type="dxa"/>
            <w:vAlign w:val="bottom"/>
          </w:tcPr>
          <w:p>
            <w:pPr>
              <w:spacing w:after="0"/>
              <w:rPr>
                <w:sz w:val="12"/>
                <w:szCs w:val="12"/>
                <w:color w:val="auto"/>
              </w:rPr>
            </w:pPr>
          </w:p>
        </w:tc>
        <w:tc>
          <w:tcPr>
            <w:tcW w:w="374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92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Term Loan</w:t>
            </w: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780" w:type="dxa"/>
            <w:vAlign w:val="bottom"/>
          </w:tcPr>
          <w:p>
            <w:pPr>
              <w:spacing w:after="0"/>
              <w:rPr>
                <w:sz w:val="13"/>
                <w:szCs w:val="13"/>
                <w:color w:val="auto"/>
              </w:rPr>
            </w:pPr>
          </w:p>
        </w:tc>
        <w:tc>
          <w:tcPr>
            <w:tcW w:w="374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920" w:type="dxa"/>
            <w:vAlign w:val="bottom"/>
            <w:gridSpan w:val="3"/>
          </w:tcPr>
          <w:p>
            <w:pPr>
              <w:ind w:left="100"/>
              <w:spacing w:after="0" w:line="159" w:lineRule="exact"/>
              <w:rPr>
                <w:sz w:val="20"/>
                <w:szCs w:val="20"/>
                <w:color w:val="auto"/>
              </w:rPr>
            </w:pPr>
            <w:r>
              <w:rPr>
                <w:rFonts w:ascii="Arial" w:cs="Arial" w:eastAsia="Arial" w:hAnsi="Arial"/>
                <w:sz w:val="14"/>
                <w:szCs w:val="14"/>
                <w:color w:val="auto"/>
              </w:rPr>
              <w:t>Facility</w:t>
            </w: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4.00%</w:t>
            </w:r>
          </w:p>
        </w:tc>
        <w:tc>
          <w:tcPr>
            <w:tcW w:w="72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w w:val="96"/>
              </w:rPr>
              <w:t>4/10/2019</w:t>
            </w: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70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w w:val="83"/>
              </w:rPr>
              <w:t>2,079,313</w:t>
            </w:r>
          </w:p>
        </w:tc>
        <w:tc>
          <w:tcPr>
            <w:tcW w:w="140" w:type="dxa"/>
            <w:vAlign w:val="bottom"/>
          </w:tcPr>
          <w:p>
            <w:pPr>
              <w:spacing w:after="0"/>
              <w:rPr>
                <w:sz w:val="13"/>
                <w:szCs w:val="13"/>
                <w:color w:val="auto"/>
              </w:rPr>
            </w:pPr>
          </w:p>
        </w:tc>
        <w:tc>
          <w:tcPr>
            <w:tcW w:w="68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w w:val="93"/>
              </w:rPr>
              <w:t>2,083,783</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jc w:val="right"/>
              <w:spacing w:after="0" w:line="159" w:lineRule="exact"/>
              <w:rPr>
                <w:sz w:val="20"/>
                <w:szCs w:val="20"/>
                <w:color w:val="auto"/>
              </w:rPr>
            </w:pPr>
            <w:r>
              <w:rPr>
                <w:rFonts w:ascii="Arial" w:cs="Arial" w:eastAsia="Arial" w:hAnsi="Arial"/>
                <w:sz w:val="14"/>
                <w:szCs w:val="14"/>
                <w:color w:val="auto"/>
                <w:w w:val="96"/>
              </w:rPr>
              <w:t>2,084,511</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452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Catalent Pharma Solutions, Inc</w:t>
            </w:r>
          </w:p>
        </w:tc>
        <w:tc>
          <w:tcPr>
            <w:tcW w:w="160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Drugs</w:t>
            </w:r>
          </w:p>
        </w:tc>
        <w:tc>
          <w:tcPr>
            <w:tcW w:w="920" w:type="dxa"/>
            <w:vAlign w:val="bottom"/>
            <w:gridSpan w:val="3"/>
            <w:shd w:val="clear" w:color="auto" w:fill="CCEEFF"/>
          </w:tcPr>
          <w:p>
            <w:pPr>
              <w:ind w:left="100"/>
              <w:spacing w:after="0" w:line="138" w:lineRule="exact"/>
              <w:rPr>
                <w:sz w:val="20"/>
                <w:szCs w:val="20"/>
                <w:color w:val="auto"/>
              </w:rPr>
            </w:pPr>
            <w:r>
              <w:rPr>
                <w:rFonts w:ascii="Arial" w:cs="Arial" w:eastAsia="Arial" w:hAnsi="Arial"/>
                <w:sz w:val="14"/>
                <w:szCs w:val="14"/>
                <w:color w:val="auto"/>
              </w:rPr>
              <w:t>Initial Term</w:t>
            </w:r>
          </w:p>
        </w:tc>
        <w:tc>
          <w:tcPr>
            <w:tcW w:w="44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Loan</w:t>
            </w:r>
          </w:p>
        </w:tc>
        <w:tc>
          <w:tcPr>
            <w:tcW w:w="5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780" w:type="dxa"/>
            <w:vAlign w:val="bottom"/>
            <w:shd w:val="clear" w:color="auto" w:fill="CCEEFF"/>
          </w:tcPr>
          <w:p>
            <w:pPr>
              <w:spacing w:after="0"/>
              <w:rPr>
                <w:sz w:val="13"/>
                <w:szCs w:val="13"/>
                <w:color w:val="auto"/>
              </w:rPr>
            </w:pPr>
          </w:p>
        </w:tc>
        <w:tc>
          <w:tcPr>
            <w:tcW w:w="3740" w:type="dxa"/>
            <w:vAlign w:val="bottom"/>
            <w:shd w:val="clear" w:color="auto" w:fill="CCEEFF"/>
          </w:tcPr>
          <w:p>
            <w:pPr>
              <w:spacing w:after="0"/>
              <w:rPr>
                <w:sz w:val="13"/>
                <w:szCs w:val="13"/>
                <w:color w:val="auto"/>
              </w:rPr>
            </w:pPr>
          </w:p>
        </w:tc>
        <w:tc>
          <w:tcPr>
            <w:tcW w:w="1600" w:type="dxa"/>
            <w:vAlign w:val="bottom"/>
            <w:shd w:val="clear" w:color="auto" w:fill="CCEEFF"/>
          </w:tcPr>
          <w:p>
            <w:pPr>
              <w:spacing w:after="0"/>
              <w:rPr>
                <w:sz w:val="13"/>
                <w:szCs w:val="13"/>
                <w:color w:val="auto"/>
              </w:rPr>
            </w:pPr>
          </w:p>
        </w:tc>
        <w:tc>
          <w:tcPr>
            <w:tcW w:w="920" w:type="dxa"/>
            <w:vAlign w:val="bottom"/>
            <w:gridSpan w:val="3"/>
            <w:shd w:val="clear" w:color="auto" w:fill="CCEEFF"/>
          </w:tcPr>
          <w:p>
            <w:pPr>
              <w:ind w:left="100"/>
              <w:spacing w:after="0" w:line="159" w:lineRule="exact"/>
              <w:rPr>
                <w:sz w:val="20"/>
                <w:szCs w:val="20"/>
                <w:color w:val="auto"/>
              </w:rPr>
            </w:pPr>
            <w:r>
              <w:rPr>
                <w:rFonts w:ascii="Arial" w:cs="Arial" w:eastAsia="Arial" w:hAnsi="Arial"/>
                <w:sz w:val="14"/>
                <w:szCs w:val="14"/>
                <w:color w:val="auto"/>
              </w:rPr>
              <w:t>B Loan</w:t>
            </w:r>
          </w:p>
        </w:tc>
        <w:tc>
          <w:tcPr>
            <w:tcW w:w="3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4.25%</w:t>
            </w:r>
          </w:p>
        </w:tc>
        <w:tc>
          <w:tcPr>
            <w:tcW w:w="72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w w:val="96"/>
              </w:rPr>
              <w:t>5/20/2021</w:t>
            </w: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497,500</w:t>
            </w:r>
          </w:p>
        </w:tc>
        <w:tc>
          <w:tcPr>
            <w:tcW w:w="14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495,170</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498,401</w:t>
            </w: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4520" w:type="dxa"/>
            <w:vAlign w:val="bottom"/>
            <w:gridSpan w:val="2"/>
          </w:tcPr>
          <w:p>
            <w:pPr>
              <w:spacing w:after="0" w:line="138" w:lineRule="exact"/>
              <w:rPr>
                <w:sz w:val="20"/>
                <w:szCs w:val="20"/>
                <w:color w:val="auto"/>
              </w:rPr>
            </w:pPr>
            <w:r>
              <w:rPr>
                <w:rFonts w:ascii="Arial" w:cs="Arial" w:eastAsia="Arial" w:hAnsi="Arial"/>
                <w:sz w:val="14"/>
                <w:szCs w:val="14"/>
                <w:color w:val="auto"/>
              </w:rPr>
              <w:t>Celanese US Holdings LLC</w:t>
            </w:r>
          </w:p>
        </w:tc>
        <w:tc>
          <w:tcPr>
            <w:tcW w:w="1600" w:type="dxa"/>
            <w:vAlign w:val="bottom"/>
          </w:tcPr>
          <w:p>
            <w:pPr>
              <w:spacing w:after="0" w:line="138" w:lineRule="exact"/>
              <w:rPr>
                <w:sz w:val="20"/>
                <w:szCs w:val="20"/>
                <w:color w:val="auto"/>
              </w:rPr>
            </w:pPr>
            <w:r>
              <w:rPr>
                <w:rFonts w:ascii="Arial" w:cs="Arial" w:eastAsia="Arial" w:hAnsi="Arial"/>
                <w:sz w:val="14"/>
                <w:szCs w:val="14"/>
                <w:color w:val="auto"/>
              </w:rPr>
              <w:t>Chemicals/Plastics</w:t>
            </w:r>
          </w:p>
        </w:tc>
        <w:tc>
          <w:tcPr>
            <w:tcW w:w="920" w:type="dxa"/>
            <w:vAlign w:val="bottom"/>
            <w:gridSpan w:val="3"/>
          </w:tcPr>
          <w:p>
            <w:pPr>
              <w:ind w:left="100"/>
              <w:spacing w:after="0" w:line="138" w:lineRule="exact"/>
              <w:rPr>
                <w:sz w:val="20"/>
                <w:szCs w:val="20"/>
                <w:color w:val="auto"/>
              </w:rPr>
            </w:pPr>
            <w:r>
              <w:rPr>
                <w:rFonts w:ascii="Arial" w:cs="Arial" w:eastAsia="Arial" w:hAnsi="Arial"/>
                <w:sz w:val="14"/>
                <w:szCs w:val="14"/>
                <w:color w:val="auto"/>
              </w:rPr>
              <w:t>Dollar Term</w:t>
            </w:r>
          </w:p>
        </w:tc>
        <w:tc>
          <w:tcPr>
            <w:tcW w:w="440" w:type="dxa"/>
            <w:vAlign w:val="bottom"/>
            <w:gridSpan w:val="2"/>
          </w:tcPr>
          <w:p>
            <w:pPr>
              <w:spacing w:after="0" w:line="138" w:lineRule="exact"/>
              <w:rPr>
                <w:sz w:val="20"/>
                <w:szCs w:val="20"/>
                <w:color w:val="auto"/>
              </w:rPr>
            </w:pPr>
            <w:r>
              <w:rPr>
                <w:rFonts w:ascii="Arial" w:cs="Arial" w:eastAsia="Arial" w:hAnsi="Arial"/>
                <w:sz w:val="14"/>
                <w:szCs w:val="14"/>
                <w:color w:val="auto"/>
              </w:rPr>
              <w:t>Loan</w:t>
            </w: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780" w:type="dxa"/>
            <w:vAlign w:val="bottom"/>
          </w:tcPr>
          <w:p>
            <w:pPr>
              <w:spacing w:after="0"/>
              <w:rPr>
                <w:sz w:val="12"/>
                <w:szCs w:val="12"/>
                <w:color w:val="auto"/>
              </w:rPr>
            </w:pPr>
          </w:p>
        </w:tc>
        <w:tc>
          <w:tcPr>
            <w:tcW w:w="374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92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C-2</w:t>
            </w: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780" w:type="dxa"/>
            <w:vAlign w:val="bottom"/>
          </w:tcPr>
          <w:p>
            <w:pPr>
              <w:spacing w:after="0"/>
              <w:rPr>
                <w:sz w:val="13"/>
                <w:szCs w:val="13"/>
                <w:color w:val="auto"/>
              </w:rPr>
            </w:pPr>
          </w:p>
        </w:tc>
        <w:tc>
          <w:tcPr>
            <w:tcW w:w="374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920" w:type="dxa"/>
            <w:vAlign w:val="bottom"/>
            <w:gridSpan w:val="3"/>
          </w:tcPr>
          <w:p>
            <w:pPr>
              <w:ind w:left="100"/>
              <w:spacing w:after="0" w:line="159" w:lineRule="exact"/>
              <w:rPr>
                <w:sz w:val="20"/>
                <w:szCs w:val="20"/>
                <w:color w:val="auto"/>
              </w:rPr>
            </w:pPr>
            <w:r>
              <w:rPr>
                <w:rFonts w:ascii="Arial" w:cs="Arial" w:eastAsia="Arial" w:hAnsi="Arial"/>
                <w:sz w:val="14"/>
                <w:szCs w:val="14"/>
                <w:color w:val="auto"/>
              </w:rPr>
              <w:t>Commitment</w:t>
            </w: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2.49%</w:t>
            </w:r>
          </w:p>
        </w:tc>
        <w:tc>
          <w:tcPr>
            <w:tcW w:w="72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w w:val="85"/>
              </w:rPr>
              <w:t>10/31/2018</w:t>
            </w: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70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w w:val="83"/>
              </w:rPr>
              <w:t>2,154,560</w:t>
            </w:r>
          </w:p>
        </w:tc>
        <w:tc>
          <w:tcPr>
            <w:tcW w:w="140" w:type="dxa"/>
            <w:vAlign w:val="bottom"/>
          </w:tcPr>
          <w:p>
            <w:pPr>
              <w:spacing w:after="0"/>
              <w:rPr>
                <w:sz w:val="13"/>
                <w:szCs w:val="13"/>
                <w:color w:val="auto"/>
              </w:rPr>
            </w:pPr>
          </w:p>
        </w:tc>
        <w:tc>
          <w:tcPr>
            <w:tcW w:w="68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w w:val="93"/>
              </w:rPr>
              <w:t>2,180,598</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jc w:val="right"/>
              <w:spacing w:after="0" w:line="159" w:lineRule="exact"/>
              <w:rPr>
                <w:sz w:val="20"/>
                <w:szCs w:val="20"/>
                <w:color w:val="auto"/>
              </w:rPr>
            </w:pPr>
            <w:r>
              <w:rPr>
                <w:rFonts w:ascii="Arial" w:cs="Arial" w:eastAsia="Arial" w:hAnsi="Arial"/>
                <w:sz w:val="14"/>
                <w:szCs w:val="14"/>
                <w:color w:val="auto"/>
                <w:w w:val="96"/>
              </w:rPr>
              <w:t>2,157,533</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5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Cengage Learning</w:t>
            </w:r>
          </w:p>
        </w:tc>
        <w:tc>
          <w:tcPr>
            <w:tcW w:w="16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Publishing</w:t>
            </w:r>
          </w:p>
        </w:tc>
        <w:tc>
          <w:tcPr>
            <w:tcW w:w="92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Term Loan</w:t>
            </w:r>
          </w:p>
        </w:tc>
        <w:tc>
          <w:tcPr>
            <w:tcW w:w="4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Loan</w:t>
            </w:r>
          </w:p>
        </w:tc>
        <w:tc>
          <w:tcPr>
            <w:tcW w:w="7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7.00%</w:t>
            </w:r>
          </w:p>
        </w:tc>
        <w:tc>
          <w:tcPr>
            <w:tcW w:w="7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96"/>
              </w:rPr>
              <w:t>3/31/2020</w:t>
            </w: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83"/>
              </w:rPr>
              <w:t>2,731,869</w:t>
            </w:r>
          </w:p>
        </w:tc>
        <w:tc>
          <w:tcPr>
            <w:tcW w:w="1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3"/>
              </w:rPr>
              <w:t>2,761,735</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2,733,235</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4520" w:type="dxa"/>
            <w:vAlign w:val="bottom"/>
            <w:gridSpan w:val="2"/>
          </w:tcPr>
          <w:p>
            <w:pPr>
              <w:spacing w:after="0" w:line="138" w:lineRule="exact"/>
              <w:rPr>
                <w:sz w:val="20"/>
                <w:szCs w:val="20"/>
                <w:color w:val="auto"/>
              </w:rPr>
            </w:pPr>
            <w:r>
              <w:rPr>
                <w:rFonts w:ascii="Arial" w:cs="Arial" w:eastAsia="Arial" w:hAnsi="Arial"/>
                <w:sz w:val="14"/>
                <w:szCs w:val="14"/>
                <w:color w:val="auto"/>
              </w:rPr>
              <w:t>Charter Communications Operating, LLC</w:t>
            </w:r>
          </w:p>
        </w:tc>
        <w:tc>
          <w:tcPr>
            <w:tcW w:w="1600" w:type="dxa"/>
            <w:vAlign w:val="bottom"/>
          </w:tcPr>
          <w:p>
            <w:pPr>
              <w:spacing w:after="0" w:line="138" w:lineRule="exact"/>
              <w:rPr>
                <w:sz w:val="20"/>
                <w:szCs w:val="20"/>
                <w:color w:val="auto"/>
              </w:rPr>
            </w:pPr>
            <w:r>
              <w:rPr>
                <w:rFonts w:ascii="Arial" w:cs="Arial" w:eastAsia="Arial" w:hAnsi="Arial"/>
                <w:sz w:val="14"/>
                <w:szCs w:val="14"/>
                <w:color w:val="auto"/>
              </w:rPr>
              <w:t>Cable and Satellite</w:t>
            </w:r>
          </w:p>
        </w:tc>
        <w:tc>
          <w:tcPr>
            <w:tcW w:w="920" w:type="dxa"/>
            <w:vAlign w:val="bottom"/>
            <w:gridSpan w:val="3"/>
          </w:tcPr>
          <w:p>
            <w:pPr>
              <w:ind w:left="100"/>
              <w:spacing w:after="0" w:line="138" w:lineRule="exact"/>
              <w:rPr>
                <w:sz w:val="20"/>
                <w:szCs w:val="20"/>
                <w:color w:val="auto"/>
              </w:rPr>
            </w:pPr>
            <w:r>
              <w:rPr>
                <w:rFonts w:ascii="Arial" w:cs="Arial" w:eastAsia="Arial" w:hAnsi="Arial"/>
                <w:sz w:val="14"/>
                <w:szCs w:val="14"/>
                <w:color w:val="auto"/>
                <w:w w:val="99"/>
              </w:rPr>
              <w:t>Term F Loan</w:t>
            </w:r>
          </w:p>
        </w:tc>
        <w:tc>
          <w:tcPr>
            <w:tcW w:w="440" w:type="dxa"/>
            <w:vAlign w:val="bottom"/>
            <w:gridSpan w:val="2"/>
          </w:tcPr>
          <w:p>
            <w:pPr>
              <w:spacing w:after="0" w:line="138" w:lineRule="exact"/>
              <w:rPr>
                <w:sz w:val="20"/>
                <w:szCs w:val="20"/>
                <w:color w:val="auto"/>
              </w:rPr>
            </w:pPr>
            <w:r>
              <w:rPr>
                <w:rFonts w:ascii="Arial" w:cs="Arial" w:eastAsia="Arial" w:hAnsi="Arial"/>
                <w:sz w:val="14"/>
                <w:szCs w:val="14"/>
                <w:color w:val="auto"/>
              </w:rPr>
              <w:t>Loan</w:t>
            </w: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780" w:type="dxa"/>
            <w:vAlign w:val="bottom"/>
          </w:tcPr>
          <w:p>
            <w:pPr>
              <w:spacing w:after="0"/>
              <w:rPr>
                <w:sz w:val="13"/>
                <w:szCs w:val="13"/>
                <w:color w:val="auto"/>
              </w:rPr>
            </w:pPr>
          </w:p>
        </w:tc>
        <w:tc>
          <w:tcPr>
            <w:tcW w:w="3740" w:type="dxa"/>
            <w:vAlign w:val="bottom"/>
          </w:tcPr>
          <w:p>
            <w:pPr>
              <w:spacing w:after="0"/>
              <w:rPr>
                <w:sz w:val="13"/>
                <w:szCs w:val="13"/>
                <w:color w:val="auto"/>
              </w:rPr>
            </w:pPr>
          </w:p>
        </w:tc>
        <w:tc>
          <w:tcPr>
            <w:tcW w:w="1600" w:type="dxa"/>
            <w:vAlign w:val="bottom"/>
          </w:tcPr>
          <w:p>
            <w:pPr>
              <w:spacing w:after="0" w:line="159" w:lineRule="exact"/>
              <w:rPr>
                <w:sz w:val="20"/>
                <w:szCs w:val="20"/>
                <w:color w:val="auto"/>
              </w:rPr>
            </w:pPr>
            <w:r>
              <w:rPr>
                <w:rFonts w:ascii="Arial" w:cs="Arial" w:eastAsia="Arial" w:hAnsi="Arial"/>
                <w:sz w:val="14"/>
                <w:szCs w:val="14"/>
                <w:color w:val="auto"/>
              </w:rPr>
              <w:t>Television</w:t>
            </w: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3.00%</w:t>
            </w:r>
          </w:p>
        </w:tc>
        <w:tc>
          <w:tcPr>
            <w:tcW w:w="72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w w:val="85"/>
              </w:rPr>
              <w:t>12/31/2020</w:t>
            </w: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70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w w:val="83"/>
              </w:rPr>
              <w:t>2,655,745</w:t>
            </w:r>
          </w:p>
        </w:tc>
        <w:tc>
          <w:tcPr>
            <w:tcW w:w="140" w:type="dxa"/>
            <w:vAlign w:val="bottom"/>
          </w:tcPr>
          <w:p>
            <w:pPr>
              <w:spacing w:after="0"/>
              <w:rPr>
                <w:sz w:val="13"/>
                <w:szCs w:val="13"/>
                <w:color w:val="auto"/>
              </w:rPr>
            </w:pPr>
          </w:p>
        </w:tc>
        <w:tc>
          <w:tcPr>
            <w:tcW w:w="68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w w:val="93"/>
              </w:rPr>
              <w:t>2,646,932</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jc w:val="right"/>
              <w:spacing w:after="0" w:line="159" w:lineRule="exact"/>
              <w:rPr>
                <w:sz w:val="20"/>
                <w:szCs w:val="20"/>
                <w:color w:val="auto"/>
              </w:rPr>
            </w:pPr>
            <w:r>
              <w:rPr>
                <w:rFonts w:ascii="Arial" w:cs="Arial" w:eastAsia="Arial" w:hAnsi="Arial"/>
                <w:sz w:val="14"/>
                <w:szCs w:val="14"/>
                <w:color w:val="auto"/>
                <w:w w:val="96"/>
              </w:rPr>
              <w:t>2,646,344</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452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CHS/Community Health Systems, Inc.</w:t>
            </w:r>
          </w:p>
        </w:tc>
        <w:tc>
          <w:tcPr>
            <w:tcW w:w="160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Healthcare &amp;</w:t>
            </w:r>
          </w:p>
        </w:tc>
        <w:tc>
          <w:tcPr>
            <w:tcW w:w="920" w:type="dxa"/>
            <w:vAlign w:val="bottom"/>
            <w:gridSpan w:val="3"/>
            <w:shd w:val="clear" w:color="auto" w:fill="CCEEFF"/>
          </w:tcPr>
          <w:p>
            <w:pPr>
              <w:ind w:left="100"/>
              <w:spacing w:after="0" w:line="138" w:lineRule="exact"/>
              <w:rPr>
                <w:sz w:val="20"/>
                <w:szCs w:val="20"/>
                <w:color w:val="auto"/>
              </w:rPr>
            </w:pPr>
            <w:r>
              <w:rPr>
                <w:rFonts w:ascii="Arial" w:cs="Arial" w:eastAsia="Arial" w:hAnsi="Arial"/>
                <w:sz w:val="14"/>
                <w:szCs w:val="14"/>
                <w:color w:val="auto"/>
                <w:w w:val="98"/>
              </w:rPr>
              <w:t>2017 Term E</w:t>
            </w:r>
          </w:p>
        </w:tc>
        <w:tc>
          <w:tcPr>
            <w:tcW w:w="44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Loan</w:t>
            </w:r>
          </w:p>
        </w:tc>
        <w:tc>
          <w:tcPr>
            <w:tcW w:w="5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780" w:type="dxa"/>
            <w:vAlign w:val="bottom"/>
            <w:shd w:val="clear" w:color="auto" w:fill="CCEEFF"/>
          </w:tcPr>
          <w:p>
            <w:pPr>
              <w:spacing w:after="0"/>
              <w:rPr>
                <w:sz w:val="13"/>
                <w:szCs w:val="13"/>
                <w:color w:val="auto"/>
              </w:rPr>
            </w:pPr>
          </w:p>
        </w:tc>
        <w:tc>
          <w:tcPr>
            <w:tcW w:w="3740" w:type="dxa"/>
            <w:vAlign w:val="bottom"/>
            <w:shd w:val="clear" w:color="auto" w:fill="CCEEFF"/>
          </w:tcPr>
          <w:p>
            <w:pPr>
              <w:spacing w:after="0"/>
              <w:rPr>
                <w:sz w:val="13"/>
                <w:szCs w:val="13"/>
                <w:color w:val="auto"/>
              </w:rPr>
            </w:pPr>
          </w:p>
        </w:tc>
        <w:tc>
          <w:tcPr>
            <w:tcW w:w="160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Pharmaceuticals</w:t>
            </w:r>
          </w:p>
        </w:tc>
        <w:tc>
          <w:tcPr>
            <w:tcW w:w="920" w:type="dxa"/>
            <w:vAlign w:val="bottom"/>
            <w:gridSpan w:val="3"/>
            <w:shd w:val="clear" w:color="auto" w:fill="CCEEFF"/>
          </w:tcPr>
          <w:p>
            <w:pPr>
              <w:ind w:left="100"/>
              <w:spacing w:after="0" w:line="159" w:lineRule="exact"/>
              <w:rPr>
                <w:sz w:val="20"/>
                <w:szCs w:val="20"/>
                <w:color w:val="auto"/>
              </w:rPr>
            </w:pPr>
            <w:r>
              <w:rPr>
                <w:rFonts w:ascii="Arial" w:cs="Arial" w:eastAsia="Arial" w:hAnsi="Arial"/>
                <w:sz w:val="14"/>
                <w:szCs w:val="14"/>
                <w:color w:val="auto"/>
              </w:rPr>
              <w:t>Loan</w:t>
            </w:r>
          </w:p>
        </w:tc>
        <w:tc>
          <w:tcPr>
            <w:tcW w:w="3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3.49%</w:t>
            </w:r>
          </w:p>
        </w:tc>
        <w:tc>
          <w:tcPr>
            <w:tcW w:w="72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w w:val="96"/>
              </w:rPr>
              <w:t>1/25/2017</w:t>
            </w: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w w:val="83"/>
              </w:rPr>
              <w:t>1,097,818</w:t>
            </w:r>
          </w:p>
        </w:tc>
        <w:tc>
          <w:tcPr>
            <w:tcW w:w="14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w w:val="93"/>
              </w:rPr>
              <w:t>1,074,945</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96"/>
              </w:rPr>
              <w:t>1,097,193</w:t>
            </w: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4520" w:type="dxa"/>
            <w:vAlign w:val="bottom"/>
            <w:gridSpan w:val="2"/>
          </w:tcPr>
          <w:p>
            <w:pPr>
              <w:spacing w:after="0" w:line="138" w:lineRule="exact"/>
              <w:rPr>
                <w:sz w:val="20"/>
                <w:szCs w:val="20"/>
                <w:color w:val="auto"/>
              </w:rPr>
            </w:pPr>
            <w:r>
              <w:rPr>
                <w:rFonts w:ascii="Arial" w:cs="Arial" w:eastAsia="Arial" w:hAnsi="Arial"/>
                <w:sz w:val="14"/>
                <w:szCs w:val="14"/>
                <w:color w:val="auto"/>
              </w:rPr>
              <w:t>CHS/Community Health Systems, Inc.</w:t>
            </w:r>
          </w:p>
        </w:tc>
        <w:tc>
          <w:tcPr>
            <w:tcW w:w="1600" w:type="dxa"/>
            <w:vAlign w:val="bottom"/>
          </w:tcPr>
          <w:p>
            <w:pPr>
              <w:spacing w:after="0" w:line="138" w:lineRule="exact"/>
              <w:rPr>
                <w:sz w:val="20"/>
                <w:szCs w:val="20"/>
                <w:color w:val="auto"/>
              </w:rPr>
            </w:pPr>
            <w:r>
              <w:rPr>
                <w:rFonts w:ascii="Arial" w:cs="Arial" w:eastAsia="Arial" w:hAnsi="Arial"/>
                <w:sz w:val="14"/>
                <w:szCs w:val="14"/>
                <w:color w:val="auto"/>
              </w:rPr>
              <w:t>Healthcare &amp;</w:t>
            </w:r>
          </w:p>
        </w:tc>
        <w:tc>
          <w:tcPr>
            <w:tcW w:w="920" w:type="dxa"/>
            <w:vAlign w:val="bottom"/>
            <w:gridSpan w:val="3"/>
          </w:tcPr>
          <w:p>
            <w:pPr>
              <w:ind w:left="100"/>
              <w:spacing w:after="0" w:line="138" w:lineRule="exact"/>
              <w:rPr>
                <w:sz w:val="20"/>
                <w:szCs w:val="20"/>
                <w:color w:val="auto"/>
              </w:rPr>
            </w:pPr>
            <w:r>
              <w:rPr>
                <w:rFonts w:ascii="Arial" w:cs="Arial" w:eastAsia="Arial" w:hAnsi="Arial"/>
                <w:sz w:val="14"/>
                <w:szCs w:val="14"/>
                <w:color w:val="auto"/>
              </w:rPr>
              <w:t>2021 Term</w:t>
            </w:r>
          </w:p>
        </w:tc>
        <w:tc>
          <w:tcPr>
            <w:tcW w:w="440" w:type="dxa"/>
            <w:vAlign w:val="bottom"/>
            <w:gridSpan w:val="2"/>
          </w:tcPr>
          <w:p>
            <w:pPr>
              <w:spacing w:after="0" w:line="138" w:lineRule="exact"/>
              <w:rPr>
                <w:sz w:val="20"/>
                <w:szCs w:val="20"/>
                <w:color w:val="auto"/>
              </w:rPr>
            </w:pPr>
            <w:r>
              <w:rPr>
                <w:rFonts w:ascii="Arial" w:cs="Arial" w:eastAsia="Arial" w:hAnsi="Arial"/>
                <w:sz w:val="14"/>
                <w:szCs w:val="14"/>
                <w:color w:val="auto"/>
              </w:rPr>
              <w:t>Loan</w:t>
            </w: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780" w:type="dxa"/>
            <w:vAlign w:val="bottom"/>
          </w:tcPr>
          <w:p>
            <w:pPr>
              <w:spacing w:after="0"/>
              <w:rPr>
                <w:sz w:val="13"/>
                <w:szCs w:val="13"/>
                <w:color w:val="auto"/>
              </w:rPr>
            </w:pPr>
          </w:p>
        </w:tc>
        <w:tc>
          <w:tcPr>
            <w:tcW w:w="3740" w:type="dxa"/>
            <w:vAlign w:val="bottom"/>
          </w:tcPr>
          <w:p>
            <w:pPr>
              <w:spacing w:after="0"/>
              <w:rPr>
                <w:sz w:val="13"/>
                <w:szCs w:val="13"/>
                <w:color w:val="auto"/>
              </w:rPr>
            </w:pPr>
          </w:p>
        </w:tc>
        <w:tc>
          <w:tcPr>
            <w:tcW w:w="1600" w:type="dxa"/>
            <w:vAlign w:val="bottom"/>
          </w:tcPr>
          <w:p>
            <w:pPr>
              <w:spacing w:after="0" w:line="159" w:lineRule="exact"/>
              <w:rPr>
                <w:sz w:val="20"/>
                <w:szCs w:val="20"/>
                <w:color w:val="auto"/>
              </w:rPr>
            </w:pPr>
            <w:r>
              <w:rPr>
                <w:rFonts w:ascii="Arial" w:cs="Arial" w:eastAsia="Arial" w:hAnsi="Arial"/>
                <w:sz w:val="14"/>
                <w:szCs w:val="14"/>
                <w:color w:val="auto"/>
              </w:rPr>
              <w:t>Pharmaceuticals</w:t>
            </w:r>
          </w:p>
        </w:tc>
        <w:tc>
          <w:tcPr>
            <w:tcW w:w="920" w:type="dxa"/>
            <w:vAlign w:val="bottom"/>
            <w:gridSpan w:val="3"/>
          </w:tcPr>
          <w:p>
            <w:pPr>
              <w:ind w:left="100"/>
              <w:spacing w:after="0" w:line="159" w:lineRule="exact"/>
              <w:rPr>
                <w:sz w:val="20"/>
                <w:szCs w:val="20"/>
                <w:color w:val="auto"/>
              </w:rPr>
            </w:pPr>
            <w:r>
              <w:rPr>
                <w:rFonts w:ascii="Arial" w:cs="Arial" w:eastAsia="Arial" w:hAnsi="Arial"/>
                <w:sz w:val="14"/>
                <w:szCs w:val="14"/>
                <w:color w:val="auto"/>
              </w:rPr>
              <w:t>D Loan</w:t>
            </w: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4.25%</w:t>
            </w:r>
          </w:p>
        </w:tc>
        <w:tc>
          <w:tcPr>
            <w:tcW w:w="72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w w:val="96"/>
              </w:rPr>
              <w:t>1/27/2021</w:t>
            </w: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70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w w:val="83"/>
              </w:rPr>
              <w:t>2,926,052</w:t>
            </w:r>
          </w:p>
        </w:tc>
        <w:tc>
          <w:tcPr>
            <w:tcW w:w="140" w:type="dxa"/>
            <w:vAlign w:val="bottom"/>
          </w:tcPr>
          <w:p>
            <w:pPr>
              <w:spacing w:after="0"/>
              <w:rPr>
                <w:sz w:val="13"/>
                <w:szCs w:val="13"/>
                <w:color w:val="auto"/>
              </w:rPr>
            </w:pPr>
          </w:p>
        </w:tc>
        <w:tc>
          <w:tcPr>
            <w:tcW w:w="68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w w:val="93"/>
              </w:rPr>
              <w:t>2,844,886</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jc w:val="right"/>
              <w:spacing w:after="0" w:line="159" w:lineRule="exact"/>
              <w:rPr>
                <w:sz w:val="20"/>
                <w:szCs w:val="20"/>
                <w:color w:val="auto"/>
              </w:rPr>
            </w:pPr>
            <w:r>
              <w:rPr>
                <w:rFonts w:ascii="Arial" w:cs="Arial" w:eastAsia="Arial" w:hAnsi="Arial"/>
                <w:sz w:val="14"/>
                <w:szCs w:val="14"/>
                <w:color w:val="auto"/>
                <w:w w:val="96"/>
              </w:rPr>
              <w:t>2,935,210</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5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Cinedigm Digital Funding I, LLC</w:t>
            </w:r>
          </w:p>
        </w:tc>
        <w:tc>
          <w:tcPr>
            <w:tcW w:w="16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Services: Business</w:t>
            </w:r>
          </w:p>
        </w:tc>
        <w:tc>
          <w:tcPr>
            <w:tcW w:w="92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Term Loan</w:t>
            </w:r>
          </w:p>
        </w:tc>
        <w:tc>
          <w:tcPr>
            <w:tcW w:w="4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Loan</w:t>
            </w:r>
          </w:p>
        </w:tc>
        <w:tc>
          <w:tcPr>
            <w:tcW w:w="7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3.75%</w:t>
            </w:r>
          </w:p>
        </w:tc>
        <w:tc>
          <w:tcPr>
            <w:tcW w:w="7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96"/>
              </w:rPr>
              <w:t>2/28/2018</w:t>
            </w: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562,001</w:t>
            </w:r>
          </w:p>
        </w:tc>
        <w:tc>
          <w:tcPr>
            <w:tcW w:w="1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557,872</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561,298</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4520" w:type="dxa"/>
            <w:vAlign w:val="bottom"/>
            <w:gridSpan w:val="2"/>
          </w:tcPr>
          <w:p>
            <w:pPr>
              <w:spacing w:after="0" w:line="138" w:lineRule="exact"/>
              <w:rPr>
                <w:sz w:val="20"/>
                <w:szCs w:val="20"/>
                <w:color w:val="auto"/>
              </w:rPr>
            </w:pPr>
            <w:r>
              <w:rPr>
                <w:rFonts w:ascii="Arial" w:cs="Arial" w:eastAsia="Arial" w:hAnsi="Arial"/>
                <w:sz w:val="14"/>
                <w:szCs w:val="14"/>
                <w:color w:val="auto"/>
              </w:rPr>
              <w:t>CITGO Petroleum</w:t>
            </w:r>
          </w:p>
        </w:tc>
        <w:tc>
          <w:tcPr>
            <w:tcW w:w="1600" w:type="dxa"/>
            <w:vAlign w:val="bottom"/>
          </w:tcPr>
          <w:p>
            <w:pPr>
              <w:spacing w:after="0" w:line="138" w:lineRule="exact"/>
              <w:rPr>
                <w:sz w:val="20"/>
                <w:szCs w:val="20"/>
                <w:color w:val="auto"/>
              </w:rPr>
            </w:pPr>
            <w:r>
              <w:rPr>
                <w:rFonts w:ascii="Arial" w:cs="Arial" w:eastAsia="Arial" w:hAnsi="Arial"/>
                <w:sz w:val="14"/>
                <w:szCs w:val="14"/>
                <w:color w:val="auto"/>
              </w:rPr>
              <w:t>Oil &amp; Gas</w:t>
            </w:r>
          </w:p>
        </w:tc>
        <w:tc>
          <w:tcPr>
            <w:tcW w:w="920" w:type="dxa"/>
            <w:vAlign w:val="bottom"/>
            <w:gridSpan w:val="3"/>
          </w:tcPr>
          <w:p>
            <w:pPr>
              <w:ind w:left="100"/>
              <w:spacing w:after="0" w:line="138" w:lineRule="exact"/>
              <w:rPr>
                <w:sz w:val="20"/>
                <w:szCs w:val="20"/>
                <w:color w:val="auto"/>
              </w:rPr>
            </w:pPr>
            <w:r>
              <w:rPr>
                <w:rFonts w:ascii="Arial" w:cs="Arial" w:eastAsia="Arial" w:hAnsi="Arial"/>
                <w:sz w:val="14"/>
                <w:szCs w:val="14"/>
                <w:color w:val="auto"/>
              </w:rPr>
              <w:t>Term Loan</w:t>
            </w:r>
          </w:p>
        </w:tc>
        <w:tc>
          <w:tcPr>
            <w:tcW w:w="440" w:type="dxa"/>
            <w:vAlign w:val="bottom"/>
            <w:gridSpan w:val="2"/>
          </w:tcPr>
          <w:p>
            <w:pPr>
              <w:spacing w:after="0" w:line="138" w:lineRule="exact"/>
              <w:rPr>
                <w:sz w:val="20"/>
                <w:szCs w:val="20"/>
                <w:color w:val="auto"/>
              </w:rPr>
            </w:pPr>
            <w:r>
              <w:rPr>
                <w:rFonts w:ascii="Arial" w:cs="Arial" w:eastAsia="Arial" w:hAnsi="Arial"/>
                <w:sz w:val="14"/>
                <w:szCs w:val="14"/>
                <w:color w:val="auto"/>
              </w:rPr>
              <w:t>Loan</w:t>
            </w: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780" w:type="dxa"/>
            <w:vAlign w:val="bottom"/>
          </w:tcPr>
          <w:p>
            <w:pPr>
              <w:spacing w:after="0"/>
              <w:rPr>
                <w:sz w:val="13"/>
                <w:szCs w:val="13"/>
                <w:color w:val="auto"/>
              </w:rPr>
            </w:pPr>
          </w:p>
        </w:tc>
        <w:tc>
          <w:tcPr>
            <w:tcW w:w="374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920" w:type="dxa"/>
            <w:vAlign w:val="bottom"/>
            <w:gridSpan w:val="3"/>
          </w:tcPr>
          <w:p>
            <w:pPr>
              <w:ind w:left="100"/>
              <w:spacing w:after="0" w:line="159" w:lineRule="exact"/>
              <w:rPr>
                <w:sz w:val="20"/>
                <w:szCs w:val="20"/>
                <w:color w:val="auto"/>
              </w:rPr>
            </w:pPr>
            <w:r>
              <w:rPr>
                <w:rFonts w:ascii="Arial" w:cs="Arial" w:eastAsia="Arial" w:hAnsi="Arial"/>
                <w:sz w:val="14"/>
                <w:szCs w:val="14"/>
                <w:color w:val="auto"/>
              </w:rPr>
              <w:t>B</w:t>
            </w: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4.50%</w:t>
            </w:r>
          </w:p>
        </w:tc>
        <w:tc>
          <w:tcPr>
            <w:tcW w:w="72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w w:val="96"/>
              </w:rPr>
              <w:t>7/29/2021</w:t>
            </w: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70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997,500</w:t>
            </w:r>
          </w:p>
        </w:tc>
        <w:tc>
          <w:tcPr>
            <w:tcW w:w="140" w:type="dxa"/>
            <w:vAlign w:val="bottom"/>
          </w:tcPr>
          <w:p>
            <w:pPr>
              <w:spacing w:after="0"/>
              <w:rPr>
                <w:sz w:val="13"/>
                <w:szCs w:val="13"/>
                <w:color w:val="auto"/>
              </w:rPr>
            </w:pPr>
          </w:p>
        </w:tc>
        <w:tc>
          <w:tcPr>
            <w:tcW w:w="68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994,095</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jc w:val="right"/>
              <w:spacing w:after="0" w:line="159" w:lineRule="exact"/>
              <w:rPr>
                <w:sz w:val="20"/>
                <w:szCs w:val="20"/>
                <w:color w:val="auto"/>
              </w:rPr>
            </w:pPr>
            <w:r>
              <w:rPr>
                <w:rFonts w:ascii="Arial" w:cs="Arial" w:eastAsia="Arial" w:hAnsi="Arial"/>
                <w:sz w:val="14"/>
                <w:szCs w:val="14"/>
                <w:color w:val="auto"/>
              </w:rPr>
              <w:t>979,106</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45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ClubCorp Club Operations, Inc.</w:t>
            </w:r>
          </w:p>
        </w:tc>
        <w:tc>
          <w:tcPr>
            <w:tcW w:w="1600" w:type="dxa"/>
            <w:vAlign w:val="bottom"/>
            <w:shd w:val="clear" w:color="auto" w:fill="CCEEFF"/>
          </w:tcPr>
          <w:p>
            <w:pPr>
              <w:spacing w:after="0"/>
              <w:rPr>
                <w:sz w:val="20"/>
                <w:szCs w:val="20"/>
                <w:color w:val="auto"/>
              </w:rPr>
            </w:pPr>
            <w:r>
              <w:rPr>
                <w:rFonts w:ascii="Arial" w:cs="Arial" w:eastAsia="Arial" w:hAnsi="Arial"/>
                <w:sz w:val="14"/>
                <w:szCs w:val="14"/>
                <w:color w:val="auto"/>
              </w:rPr>
              <w:t>Lodging &amp; Casinos</w:t>
            </w:r>
          </w:p>
        </w:tc>
        <w:tc>
          <w:tcPr>
            <w:tcW w:w="92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Term Loan</w:t>
            </w:r>
          </w:p>
        </w:tc>
        <w:tc>
          <w:tcPr>
            <w:tcW w:w="4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Loan</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4.50%</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w w:val="96"/>
              </w:rPr>
              <w:t>7/24/2020</w:t>
            </w: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500,000</w:t>
            </w:r>
          </w:p>
        </w:tc>
        <w:tc>
          <w:tcPr>
            <w:tcW w:w="14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496,250</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500,315</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87"/>
        </w:trPr>
        <w:tc>
          <w:tcPr>
            <w:tcW w:w="780" w:type="dxa"/>
            <w:vAlign w:val="bottom"/>
            <w:shd w:val="clear" w:color="auto" w:fill="CCEEFF"/>
          </w:tcPr>
          <w:p>
            <w:pPr>
              <w:spacing w:after="0"/>
              <w:rPr>
                <w:sz w:val="7"/>
                <w:szCs w:val="7"/>
                <w:color w:val="auto"/>
              </w:rPr>
            </w:pPr>
          </w:p>
        </w:tc>
        <w:tc>
          <w:tcPr>
            <w:tcW w:w="3740" w:type="dxa"/>
            <w:vAlign w:val="bottom"/>
            <w:shd w:val="clear" w:color="auto" w:fill="CCEEFF"/>
          </w:tcPr>
          <w:p>
            <w:pPr>
              <w:spacing w:after="0"/>
              <w:rPr>
                <w:sz w:val="7"/>
                <w:szCs w:val="7"/>
                <w:color w:val="auto"/>
              </w:rPr>
            </w:pPr>
          </w:p>
        </w:tc>
        <w:tc>
          <w:tcPr>
            <w:tcW w:w="16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7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6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459" w:right="239" w:bottom="0" w:gutter="0" w:footer="0" w:header="0"/>
        </w:sectPr>
      </w:pPr>
    </w:p>
    <w:bookmarkStart w:id="28" w:name="page29"/>
    <w:bookmarkEnd w:id="28"/>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80" w:type="dxa"/>
            <w:vAlign w:val="bottom"/>
            <w:shd w:val="clear" w:color="auto" w:fill="CCEEFF"/>
          </w:tcPr>
          <w:p>
            <w:pPr>
              <w:spacing w:after="0"/>
              <w:rPr>
                <w:sz w:val="14"/>
                <w:szCs w:val="14"/>
                <w:color w:val="auto"/>
              </w:rPr>
            </w:pPr>
          </w:p>
        </w:tc>
        <w:tc>
          <w:tcPr>
            <w:tcW w:w="1980" w:type="dxa"/>
            <w:vAlign w:val="bottom"/>
            <w:shd w:val="clear" w:color="auto" w:fill="CCEEFF"/>
          </w:tcPr>
          <w:p>
            <w:pPr>
              <w:spacing w:after="0"/>
              <w:rPr>
                <w:sz w:val="14"/>
                <w:szCs w:val="14"/>
                <w:color w:val="auto"/>
              </w:rPr>
            </w:pPr>
          </w:p>
        </w:tc>
        <w:tc>
          <w:tcPr>
            <w:tcW w:w="820" w:type="dxa"/>
            <w:vAlign w:val="bottom"/>
            <w:shd w:val="clear" w:color="auto" w:fill="CCEEFF"/>
          </w:tcPr>
          <w:p>
            <w:pPr>
              <w:ind w:left="60"/>
              <w:spacing w:after="0"/>
              <w:rPr>
                <w:sz w:val="20"/>
                <w:szCs w:val="20"/>
                <w:color w:val="auto"/>
              </w:rPr>
            </w:pPr>
            <w:r>
              <w:rPr>
                <w:rFonts w:ascii="Arial" w:cs="Arial" w:eastAsia="Arial" w:hAnsi="Arial"/>
                <w:sz w:val="14"/>
                <w:szCs w:val="14"/>
                <w:color w:val="auto"/>
              </w:rPr>
              <w:t>B</w:t>
            </w:r>
          </w:p>
        </w:tc>
        <w:tc>
          <w:tcPr>
            <w:tcW w:w="4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r>
      <w:tr>
        <w:trPr>
          <w:trHeight w:val="138"/>
        </w:trPr>
        <w:tc>
          <w:tcPr>
            <w:tcW w:w="4180" w:type="dxa"/>
            <w:vAlign w:val="bottom"/>
          </w:tcPr>
          <w:p>
            <w:pPr>
              <w:spacing w:after="0" w:line="138" w:lineRule="exact"/>
              <w:rPr>
                <w:sz w:val="20"/>
                <w:szCs w:val="20"/>
                <w:color w:val="auto"/>
              </w:rPr>
            </w:pPr>
            <w:r>
              <w:rPr>
                <w:rFonts w:ascii="Arial" w:cs="Arial" w:eastAsia="Arial" w:hAnsi="Arial"/>
                <w:sz w:val="14"/>
                <w:szCs w:val="14"/>
                <w:color w:val="auto"/>
              </w:rPr>
              <w:t>CPI International Acquisition, Inc. (f/k/a Catalyst Holdings, Inc.)</w:t>
            </w:r>
          </w:p>
        </w:tc>
        <w:tc>
          <w:tcPr>
            <w:tcW w:w="1980" w:type="dxa"/>
            <w:vAlign w:val="bottom"/>
          </w:tcPr>
          <w:p>
            <w:pPr>
              <w:ind w:left="340"/>
              <w:spacing w:after="0" w:line="138" w:lineRule="exact"/>
              <w:rPr>
                <w:sz w:val="20"/>
                <w:szCs w:val="20"/>
                <w:color w:val="auto"/>
              </w:rPr>
            </w:pPr>
            <w:r>
              <w:rPr>
                <w:rFonts w:ascii="Arial" w:cs="Arial" w:eastAsia="Arial" w:hAnsi="Arial"/>
                <w:sz w:val="14"/>
                <w:szCs w:val="14"/>
                <w:color w:val="auto"/>
              </w:rPr>
              <w:t>Electronics/Electric</w:t>
            </w:r>
          </w:p>
        </w:tc>
        <w:tc>
          <w:tcPr>
            <w:tcW w:w="820" w:type="dxa"/>
            <w:vAlign w:val="bottom"/>
          </w:tcPr>
          <w:p>
            <w:pPr>
              <w:ind w:left="60"/>
              <w:spacing w:after="0" w:line="138" w:lineRule="exact"/>
              <w:rPr>
                <w:sz w:val="20"/>
                <w:szCs w:val="20"/>
                <w:color w:val="auto"/>
              </w:rPr>
            </w:pPr>
            <w:r>
              <w:rPr>
                <w:rFonts w:ascii="Arial" w:cs="Arial" w:eastAsia="Arial" w:hAnsi="Arial"/>
                <w:sz w:val="14"/>
                <w:szCs w:val="14"/>
                <w:color w:val="auto"/>
              </w:rPr>
              <w:t>Term B</w:t>
            </w:r>
          </w:p>
        </w:tc>
        <w:tc>
          <w:tcPr>
            <w:tcW w:w="480" w:type="dxa"/>
            <w:vAlign w:val="bottom"/>
          </w:tcPr>
          <w:p>
            <w:pPr>
              <w:ind w:left="60"/>
              <w:spacing w:after="0" w:line="138" w:lineRule="exact"/>
              <w:rPr>
                <w:sz w:val="20"/>
                <w:szCs w:val="20"/>
                <w:color w:val="auto"/>
              </w:rPr>
            </w:pPr>
            <w:r>
              <w:rPr>
                <w:rFonts w:ascii="Arial" w:cs="Arial" w:eastAsia="Arial" w:hAnsi="Arial"/>
                <w:sz w:val="14"/>
                <w:szCs w:val="14"/>
                <w:color w:val="auto"/>
              </w:rPr>
              <w:t>Loan</w:t>
            </w: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59"/>
        </w:trPr>
        <w:tc>
          <w:tcPr>
            <w:tcW w:w="418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820" w:type="dxa"/>
            <w:vAlign w:val="bottom"/>
          </w:tcPr>
          <w:p>
            <w:pPr>
              <w:ind w:left="60"/>
              <w:spacing w:after="0" w:line="159" w:lineRule="exact"/>
              <w:rPr>
                <w:sz w:val="20"/>
                <w:szCs w:val="20"/>
                <w:color w:val="auto"/>
              </w:rPr>
            </w:pPr>
            <w:r>
              <w:rPr>
                <w:rFonts w:ascii="Arial" w:cs="Arial" w:eastAsia="Arial" w:hAnsi="Arial"/>
                <w:sz w:val="14"/>
                <w:szCs w:val="14"/>
                <w:color w:val="auto"/>
              </w:rPr>
              <w:t>Loan</w:t>
            </w:r>
          </w:p>
        </w:tc>
        <w:tc>
          <w:tcPr>
            <w:tcW w:w="480" w:type="dxa"/>
            <w:vAlign w:val="bottom"/>
          </w:tcPr>
          <w:p>
            <w:pPr>
              <w:spacing w:after="0"/>
              <w:rPr>
                <w:sz w:val="13"/>
                <w:szCs w:val="13"/>
                <w:color w:val="auto"/>
              </w:rPr>
            </w:pPr>
          </w:p>
        </w:tc>
        <w:tc>
          <w:tcPr>
            <w:tcW w:w="720" w:type="dxa"/>
            <w:vAlign w:val="bottom"/>
          </w:tcPr>
          <w:p>
            <w:pPr>
              <w:jc w:val="right"/>
              <w:spacing w:after="0" w:line="159" w:lineRule="exact"/>
              <w:rPr>
                <w:sz w:val="20"/>
                <w:szCs w:val="20"/>
                <w:color w:val="auto"/>
              </w:rPr>
            </w:pPr>
            <w:r>
              <w:rPr>
                <w:rFonts w:ascii="Arial" w:cs="Arial" w:eastAsia="Arial" w:hAnsi="Arial"/>
                <w:sz w:val="14"/>
                <w:szCs w:val="14"/>
                <w:color w:val="auto"/>
              </w:rPr>
              <w:t>4.25%</w:t>
            </w:r>
          </w:p>
        </w:tc>
        <w:tc>
          <w:tcPr>
            <w:tcW w:w="700" w:type="dxa"/>
            <w:vAlign w:val="bottom"/>
          </w:tcPr>
          <w:p>
            <w:pPr>
              <w:jc w:val="right"/>
              <w:spacing w:after="0" w:line="159" w:lineRule="exact"/>
              <w:rPr>
                <w:sz w:val="20"/>
                <w:szCs w:val="20"/>
                <w:color w:val="auto"/>
              </w:rPr>
            </w:pPr>
            <w:r>
              <w:rPr>
                <w:rFonts w:ascii="Arial" w:cs="Arial" w:eastAsia="Arial" w:hAnsi="Arial"/>
                <w:sz w:val="14"/>
                <w:szCs w:val="14"/>
                <w:color w:val="auto"/>
                <w:w w:val="91"/>
              </w:rPr>
              <w:t>11/17/2017</w:t>
            </w:r>
          </w:p>
        </w:tc>
        <w:tc>
          <w:tcPr>
            <w:tcW w:w="12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112"/>
              <w:spacing w:after="0" w:line="159" w:lineRule="exact"/>
              <w:rPr>
                <w:sz w:val="20"/>
                <w:szCs w:val="20"/>
                <w:color w:val="auto"/>
              </w:rPr>
            </w:pPr>
            <w:r>
              <w:rPr>
                <w:rFonts w:ascii="Arial" w:cs="Arial" w:eastAsia="Arial" w:hAnsi="Arial"/>
                <w:sz w:val="14"/>
                <w:szCs w:val="14"/>
                <w:color w:val="auto"/>
                <w:w w:val="83"/>
              </w:rPr>
              <w:t>3,595,331</w:t>
            </w:r>
          </w:p>
        </w:tc>
        <w:tc>
          <w:tcPr>
            <w:tcW w:w="900" w:type="dxa"/>
            <w:vAlign w:val="bottom"/>
          </w:tcPr>
          <w:p>
            <w:pPr>
              <w:jc w:val="right"/>
              <w:ind w:right="112"/>
              <w:spacing w:after="0" w:line="159" w:lineRule="exact"/>
              <w:rPr>
                <w:sz w:val="20"/>
                <w:szCs w:val="20"/>
                <w:color w:val="auto"/>
              </w:rPr>
            </w:pPr>
            <w:r>
              <w:rPr>
                <w:rFonts w:ascii="Arial" w:cs="Arial" w:eastAsia="Arial" w:hAnsi="Arial"/>
                <w:sz w:val="14"/>
                <w:szCs w:val="14"/>
                <w:color w:val="auto"/>
              </w:rPr>
              <w:t>3,595,331</w:t>
            </w:r>
          </w:p>
        </w:tc>
        <w:tc>
          <w:tcPr>
            <w:tcW w:w="800" w:type="dxa"/>
            <w:vAlign w:val="bottom"/>
          </w:tcPr>
          <w:p>
            <w:pPr>
              <w:jc w:val="right"/>
              <w:spacing w:after="0" w:line="159" w:lineRule="exact"/>
              <w:rPr>
                <w:sz w:val="20"/>
                <w:szCs w:val="20"/>
                <w:color w:val="auto"/>
              </w:rPr>
            </w:pPr>
            <w:r>
              <w:rPr>
                <w:rFonts w:ascii="Arial" w:cs="Arial" w:eastAsia="Arial" w:hAnsi="Arial"/>
                <w:sz w:val="14"/>
                <w:szCs w:val="14"/>
                <w:color w:val="auto"/>
              </w:rPr>
              <w:t>3,570,631</w:t>
            </w:r>
          </w:p>
        </w:tc>
      </w:tr>
      <w:tr>
        <w:trPr>
          <w:trHeight w:val="138"/>
        </w:trPr>
        <w:tc>
          <w:tcPr>
            <w:tcW w:w="418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Crosby US Acquisition Corp.</w:t>
            </w:r>
          </w:p>
        </w:tc>
        <w:tc>
          <w:tcPr>
            <w:tcW w:w="1980" w:type="dxa"/>
            <w:vAlign w:val="bottom"/>
            <w:shd w:val="clear" w:color="auto" w:fill="CCEEFF"/>
          </w:tcPr>
          <w:p>
            <w:pPr>
              <w:ind w:left="340"/>
              <w:spacing w:after="0" w:line="138" w:lineRule="exact"/>
              <w:rPr>
                <w:sz w:val="20"/>
                <w:szCs w:val="20"/>
                <w:color w:val="auto"/>
              </w:rPr>
            </w:pPr>
            <w:r>
              <w:rPr>
                <w:rFonts w:ascii="Arial" w:cs="Arial" w:eastAsia="Arial" w:hAnsi="Arial"/>
                <w:sz w:val="14"/>
                <w:szCs w:val="14"/>
                <w:color w:val="auto"/>
              </w:rPr>
              <w:t>Industrial Equipment</w:t>
            </w:r>
          </w:p>
        </w:tc>
        <w:tc>
          <w:tcPr>
            <w:tcW w:w="820" w:type="dxa"/>
            <w:vAlign w:val="bottom"/>
            <w:shd w:val="clear" w:color="auto" w:fill="CCEEFF"/>
          </w:tcPr>
          <w:p>
            <w:pPr>
              <w:ind w:left="60"/>
              <w:spacing w:after="0" w:line="138" w:lineRule="exact"/>
              <w:rPr>
                <w:sz w:val="20"/>
                <w:szCs w:val="20"/>
                <w:color w:val="auto"/>
              </w:rPr>
            </w:pPr>
            <w:r>
              <w:rPr>
                <w:rFonts w:ascii="Arial" w:cs="Arial" w:eastAsia="Arial" w:hAnsi="Arial"/>
                <w:sz w:val="14"/>
                <w:szCs w:val="14"/>
                <w:color w:val="auto"/>
              </w:rPr>
              <w:t>Initial Term</w:t>
            </w:r>
          </w:p>
        </w:tc>
        <w:tc>
          <w:tcPr>
            <w:tcW w:w="480" w:type="dxa"/>
            <w:vAlign w:val="bottom"/>
            <w:shd w:val="clear" w:color="auto" w:fill="CCEEFF"/>
          </w:tcPr>
          <w:p>
            <w:pPr>
              <w:ind w:left="60"/>
              <w:spacing w:after="0" w:line="138" w:lineRule="exact"/>
              <w:rPr>
                <w:sz w:val="20"/>
                <w:szCs w:val="20"/>
                <w:color w:val="auto"/>
              </w:rPr>
            </w:pPr>
            <w:r>
              <w:rPr>
                <w:rFonts w:ascii="Arial" w:cs="Arial" w:eastAsia="Arial" w:hAnsi="Arial"/>
                <w:sz w:val="14"/>
                <w:szCs w:val="14"/>
                <w:color w:val="auto"/>
              </w:rPr>
              <w:t>Loan</w:t>
            </w:r>
          </w:p>
        </w:tc>
        <w:tc>
          <w:tcPr>
            <w:tcW w:w="7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r>
      <w:tr>
        <w:trPr>
          <w:trHeight w:val="149"/>
        </w:trPr>
        <w:tc>
          <w:tcPr>
            <w:tcW w:w="4180" w:type="dxa"/>
            <w:vAlign w:val="bottom"/>
            <w:shd w:val="clear" w:color="auto" w:fill="CCEEFF"/>
          </w:tcPr>
          <w:p>
            <w:pPr>
              <w:spacing w:after="0"/>
              <w:rPr>
                <w:sz w:val="12"/>
                <w:szCs w:val="12"/>
                <w:color w:val="auto"/>
              </w:rPr>
            </w:pPr>
          </w:p>
        </w:tc>
        <w:tc>
          <w:tcPr>
            <w:tcW w:w="1980" w:type="dxa"/>
            <w:vAlign w:val="bottom"/>
            <w:shd w:val="clear" w:color="auto" w:fill="CCEEFF"/>
          </w:tcPr>
          <w:p>
            <w:pPr>
              <w:spacing w:after="0"/>
              <w:rPr>
                <w:sz w:val="12"/>
                <w:szCs w:val="12"/>
                <w:color w:val="auto"/>
              </w:rPr>
            </w:pPr>
          </w:p>
        </w:tc>
        <w:tc>
          <w:tcPr>
            <w:tcW w:w="82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Loan (First</w:t>
            </w:r>
          </w:p>
        </w:tc>
        <w:tc>
          <w:tcPr>
            <w:tcW w:w="4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r>
      <w:tr>
        <w:trPr>
          <w:trHeight w:val="159"/>
        </w:trPr>
        <w:tc>
          <w:tcPr>
            <w:tcW w:w="4180" w:type="dxa"/>
            <w:vAlign w:val="bottom"/>
            <w:shd w:val="clear" w:color="auto" w:fill="CCEEFF"/>
          </w:tcPr>
          <w:p>
            <w:pPr>
              <w:spacing w:after="0"/>
              <w:rPr>
                <w:sz w:val="13"/>
                <w:szCs w:val="13"/>
                <w:color w:val="auto"/>
              </w:rPr>
            </w:pPr>
          </w:p>
        </w:tc>
        <w:tc>
          <w:tcPr>
            <w:tcW w:w="1980" w:type="dxa"/>
            <w:vAlign w:val="bottom"/>
            <w:shd w:val="clear" w:color="auto" w:fill="CCEEFF"/>
          </w:tcPr>
          <w:p>
            <w:pPr>
              <w:spacing w:after="0"/>
              <w:rPr>
                <w:sz w:val="13"/>
                <w:szCs w:val="13"/>
                <w:color w:val="auto"/>
              </w:rPr>
            </w:pPr>
          </w:p>
        </w:tc>
        <w:tc>
          <w:tcPr>
            <w:tcW w:w="820" w:type="dxa"/>
            <w:vAlign w:val="bottom"/>
            <w:shd w:val="clear" w:color="auto" w:fill="CCEEFF"/>
          </w:tcPr>
          <w:p>
            <w:pPr>
              <w:ind w:left="60"/>
              <w:spacing w:after="0" w:line="159" w:lineRule="exact"/>
              <w:rPr>
                <w:sz w:val="20"/>
                <w:szCs w:val="20"/>
                <w:color w:val="auto"/>
              </w:rPr>
            </w:pPr>
            <w:r>
              <w:rPr>
                <w:rFonts w:ascii="Arial" w:cs="Arial" w:eastAsia="Arial" w:hAnsi="Arial"/>
                <w:sz w:val="14"/>
                <w:szCs w:val="14"/>
                <w:color w:val="auto"/>
              </w:rPr>
              <w:t>Lien)</w:t>
            </w:r>
          </w:p>
        </w:tc>
        <w:tc>
          <w:tcPr>
            <w:tcW w:w="48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3.75%</w:t>
            </w:r>
          </w:p>
        </w:tc>
        <w:tc>
          <w:tcPr>
            <w:tcW w:w="7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91"/>
              </w:rPr>
              <w:t>11/23/2020</w:t>
            </w:r>
          </w:p>
        </w:tc>
        <w:tc>
          <w:tcPr>
            <w:tcW w:w="1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112"/>
              <w:spacing w:after="0" w:line="159" w:lineRule="exact"/>
              <w:rPr>
                <w:sz w:val="20"/>
                <w:szCs w:val="20"/>
                <w:color w:val="auto"/>
              </w:rPr>
            </w:pPr>
            <w:r>
              <w:rPr>
                <w:rFonts w:ascii="Arial" w:cs="Arial" w:eastAsia="Arial" w:hAnsi="Arial"/>
                <w:sz w:val="14"/>
                <w:szCs w:val="14"/>
                <w:color w:val="auto"/>
              </w:rPr>
              <w:t>742,500</w:t>
            </w:r>
          </w:p>
        </w:tc>
        <w:tc>
          <w:tcPr>
            <w:tcW w:w="900" w:type="dxa"/>
            <w:vAlign w:val="bottom"/>
            <w:shd w:val="clear" w:color="auto" w:fill="CCEEFF"/>
          </w:tcPr>
          <w:p>
            <w:pPr>
              <w:jc w:val="right"/>
              <w:ind w:right="112"/>
              <w:spacing w:after="0" w:line="159" w:lineRule="exact"/>
              <w:rPr>
                <w:sz w:val="20"/>
                <w:szCs w:val="20"/>
                <w:color w:val="auto"/>
              </w:rPr>
            </w:pPr>
            <w:r>
              <w:rPr>
                <w:rFonts w:ascii="Arial" w:cs="Arial" w:eastAsia="Arial" w:hAnsi="Arial"/>
                <w:sz w:val="14"/>
                <w:szCs w:val="14"/>
                <w:color w:val="auto"/>
              </w:rPr>
              <w:t>741,718</w:t>
            </w:r>
          </w:p>
        </w:tc>
        <w:tc>
          <w:tcPr>
            <w:tcW w:w="8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681,244</w:t>
            </w:r>
          </w:p>
        </w:tc>
      </w:tr>
      <w:tr>
        <w:trPr>
          <w:trHeight w:val="138"/>
        </w:trPr>
        <w:tc>
          <w:tcPr>
            <w:tcW w:w="4180" w:type="dxa"/>
            <w:vAlign w:val="bottom"/>
          </w:tcPr>
          <w:p>
            <w:pPr>
              <w:spacing w:after="0" w:line="138" w:lineRule="exact"/>
              <w:rPr>
                <w:sz w:val="20"/>
                <w:szCs w:val="20"/>
                <w:color w:val="auto"/>
              </w:rPr>
            </w:pPr>
            <w:r>
              <w:rPr>
                <w:rFonts w:ascii="Arial" w:cs="Arial" w:eastAsia="Arial" w:hAnsi="Arial"/>
                <w:sz w:val="14"/>
                <w:szCs w:val="14"/>
                <w:color w:val="auto"/>
              </w:rPr>
              <w:t>Crown Castle Operating Company</w:t>
            </w:r>
          </w:p>
        </w:tc>
        <w:tc>
          <w:tcPr>
            <w:tcW w:w="1980" w:type="dxa"/>
            <w:vAlign w:val="bottom"/>
          </w:tcPr>
          <w:p>
            <w:pPr>
              <w:ind w:left="340"/>
              <w:spacing w:after="0" w:line="138" w:lineRule="exact"/>
              <w:rPr>
                <w:sz w:val="20"/>
                <w:szCs w:val="20"/>
                <w:color w:val="auto"/>
              </w:rPr>
            </w:pPr>
            <w:r>
              <w:rPr>
                <w:rFonts w:ascii="Arial" w:cs="Arial" w:eastAsia="Arial" w:hAnsi="Arial"/>
                <w:sz w:val="14"/>
                <w:szCs w:val="14"/>
                <w:color w:val="auto"/>
                <w:w w:val="90"/>
              </w:rPr>
              <w:t>Telecommunications/Cellular</w:t>
            </w:r>
          </w:p>
        </w:tc>
        <w:tc>
          <w:tcPr>
            <w:tcW w:w="820" w:type="dxa"/>
            <w:vAlign w:val="bottom"/>
          </w:tcPr>
          <w:p>
            <w:pPr>
              <w:ind w:left="60"/>
              <w:spacing w:after="0" w:line="138" w:lineRule="exact"/>
              <w:rPr>
                <w:sz w:val="20"/>
                <w:szCs w:val="20"/>
                <w:color w:val="auto"/>
              </w:rPr>
            </w:pPr>
            <w:r>
              <w:rPr>
                <w:rFonts w:ascii="Arial" w:cs="Arial" w:eastAsia="Arial" w:hAnsi="Arial"/>
                <w:sz w:val="14"/>
                <w:szCs w:val="14"/>
                <w:color w:val="auto"/>
              </w:rPr>
              <w:t>Extended</w:t>
            </w:r>
          </w:p>
        </w:tc>
        <w:tc>
          <w:tcPr>
            <w:tcW w:w="480" w:type="dxa"/>
            <w:vAlign w:val="bottom"/>
          </w:tcPr>
          <w:p>
            <w:pPr>
              <w:ind w:left="60"/>
              <w:spacing w:after="0" w:line="138" w:lineRule="exact"/>
              <w:rPr>
                <w:sz w:val="20"/>
                <w:szCs w:val="20"/>
                <w:color w:val="auto"/>
              </w:rPr>
            </w:pPr>
            <w:r>
              <w:rPr>
                <w:rFonts w:ascii="Arial" w:cs="Arial" w:eastAsia="Arial" w:hAnsi="Arial"/>
                <w:sz w:val="14"/>
                <w:szCs w:val="14"/>
                <w:color w:val="auto"/>
              </w:rPr>
              <w:t>Loan</w:t>
            </w: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49"/>
        </w:trPr>
        <w:tc>
          <w:tcPr>
            <w:tcW w:w="418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820" w:type="dxa"/>
            <w:vAlign w:val="bottom"/>
          </w:tcPr>
          <w:p>
            <w:pPr>
              <w:ind w:left="60"/>
              <w:spacing w:after="0" w:line="149" w:lineRule="exact"/>
              <w:rPr>
                <w:sz w:val="20"/>
                <w:szCs w:val="20"/>
                <w:color w:val="auto"/>
              </w:rPr>
            </w:pPr>
            <w:r>
              <w:rPr>
                <w:rFonts w:ascii="Arial" w:cs="Arial" w:eastAsia="Arial" w:hAnsi="Arial"/>
                <w:sz w:val="14"/>
                <w:szCs w:val="14"/>
                <w:color w:val="auto"/>
              </w:rPr>
              <w:t>Incremental</w:t>
            </w:r>
          </w:p>
        </w:tc>
        <w:tc>
          <w:tcPr>
            <w:tcW w:w="4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49"/>
        </w:trPr>
        <w:tc>
          <w:tcPr>
            <w:tcW w:w="418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820" w:type="dxa"/>
            <w:vAlign w:val="bottom"/>
          </w:tcPr>
          <w:p>
            <w:pPr>
              <w:ind w:left="60"/>
              <w:spacing w:after="0" w:line="149" w:lineRule="exact"/>
              <w:rPr>
                <w:sz w:val="20"/>
                <w:szCs w:val="20"/>
                <w:color w:val="auto"/>
              </w:rPr>
            </w:pPr>
            <w:r>
              <w:rPr>
                <w:rFonts w:ascii="Arial" w:cs="Arial" w:eastAsia="Arial" w:hAnsi="Arial"/>
                <w:sz w:val="14"/>
                <w:szCs w:val="14"/>
                <w:color w:val="auto"/>
                <w:w w:val="96"/>
              </w:rPr>
              <w:t>Tranche B-2</w:t>
            </w:r>
          </w:p>
        </w:tc>
        <w:tc>
          <w:tcPr>
            <w:tcW w:w="4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59"/>
        </w:trPr>
        <w:tc>
          <w:tcPr>
            <w:tcW w:w="418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820" w:type="dxa"/>
            <w:vAlign w:val="bottom"/>
          </w:tcPr>
          <w:p>
            <w:pPr>
              <w:ind w:left="60"/>
              <w:spacing w:after="0" w:line="159" w:lineRule="exact"/>
              <w:rPr>
                <w:sz w:val="20"/>
                <w:szCs w:val="20"/>
                <w:color w:val="auto"/>
              </w:rPr>
            </w:pPr>
            <w:r>
              <w:rPr>
                <w:rFonts w:ascii="Arial" w:cs="Arial" w:eastAsia="Arial" w:hAnsi="Arial"/>
                <w:sz w:val="14"/>
                <w:szCs w:val="14"/>
                <w:color w:val="auto"/>
              </w:rPr>
              <w:t>Term Loan</w:t>
            </w:r>
          </w:p>
        </w:tc>
        <w:tc>
          <w:tcPr>
            <w:tcW w:w="480" w:type="dxa"/>
            <w:vAlign w:val="bottom"/>
          </w:tcPr>
          <w:p>
            <w:pPr>
              <w:spacing w:after="0"/>
              <w:rPr>
                <w:sz w:val="13"/>
                <w:szCs w:val="13"/>
                <w:color w:val="auto"/>
              </w:rPr>
            </w:pPr>
          </w:p>
        </w:tc>
        <w:tc>
          <w:tcPr>
            <w:tcW w:w="720" w:type="dxa"/>
            <w:vAlign w:val="bottom"/>
          </w:tcPr>
          <w:p>
            <w:pPr>
              <w:jc w:val="right"/>
              <w:spacing w:after="0" w:line="159" w:lineRule="exact"/>
              <w:rPr>
                <w:sz w:val="20"/>
                <w:szCs w:val="20"/>
                <w:color w:val="auto"/>
              </w:rPr>
            </w:pPr>
            <w:r>
              <w:rPr>
                <w:rFonts w:ascii="Arial" w:cs="Arial" w:eastAsia="Arial" w:hAnsi="Arial"/>
                <w:sz w:val="14"/>
                <w:szCs w:val="14"/>
                <w:color w:val="auto"/>
              </w:rPr>
              <w:t>3.00%</w:t>
            </w:r>
          </w:p>
        </w:tc>
        <w:tc>
          <w:tcPr>
            <w:tcW w:w="700" w:type="dxa"/>
            <w:vAlign w:val="bottom"/>
          </w:tcPr>
          <w:p>
            <w:pPr>
              <w:jc w:val="right"/>
              <w:spacing w:after="0" w:line="159" w:lineRule="exact"/>
              <w:rPr>
                <w:sz w:val="20"/>
                <w:szCs w:val="20"/>
                <w:color w:val="auto"/>
              </w:rPr>
            </w:pPr>
            <w:r>
              <w:rPr>
                <w:rFonts w:ascii="Arial" w:cs="Arial" w:eastAsia="Arial" w:hAnsi="Arial"/>
                <w:sz w:val="14"/>
                <w:szCs w:val="14"/>
                <w:color w:val="auto"/>
              </w:rPr>
              <w:t>1/31/2021</w:t>
            </w:r>
          </w:p>
        </w:tc>
        <w:tc>
          <w:tcPr>
            <w:tcW w:w="12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112"/>
              <w:spacing w:after="0" w:line="159" w:lineRule="exact"/>
              <w:rPr>
                <w:sz w:val="20"/>
                <w:szCs w:val="20"/>
                <w:color w:val="auto"/>
              </w:rPr>
            </w:pPr>
            <w:r>
              <w:rPr>
                <w:rFonts w:ascii="Arial" w:cs="Arial" w:eastAsia="Arial" w:hAnsi="Arial"/>
                <w:sz w:val="14"/>
                <w:szCs w:val="14"/>
                <w:color w:val="auto"/>
                <w:w w:val="83"/>
              </w:rPr>
              <w:t>2,435,594</w:t>
            </w:r>
          </w:p>
        </w:tc>
        <w:tc>
          <w:tcPr>
            <w:tcW w:w="900" w:type="dxa"/>
            <w:vAlign w:val="bottom"/>
          </w:tcPr>
          <w:p>
            <w:pPr>
              <w:jc w:val="right"/>
              <w:ind w:right="112"/>
              <w:spacing w:after="0" w:line="159" w:lineRule="exact"/>
              <w:rPr>
                <w:sz w:val="20"/>
                <w:szCs w:val="20"/>
                <w:color w:val="auto"/>
              </w:rPr>
            </w:pPr>
            <w:r>
              <w:rPr>
                <w:rFonts w:ascii="Arial" w:cs="Arial" w:eastAsia="Arial" w:hAnsi="Arial"/>
                <w:sz w:val="14"/>
                <w:szCs w:val="14"/>
                <w:color w:val="auto"/>
              </w:rPr>
              <w:t>2,433,546</w:t>
            </w:r>
          </w:p>
        </w:tc>
        <w:tc>
          <w:tcPr>
            <w:tcW w:w="800" w:type="dxa"/>
            <w:vAlign w:val="bottom"/>
          </w:tcPr>
          <w:p>
            <w:pPr>
              <w:jc w:val="right"/>
              <w:spacing w:after="0" w:line="159" w:lineRule="exact"/>
              <w:rPr>
                <w:sz w:val="20"/>
                <w:szCs w:val="20"/>
                <w:color w:val="auto"/>
              </w:rPr>
            </w:pPr>
            <w:r>
              <w:rPr>
                <w:rFonts w:ascii="Arial" w:cs="Arial" w:eastAsia="Arial" w:hAnsi="Arial"/>
                <w:sz w:val="14"/>
                <w:szCs w:val="14"/>
                <w:color w:val="auto"/>
              </w:rPr>
              <w:t>2,430,723</w:t>
            </w:r>
          </w:p>
        </w:tc>
      </w:tr>
      <w:tr>
        <w:trPr>
          <w:trHeight w:val="138"/>
        </w:trPr>
        <w:tc>
          <w:tcPr>
            <w:tcW w:w="418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CT Technologies Intermediate Hldgs, Inc</w:t>
            </w:r>
          </w:p>
        </w:tc>
        <w:tc>
          <w:tcPr>
            <w:tcW w:w="1980" w:type="dxa"/>
            <w:vAlign w:val="bottom"/>
            <w:shd w:val="clear" w:color="auto" w:fill="CCEEFF"/>
          </w:tcPr>
          <w:p>
            <w:pPr>
              <w:ind w:left="340"/>
              <w:spacing w:after="0" w:line="138" w:lineRule="exact"/>
              <w:rPr>
                <w:sz w:val="20"/>
                <w:szCs w:val="20"/>
                <w:color w:val="auto"/>
              </w:rPr>
            </w:pPr>
            <w:r>
              <w:rPr>
                <w:rFonts w:ascii="Arial" w:cs="Arial" w:eastAsia="Arial" w:hAnsi="Arial"/>
                <w:sz w:val="14"/>
                <w:szCs w:val="14"/>
                <w:color w:val="auto"/>
              </w:rPr>
              <w:t>Healthcare &amp;</w:t>
            </w:r>
          </w:p>
        </w:tc>
        <w:tc>
          <w:tcPr>
            <w:tcW w:w="820" w:type="dxa"/>
            <w:vAlign w:val="bottom"/>
            <w:shd w:val="clear" w:color="auto" w:fill="CCEEFF"/>
          </w:tcPr>
          <w:p>
            <w:pPr>
              <w:ind w:left="60"/>
              <w:spacing w:after="0" w:line="138" w:lineRule="exact"/>
              <w:rPr>
                <w:sz w:val="20"/>
                <w:szCs w:val="20"/>
                <w:color w:val="auto"/>
              </w:rPr>
            </w:pPr>
            <w:r>
              <w:rPr>
                <w:rFonts w:ascii="Arial" w:cs="Arial" w:eastAsia="Arial" w:hAnsi="Arial"/>
                <w:sz w:val="14"/>
                <w:szCs w:val="14"/>
                <w:color w:val="auto"/>
              </w:rPr>
              <w:t>Term Loan</w:t>
            </w:r>
          </w:p>
        </w:tc>
        <w:tc>
          <w:tcPr>
            <w:tcW w:w="480" w:type="dxa"/>
            <w:vAlign w:val="bottom"/>
            <w:shd w:val="clear" w:color="auto" w:fill="CCEEFF"/>
          </w:tcPr>
          <w:p>
            <w:pPr>
              <w:ind w:left="60"/>
              <w:spacing w:after="0" w:line="138" w:lineRule="exact"/>
              <w:rPr>
                <w:sz w:val="20"/>
                <w:szCs w:val="20"/>
                <w:color w:val="auto"/>
              </w:rPr>
            </w:pPr>
            <w:r>
              <w:rPr>
                <w:rFonts w:ascii="Arial" w:cs="Arial" w:eastAsia="Arial" w:hAnsi="Arial"/>
                <w:sz w:val="14"/>
                <w:szCs w:val="14"/>
                <w:color w:val="auto"/>
              </w:rPr>
              <w:t>Loan</w:t>
            </w:r>
          </w:p>
        </w:tc>
        <w:tc>
          <w:tcPr>
            <w:tcW w:w="7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r>
      <w:tr>
        <w:trPr>
          <w:trHeight w:val="159"/>
        </w:trPr>
        <w:tc>
          <w:tcPr>
            <w:tcW w:w="4180" w:type="dxa"/>
            <w:vAlign w:val="bottom"/>
            <w:shd w:val="clear" w:color="auto" w:fill="CCEEFF"/>
          </w:tcPr>
          <w:p>
            <w:pPr>
              <w:spacing w:after="0"/>
              <w:rPr>
                <w:sz w:val="13"/>
                <w:szCs w:val="13"/>
                <w:color w:val="auto"/>
              </w:rPr>
            </w:pPr>
          </w:p>
        </w:tc>
        <w:tc>
          <w:tcPr>
            <w:tcW w:w="1980" w:type="dxa"/>
            <w:vAlign w:val="bottom"/>
            <w:shd w:val="clear" w:color="auto" w:fill="CCEEFF"/>
          </w:tcPr>
          <w:p>
            <w:pPr>
              <w:ind w:left="340"/>
              <w:spacing w:after="0" w:line="159" w:lineRule="exact"/>
              <w:rPr>
                <w:sz w:val="20"/>
                <w:szCs w:val="20"/>
                <w:color w:val="auto"/>
              </w:rPr>
            </w:pPr>
            <w:r>
              <w:rPr>
                <w:rFonts w:ascii="Arial" w:cs="Arial" w:eastAsia="Arial" w:hAnsi="Arial"/>
                <w:sz w:val="14"/>
                <w:szCs w:val="14"/>
                <w:color w:val="auto"/>
              </w:rPr>
              <w:t>Pharmaceuticals</w:t>
            </w:r>
          </w:p>
        </w:tc>
        <w:tc>
          <w:tcPr>
            <w:tcW w:w="820" w:type="dxa"/>
            <w:vAlign w:val="bottom"/>
            <w:shd w:val="clear" w:color="auto" w:fill="CCEEFF"/>
          </w:tcPr>
          <w:p>
            <w:pPr>
              <w:ind w:left="60"/>
              <w:spacing w:after="0" w:line="159" w:lineRule="exact"/>
              <w:rPr>
                <w:sz w:val="20"/>
                <w:szCs w:val="20"/>
                <w:color w:val="auto"/>
              </w:rPr>
            </w:pPr>
            <w:r>
              <w:rPr>
                <w:rFonts w:ascii="Arial" w:cs="Arial" w:eastAsia="Arial" w:hAnsi="Arial"/>
                <w:sz w:val="14"/>
                <w:szCs w:val="14"/>
                <w:color w:val="auto"/>
              </w:rPr>
              <w:t>(First Lien)</w:t>
            </w:r>
          </w:p>
        </w:tc>
        <w:tc>
          <w:tcPr>
            <w:tcW w:w="48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6.00%</w:t>
            </w:r>
          </w:p>
        </w:tc>
        <w:tc>
          <w:tcPr>
            <w:tcW w:w="7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12/1/2021</w:t>
            </w:r>
          </w:p>
        </w:tc>
        <w:tc>
          <w:tcPr>
            <w:tcW w:w="1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112"/>
              <w:spacing w:after="0" w:line="159" w:lineRule="exact"/>
              <w:rPr>
                <w:sz w:val="20"/>
                <w:szCs w:val="20"/>
                <w:color w:val="auto"/>
              </w:rPr>
            </w:pPr>
            <w:r>
              <w:rPr>
                <w:rFonts w:ascii="Arial" w:cs="Arial" w:eastAsia="Arial" w:hAnsi="Arial"/>
                <w:sz w:val="14"/>
                <w:szCs w:val="14"/>
                <w:color w:val="auto"/>
                <w:w w:val="83"/>
              </w:rPr>
              <w:t>1,500,000</w:t>
            </w:r>
          </w:p>
        </w:tc>
        <w:tc>
          <w:tcPr>
            <w:tcW w:w="900" w:type="dxa"/>
            <w:vAlign w:val="bottom"/>
            <w:shd w:val="clear" w:color="auto" w:fill="CCEEFF"/>
          </w:tcPr>
          <w:p>
            <w:pPr>
              <w:jc w:val="right"/>
              <w:ind w:right="112"/>
              <w:spacing w:after="0" w:line="159" w:lineRule="exact"/>
              <w:rPr>
                <w:sz w:val="20"/>
                <w:szCs w:val="20"/>
                <w:color w:val="auto"/>
              </w:rPr>
            </w:pPr>
            <w:r>
              <w:rPr>
                <w:rFonts w:ascii="Arial" w:cs="Arial" w:eastAsia="Arial" w:hAnsi="Arial"/>
                <w:sz w:val="14"/>
                <w:szCs w:val="14"/>
                <w:color w:val="auto"/>
              </w:rPr>
              <w:t>1,485,423</w:t>
            </w:r>
          </w:p>
        </w:tc>
        <w:tc>
          <w:tcPr>
            <w:tcW w:w="8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1,505,625</w:t>
            </w:r>
          </w:p>
        </w:tc>
      </w:tr>
      <w:tr>
        <w:trPr>
          <w:trHeight w:val="138"/>
        </w:trPr>
        <w:tc>
          <w:tcPr>
            <w:tcW w:w="4180" w:type="dxa"/>
            <w:vAlign w:val="bottom"/>
          </w:tcPr>
          <w:p>
            <w:pPr>
              <w:spacing w:after="0" w:line="138" w:lineRule="exact"/>
              <w:rPr>
                <w:sz w:val="20"/>
                <w:szCs w:val="20"/>
                <w:color w:val="auto"/>
              </w:rPr>
            </w:pPr>
            <w:r>
              <w:rPr>
                <w:rFonts w:ascii="Arial" w:cs="Arial" w:eastAsia="Arial" w:hAnsi="Arial"/>
                <w:sz w:val="14"/>
                <w:szCs w:val="14"/>
                <w:color w:val="auto"/>
              </w:rPr>
              <w:t>Culligan International Company</w:t>
            </w:r>
          </w:p>
        </w:tc>
        <w:tc>
          <w:tcPr>
            <w:tcW w:w="1980" w:type="dxa"/>
            <w:vAlign w:val="bottom"/>
          </w:tcPr>
          <w:p>
            <w:pPr>
              <w:ind w:left="340"/>
              <w:spacing w:after="0" w:line="138" w:lineRule="exact"/>
              <w:rPr>
                <w:sz w:val="20"/>
                <w:szCs w:val="20"/>
                <w:color w:val="auto"/>
              </w:rPr>
            </w:pPr>
            <w:r>
              <w:rPr>
                <w:rFonts w:ascii="Arial" w:cs="Arial" w:eastAsia="Arial" w:hAnsi="Arial"/>
                <w:sz w:val="14"/>
                <w:szCs w:val="14"/>
                <w:color w:val="auto"/>
              </w:rPr>
              <w:t>Conglomerate</w:t>
            </w:r>
          </w:p>
        </w:tc>
        <w:tc>
          <w:tcPr>
            <w:tcW w:w="820" w:type="dxa"/>
            <w:vAlign w:val="bottom"/>
          </w:tcPr>
          <w:p>
            <w:pPr>
              <w:ind w:left="60"/>
              <w:spacing w:after="0" w:line="138" w:lineRule="exact"/>
              <w:rPr>
                <w:sz w:val="20"/>
                <w:szCs w:val="20"/>
                <w:color w:val="auto"/>
              </w:rPr>
            </w:pPr>
            <w:r>
              <w:rPr>
                <w:rFonts w:ascii="Arial" w:cs="Arial" w:eastAsia="Arial" w:hAnsi="Arial"/>
                <w:sz w:val="14"/>
                <w:szCs w:val="14"/>
                <w:color w:val="auto"/>
              </w:rPr>
              <w:t>Dollar Loan</w:t>
            </w:r>
          </w:p>
        </w:tc>
        <w:tc>
          <w:tcPr>
            <w:tcW w:w="480" w:type="dxa"/>
            <w:vAlign w:val="bottom"/>
          </w:tcPr>
          <w:p>
            <w:pPr>
              <w:ind w:left="60"/>
              <w:spacing w:after="0" w:line="138" w:lineRule="exact"/>
              <w:rPr>
                <w:sz w:val="20"/>
                <w:szCs w:val="20"/>
                <w:color w:val="auto"/>
              </w:rPr>
            </w:pPr>
            <w:r>
              <w:rPr>
                <w:rFonts w:ascii="Arial" w:cs="Arial" w:eastAsia="Arial" w:hAnsi="Arial"/>
                <w:sz w:val="14"/>
                <w:szCs w:val="14"/>
                <w:color w:val="auto"/>
              </w:rPr>
              <w:t>Loan</w:t>
            </w: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59"/>
        </w:trPr>
        <w:tc>
          <w:tcPr>
            <w:tcW w:w="418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820" w:type="dxa"/>
            <w:vAlign w:val="bottom"/>
          </w:tcPr>
          <w:p>
            <w:pPr>
              <w:ind w:left="60"/>
              <w:spacing w:after="0" w:line="159" w:lineRule="exact"/>
              <w:rPr>
                <w:sz w:val="20"/>
                <w:szCs w:val="20"/>
                <w:color w:val="auto"/>
              </w:rPr>
            </w:pPr>
            <w:r>
              <w:rPr>
                <w:rFonts w:ascii="Arial" w:cs="Arial" w:eastAsia="Arial" w:hAnsi="Arial"/>
                <w:sz w:val="14"/>
                <w:szCs w:val="14"/>
                <w:color w:val="auto"/>
              </w:rPr>
              <w:t>(First Lien)</w:t>
            </w:r>
          </w:p>
        </w:tc>
        <w:tc>
          <w:tcPr>
            <w:tcW w:w="480" w:type="dxa"/>
            <w:vAlign w:val="bottom"/>
          </w:tcPr>
          <w:p>
            <w:pPr>
              <w:spacing w:after="0"/>
              <w:rPr>
                <w:sz w:val="13"/>
                <w:szCs w:val="13"/>
                <w:color w:val="auto"/>
              </w:rPr>
            </w:pPr>
          </w:p>
        </w:tc>
        <w:tc>
          <w:tcPr>
            <w:tcW w:w="720" w:type="dxa"/>
            <w:vAlign w:val="bottom"/>
          </w:tcPr>
          <w:p>
            <w:pPr>
              <w:jc w:val="right"/>
              <w:spacing w:after="0" w:line="159" w:lineRule="exact"/>
              <w:rPr>
                <w:sz w:val="20"/>
                <w:szCs w:val="20"/>
                <w:color w:val="auto"/>
              </w:rPr>
            </w:pPr>
            <w:r>
              <w:rPr>
                <w:rFonts w:ascii="Arial" w:cs="Arial" w:eastAsia="Arial" w:hAnsi="Arial"/>
                <w:sz w:val="14"/>
                <w:szCs w:val="14"/>
                <w:color w:val="auto"/>
              </w:rPr>
              <w:t>6.25%</w:t>
            </w:r>
          </w:p>
        </w:tc>
        <w:tc>
          <w:tcPr>
            <w:tcW w:w="700" w:type="dxa"/>
            <w:vAlign w:val="bottom"/>
          </w:tcPr>
          <w:p>
            <w:pPr>
              <w:jc w:val="right"/>
              <w:spacing w:after="0" w:line="159" w:lineRule="exact"/>
              <w:rPr>
                <w:sz w:val="20"/>
                <w:szCs w:val="20"/>
                <w:color w:val="auto"/>
              </w:rPr>
            </w:pPr>
            <w:r>
              <w:rPr>
                <w:rFonts w:ascii="Arial" w:cs="Arial" w:eastAsia="Arial" w:hAnsi="Arial"/>
                <w:sz w:val="14"/>
                <w:szCs w:val="14"/>
                <w:color w:val="auto"/>
                <w:w w:val="91"/>
              </w:rPr>
              <w:t>12/19/2017</w:t>
            </w:r>
          </w:p>
        </w:tc>
        <w:tc>
          <w:tcPr>
            <w:tcW w:w="12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112"/>
              <w:spacing w:after="0" w:line="159" w:lineRule="exact"/>
              <w:rPr>
                <w:sz w:val="20"/>
                <w:szCs w:val="20"/>
                <w:color w:val="auto"/>
              </w:rPr>
            </w:pPr>
            <w:r>
              <w:rPr>
                <w:rFonts w:ascii="Arial" w:cs="Arial" w:eastAsia="Arial" w:hAnsi="Arial"/>
                <w:sz w:val="14"/>
                <w:szCs w:val="14"/>
                <w:color w:val="auto"/>
              </w:rPr>
              <w:t>779,642</w:t>
            </w:r>
          </w:p>
        </w:tc>
        <w:tc>
          <w:tcPr>
            <w:tcW w:w="900" w:type="dxa"/>
            <w:vAlign w:val="bottom"/>
          </w:tcPr>
          <w:p>
            <w:pPr>
              <w:jc w:val="right"/>
              <w:ind w:right="112"/>
              <w:spacing w:after="0" w:line="159" w:lineRule="exact"/>
              <w:rPr>
                <w:sz w:val="20"/>
                <w:szCs w:val="20"/>
                <w:color w:val="auto"/>
              </w:rPr>
            </w:pPr>
            <w:r>
              <w:rPr>
                <w:rFonts w:ascii="Arial" w:cs="Arial" w:eastAsia="Arial" w:hAnsi="Arial"/>
                <w:sz w:val="14"/>
                <w:szCs w:val="14"/>
                <w:color w:val="auto"/>
              </w:rPr>
              <w:t>736,275</w:t>
            </w:r>
          </w:p>
        </w:tc>
        <w:tc>
          <w:tcPr>
            <w:tcW w:w="800" w:type="dxa"/>
            <w:vAlign w:val="bottom"/>
          </w:tcPr>
          <w:p>
            <w:pPr>
              <w:jc w:val="right"/>
              <w:spacing w:after="0" w:line="159" w:lineRule="exact"/>
              <w:rPr>
                <w:sz w:val="20"/>
                <w:szCs w:val="20"/>
                <w:color w:val="auto"/>
              </w:rPr>
            </w:pPr>
            <w:r>
              <w:rPr>
                <w:rFonts w:ascii="Arial" w:cs="Arial" w:eastAsia="Arial" w:hAnsi="Arial"/>
                <w:sz w:val="14"/>
                <w:szCs w:val="14"/>
                <w:color w:val="auto"/>
              </w:rPr>
              <w:t>765,998</w:t>
            </w:r>
          </w:p>
        </w:tc>
      </w:tr>
      <w:tr>
        <w:trPr>
          <w:trHeight w:val="138"/>
        </w:trPr>
        <w:tc>
          <w:tcPr>
            <w:tcW w:w="418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Culligan International Company</w:t>
            </w:r>
          </w:p>
        </w:tc>
        <w:tc>
          <w:tcPr>
            <w:tcW w:w="1980" w:type="dxa"/>
            <w:vAlign w:val="bottom"/>
            <w:shd w:val="clear" w:color="auto" w:fill="CCEEFF"/>
          </w:tcPr>
          <w:p>
            <w:pPr>
              <w:ind w:left="340"/>
              <w:spacing w:after="0" w:line="138" w:lineRule="exact"/>
              <w:rPr>
                <w:sz w:val="20"/>
                <w:szCs w:val="20"/>
                <w:color w:val="auto"/>
              </w:rPr>
            </w:pPr>
            <w:r>
              <w:rPr>
                <w:rFonts w:ascii="Arial" w:cs="Arial" w:eastAsia="Arial" w:hAnsi="Arial"/>
                <w:sz w:val="14"/>
                <w:szCs w:val="14"/>
                <w:color w:val="auto"/>
              </w:rPr>
              <w:t>Conglomerate</w:t>
            </w:r>
          </w:p>
        </w:tc>
        <w:tc>
          <w:tcPr>
            <w:tcW w:w="820" w:type="dxa"/>
            <w:vAlign w:val="bottom"/>
            <w:shd w:val="clear" w:color="auto" w:fill="CCEEFF"/>
          </w:tcPr>
          <w:p>
            <w:pPr>
              <w:ind w:left="60"/>
              <w:spacing w:after="0" w:line="138" w:lineRule="exact"/>
              <w:rPr>
                <w:sz w:val="20"/>
                <w:szCs w:val="20"/>
                <w:color w:val="auto"/>
              </w:rPr>
            </w:pPr>
            <w:r>
              <w:rPr>
                <w:rFonts w:ascii="Arial" w:cs="Arial" w:eastAsia="Arial" w:hAnsi="Arial"/>
                <w:sz w:val="14"/>
                <w:szCs w:val="14"/>
                <w:color w:val="auto"/>
              </w:rPr>
              <w:t>Dollar Loan</w:t>
            </w:r>
          </w:p>
        </w:tc>
        <w:tc>
          <w:tcPr>
            <w:tcW w:w="480" w:type="dxa"/>
            <w:vAlign w:val="bottom"/>
            <w:shd w:val="clear" w:color="auto" w:fill="CCEEFF"/>
          </w:tcPr>
          <w:p>
            <w:pPr>
              <w:ind w:left="60"/>
              <w:spacing w:after="0" w:line="138" w:lineRule="exact"/>
              <w:rPr>
                <w:sz w:val="20"/>
                <w:szCs w:val="20"/>
                <w:color w:val="auto"/>
              </w:rPr>
            </w:pPr>
            <w:r>
              <w:rPr>
                <w:rFonts w:ascii="Arial" w:cs="Arial" w:eastAsia="Arial" w:hAnsi="Arial"/>
                <w:sz w:val="14"/>
                <w:szCs w:val="14"/>
                <w:color w:val="auto"/>
              </w:rPr>
              <w:t>Loan</w:t>
            </w:r>
          </w:p>
        </w:tc>
        <w:tc>
          <w:tcPr>
            <w:tcW w:w="7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r>
      <w:tr>
        <w:trPr>
          <w:trHeight w:val="149"/>
        </w:trPr>
        <w:tc>
          <w:tcPr>
            <w:tcW w:w="4180" w:type="dxa"/>
            <w:vAlign w:val="bottom"/>
            <w:shd w:val="clear" w:color="auto" w:fill="CCEEFF"/>
          </w:tcPr>
          <w:p>
            <w:pPr>
              <w:spacing w:after="0"/>
              <w:rPr>
                <w:sz w:val="12"/>
                <w:szCs w:val="12"/>
                <w:color w:val="auto"/>
              </w:rPr>
            </w:pPr>
          </w:p>
        </w:tc>
        <w:tc>
          <w:tcPr>
            <w:tcW w:w="1980" w:type="dxa"/>
            <w:vAlign w:val="bottom"/>
            <w:shd w:val="clear" w:color="auto" w:fill="CCEEFF"/>
          </w:tcPr>
          <w:p>
            <w:pPr>
              <w:spacing w:after="0"/>
              <w:rPr>
                <w:sz w:val="12"/>
                <w:szCs w:val="12"/>
                <w:color w:val="auto"/>
              </w:rPr>
            </w:pPr>
          </w:p>
        </w:tc>
        <w:tc>
          <w:tcPr>
            <w:tcW w:w="82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(Second</w:t>
            </w:r>
          </w:p>
        </w:tc>
        <w:tc>
          <w:tcPr>
            <w:tcW w:w="4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r>
      <w:tr>
        <w:trPr>
          <w:trHeight w:val="159"/>
        </w:trPr>
        <w:tc>
          <w:tcPr>
            <w:tcW w:w="4180" w:type="dxa"/>
            <w:vAlign w:val="bottom"/>
            <w:shd w:val="clear" w:color="auto" w:fill="CCEEFF"/>
          </w:tcPr>
          <w:p>
            <w:pPr>
              <w:spacing w:after="0"/>
              <w:rPr>
                <w:sz w:val="13"/>
                <w:szCs w:val="13"/>
                <w:color w:val="auto"/>
              </w:rPr>
            </w:pPr>
          </w:p>
        </w:tc>
        <w:tc>
          <w:tcPr>
            <w:tcW w:w="1980" w:type="dxa"/>
            <w:vAlign w:val="bottom"/>
            <w:shd w:val="clear" w:color="auto" w:fill="CCEEFF"/>
          </w:tcPr>
          <w:p>
            <w:pPr>
              <w:spacing w:after="0"/>
              <w:rPr>
                <w:sz w:val="13"/>
                <w:szCs w:val="13"/>
                <w:color w:val="auto"/>
              </w:rPr>
            </w:pPr>
          </w:p>
        </w:tc>
        <w:tc>
          <w:tcPr>
            <w:tcW w:w="820" w:type="dxa"/>
            <w:vAlign w:val="bottom"/>
            <w:shd w:val="clear" w:color="auto" w:fill="CCEEFF"/>
          </w:tcPr>
          <w:p>
            <w:pPr>
              <w:ind w:left="60"/>
              <w:spacing w:after="0" w:line="159" w:lineRule="exact"/>
              <w:rPr>
                <w:sz w:val="20"/>
                <w:szCs w:val="20"/>
                <w:color w:val="auto"/>
              </w:rPr>
            </w:pPr>
            <w:r>
              <w:rPr>
                <w:rFonts w:ascii="Arial" w:cs="Arial" w:eastAsia="Arial" w:hAnsi="Arial"/>
                <w:sz w:val="14"/>
                <w:szCs w:val="14"/>
                <w:color w:val="auto"/>
              </w:rPr>
              <w:t>Lien)</w:t>
            </w:r>
          </w:p>
        </w:tc>
        <w:tc>
          <w:tcPr>
            <w:tcW w:w="48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9.50%</w:t>
            </w:r>
          </w:p>
        </w:tc>
        <w:tc>
          <w:tcPr>
            <w:tcW w:w="7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6/19/2018</w:t>
            </w:r>
          </w:p>
        </w:tc>
        <w:tc>
          <w:tcPr>
            <w:tcW w:w="1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112"/>
              <w:spacing w:after="0" w:line="159" w:lineRule="exact"/>
              <w:rPr>
                <w:sz w:val="20"/>
                <w:szCs w:val="20"/>
                <w:color w:val="auto"/>
              </w:rPr>
            </w:pPr>
            <w:r>
              <w:rPr>
                <w:rFonts w:ascii="Arial" w:cs="Arial" w:eastAsia="Arial" w:hAnsi="Arial"/>
                <w:sz w:val="14"/>
                <w:szCs w:val="14"/>
                <w:color w:val="auto"/>
              </w:rPr>
              <w:t>783,162</w:t>
            </w:r>
          </w:p>
        </w:tc>
        <w:tc>
          <w:tcPr>
            <w:tcW w:w="900" w:type="dxa"/>
            <w:vAlign w:val="bottom"/>
            <w:shd w:val="clear" w:color="auto" w:fill="CCEEFF"/>
          </w:tcPr>
          <w:p>
            <w:pPr>
              <w:jc w:val="right"/>
              <w:ind w:right="112"/>
              <w:spacing w:after="0" w:line="159" w:lineRule="exact"/>
              <w:rPr>
                <w:sz w:val="20"/>
                <w:szCs w:val="20"/>
                <w:color w:val="auto"/>
              </w:rPr>
            </w:pPr>
            <w:r>
              <w:rPr>
                <w:rFonts w:ascii="Arial" w:cs="Arial" w:eastAsia="Arial" w:hAnsi="Arial"/>
                <w:sz w:val="14"/>
                <w:szCs w:val="14"/>
                <w:color w:val="auto"/>
              </w:rPr>
              <w:t>739,367</w:t>
            </w:r>
          </w:p>
        </w:tc>
        <w:tc>
          <w:tcPr>
            <w:tcW w:w="8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727,033</w:t>
            </w:r>
          </w:p>
        </w:tc>
      </w:tr>
      <w:tr>
        <w:trPr>
          <w:trHeight w:val="138"/>
        </w:trPr>
        <w:tc>
          <w:tcPr>
            <w:tcW w:w="4180" w:type="dxa"/>
            <w:vAlign w:val="bottom"/>
          </w:tcPr>
          <w:p>
            <w:pPr>
              <w:spacing w:after="0" w:line="138" w:lineRule="exact"/>
              <w:rPr>
                <w:sz w:val="20"/>
                <w:szCs w:val="20"/>
                <w:color w:val="auto"/>
              </w:rPr>
            </w:pPr>
            <w:r>
              <w:rPr>
                <w:rFonts w:ascii="Arial" w:cs="Arial" w:eastAsia="Arial" w:hAnsi="Arial"/>
                <w:sz w:val="14"/>
                <w:szCs w:val="14"/>
                <w:color w:val="auto"/>
              </w:rPr>
              <w:t>Cumulus Media Holdings Inc.</w:t>
            </w:r>
          </w:p>
        </w:tc>
        <w:tc>
          <w:tcPr>
            <w:tcW w:w="1980" w:type="dxa"/>
            <w:vAlign w:val="bottom"/>
          </w:tcPr>
          <w:p>
            <w:pPr>
              <w:ind w:left="340"/>
              <w:spacing w:after="0" w:line="138" w:lineRule="exact"/>
              <w:rPr>
                <w:sz w:val="20"/>
                <w:szCs w:val="20"/>
                <w:color w:val="auto"/>
              </w:rPr>
            </w:pPr>
            <w:r>
              <w:rPr>
                <w:rFonts w:ascii="Arial" w:cs="Arial" w:eastAsia="Arial" w:hAnsi="Arial"/>
                <w:sz w:val="14"/>
                <w:szCs w:val="14"/>
                <w:color w:val="auto"/>
              </w:rPr>
              <w:t>Broadcast Radio and</w:t>
            </w:r>
          </w:p>
        </w:tc>
        <w:tc>
          <w:tcPr>
            <w:tcW w:w="820" w:type="dxa"/>
            <w:vAlign w:val="bottom"/>
          </w:tcPr>
          <w:p>
            <w:pPr>
              <w:ind w:left="60"/>
              <w:spacing w:after="0" w:line="138" w:lineRule="exact"/>
              <w:rPr>
                <w:sz w:val="20"/>
                <w:szCs w:val="20"/>
                <w:color w:val="auto"/>
              </w:rPr>
            </w:pPr>
            <w:r>
              <w:rPr>
                <w:rFonts w:ascii="Arial" w:cs="Arial" w:eastAsia="Arial" w:hAnsi="Arial"/>
                <w:sz w:val="14"/>
                <w:szCs w:val="14"/>
                <w:color w:val="auto"/>
              </w:rPr>
              <w:t>Term Loan</w:t>
            </w:r>
          </w:p>
        </w:tc>
        <w:tc>
          <w:tcPr>
            <w:tcW w:w="480" w:type="dxa"/>
            <w:vAlign w:val="bottom"/>
          </w:tcPr>
          <w:p>
            <w:pPr>
              <w:ind w:left="60"/>
              <w:spacing w:after="0" w:line="138" w:lineRule="exact"/>
              <w:rPr>
                <w:sz w:val="20"/>
                <w:szCs w:val="20"/>
                <w:color w:val="auto"/>
              </w:rPr>
            </w:pPr>
            <w:r>
              <w:rPr>
                <w:rFonts w:ascii="Arial" w:cs="Arial" w:eastAsia="Arial" w:hAnsi="Arial"/>
                <w:sz w:val="14"/>
                <w:szCs w:val="14"/>
                <w:color w:val="auto"/>
              </w:rPr>
              <w:t>Loan</w:t>
            </w: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59"/>
        </w:trPr>
        <w:tc>
          <w:tcPr>
            <w:tcW w:w="4180" w:type="dxa"/>
            <w:vAlign w:val="bottom"/>
          </w:tcPr>
          <w:p>
            <w:pPr>
              <w:spacing w:after="0"/>
              <w:rPr>
                <w:sz w:val="13"/>
                <w:szCs w:val="13"/>
                <w:color w:val="auto"/>
              </w:rPr>
            </w:pPr>
          </w:p>
        </w:tc>
        <w:tc>
          <w:tcPr>
            <w:tcW w:w="1980" w:type="dxa"/>
            <w:vAlign w:val="bottom"/>
          </w:tcPr>
          <w:p>
            <w:pPr>
              <w:ind w:left="340"/>
              <w:spacing w:after="0" w:line="159" w:lineRule="exact"/>
              <w:rPr>
                <w:sz w:val="20"/>
                <w:szCs w:val="20"/>
                <w:color w:val="auto"/>
              </w:rPr>
            </w:pPr>
            <w:r>
              <w:rPr>
                <w:rFonts w:ascii="Arial" w:cs="Arial" w:eastAsia="Arial" w:hAnsi="Arial"/>
                <w:sz w:val="14"/>
                <w:szCs w:val="14"/>
                <w:color w:val="auto"/>
              </w:rPr>
              <w:t>Television</w:t>
            </w:r>
          </w:p>
        </w:tc>
        <w:tc>
          <w:tcPr>
            <w:tcW w:w="8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20" w:type="dxa"/>
            <w:vAlign w:val="bottom"/>
          </w:tcPr>
          <w:p>
            <w:pPr>
              <w:jc w:val="right"/>
              <w:spacing w:after="0" w:line="159" w:lineRule="exact"/>
              <w:rPr>
                <w:sz w:val="20"/>
                <w:szCs w:val="20"/>
                <w:color w:val="auto"/>
              </w:rPr>
            </w:pPr>
            <w:r>
              <w:rPr>
                <w:rFonts w:ascii="Arial" w:cs="Arial" w:eastAsia="Arial" w:hAnsi="Arial"/>
                <w:sz w:val="14"/>
                <w:szCs w:val="14"/>
                <w:color w:val="auto"/>
              </w:rPr>
              <w:t>4.25%</w:t>
            </w:r>
          </w:p>
        </w:tc>
        <w:tc>
          <w:tcPr>
            <w:tcW w:w="700" w:type="dxa"/>
            <w:vAlign w:val="bottom"/>
          </w:tcPr>
          <w:p>
            <w:pPr>
              <w:jc w:val="right"/>
              <w:spacing w:after="0" w:line="159" w:lineRule="exact"/>
              <w:rPr>
                <w:sz w:val="20"/>
                <w:szCs w:val="20"/>
                <w:color w:val="auto"/>
              </w:rPr>
            </w:pPr>
            <w:r>
              <w:rPr>
                <w:rFonts w:ascii="Arial" w:cs="Arial" w:eastAsia="Arial" w:hAnsi="Arial"/>
                <w:sz w:val="14"/>
                <w:szCs w:val="14"/>
                <w:color w:val="auto"/>
                <w:w w:val="91"/>
              </w:rPr>
              <w:t>12/23/2020</w:t>
            </w:r>
          </w:p>
        </w:tc>
        <w:tc>
          <w:tcPr>
            <w:tcW w:w="12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112"/>
              <w:spacing w:after="0" w:line="159" w:lineRule="exact"/>
              <w:rPr>
                <w:sz w:val="20"/>
                <w:szCs w:val="20"/>
                <w:color w:val="auto"/>
              </w:rPr>
            </w:pPr>
            <w:r>
              <w:rPr>
                <w:rFonts w:ascii="Arial" w:cs="Arial" w:eastAsia="Arial" w:hAnsi="Arial"/>
                <w:sz w:val="14"/>
                <w:szCs w:val="14"/>
                <w:color w:val="auto"/>
              </w:rPr>
              <w:t>470,093</w:t>
            </w:r>
          </w:p>
        </w:tc>
        <w:tc>
          <w:tcPr>
            <w:tcW w:w="900" w:type="dxa"/>
            <w:vAlign w:val="bottom"/>
          </w:tcPr>
          <w:p>
            <w:pPr>
              <w:jc w:val="right"/>
              <w:ind w:right="112"/>
              <w:spacing w:after="0" w:line="159" w:lineRule="exact"/>
              <w:rPr>
                <w:sz w:val="20"/>
                <w:szCs w:val="20"/>
                <w:color w:val="auto"/>
              </w:rPr>
            </w:pPr>
            <w:r>
              <w:rPr>
                <w:rFonts w:ascii="Arial" w:cs="Arial" w:eastAsia="Arial" w:hAnsi="Arial"/>
                <w:sz w:val="14"/>
                <w:szCs w:val="14"/>
                <w:color w:val="auto"/>
              </w:rPr>
              <w:t>466,100</w:t>
            </w:r>
          </w:p>
        </w:tc>
        <w:tc>
          <w:tcPr>
            <w:tcW w:w="800" w:type="dxa"/>
            <w:vAlign w:val="bottom"/>
          </w:tcPr>
          <w:p>
            <w:pPr>
              <w:jc w:val="right"/>
              <w:spacing w:after="0" w:line="159" w:lineRule="exact"/>
              <w:rPr>
                <w:sz w:val="20"/>
                <w:szCs w:val="20"/>
                <w:color w:val="auto"/>
              </w:rPr>
            </w:pPr>
            <w:r>
              <w:rPr>
                <w:rFonts w:ascii="Arial" w:cs="Arial" w:eastAsia="Arial" w:hAnsi="Arial"/>
                <w:sz w:val="14"/>
                <w:szCs w:val="14"/>
                <w:color w:val="auto"/>
              </w:rPr>
              <w:t>466,863</w:t>
            </w:r>
          </w:p>
        </w:tc>
      </w:tr>
      <w:tr>
        <w:trPr>
          <w:trHeight w:val="149"/>
        </w:trPr>
        <w:tc>
          <w:tcPr>
            <w:tcW w:w="4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Custom Sensors</w:t>
            </w:r>
          </w:p>
        </w:tc>
        <w:tc>
          <w:tcPr>
            <w:tcW w:w="198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color w:val="auto"/>
              </w:rPr>
              <w:t>Industrial Equipment</w:t>
            </w:r>
          </w:p>
        </w:tc>
        <w:tc>
          <w:tcPr>
            <w:tcW w:w="82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Term Loan</w:t>
            </w:r>
          </w:p>
        </w:tc>
        <w:tc>
          <w:tcPr>
            <w:tcW w:w="48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Loan</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4.50%</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9/30/2021</w:t>
            </w: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498,750</w:t>
            </w:r>
          </w:p>
        </w:tc>
        <w:tc>
          <w:tcPr>
            <w:tcW w:w="90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497,651</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498,750</w:t>
            </w:r>
          </w:p>
        </w:tc>
      </w:tr>
      <w:tr>
        <w:trPr>
          <w:trHeight w:val="138"/>
        </w:trPr>
        <w:tc>
          <w:tcPr>
            <w:tcW w:w="4180" w:type="dxa"/>
            <w:vAlign w:val="bottom"/>
          </w:tcPr>
          <w:p>
            <w:pPr>
              <w:spacing w:after="0" w:line="138" w:lineRule="exact"/>
              <w:rPr>
                <w:sz w:val="20"/>
                <w:szCs w:val="20"/>
                <w:color w:val="auto"/>
              </w:rPr>
            </w:pPr>
            <w:r>
              <w:rPr>
                <w:rFonts w:ascii="Arial" w:cs="Arial" w:eastAsia="Arial" w:hAnsi="Arial"/>
                <w:sz w:val="14"/>
                <w:szCs w:val="14"/>
                <w:color w:val="auto"/>
              </w:rPr>
              <w:t>DaVita HealthCare Partners Inc. (fka DaVita Inc.)</w:t>
            </w:r>
          </w:p>
        </w:tc>
        <w:tc>
          <w:tcPr>
            <w:tcW w:w="1980" w:type="dxa"/>
            <w:vAlign w:val="bottom"/>
          </w:tcPr>
          <w:p>
            <w:pPr>
              <w:ind w:left="340"/>
              <w:spacing w:after="0" w:line="138" w:lineRule="exact"/>
              <w:rPr>
                <w:sz w:val="20"/>
                <w:szCs w:val="20"/>
                <w:color w:val="auto"/>
              </w:rPr>
            </w:pPr>
            <w:r>
              <w:rPr>
                <w:rFonts w:ascii="Arial" w:cs="Arial" w:eastAsia="Arial" w:hAnsi="Arial"/>
                <w:sz w:val="14"/>
                <w:szCs w:val="14"/>
                <w:color w:val="auto"/>
              </w:rPr>
              <w:t>Healthcare &amp;</w:t>
            </w:r>
          </w:p>
        </w:tc>
        <w:tc>
          <w:tcPr>
            <w:tcW w:w="820" w:type="dxa"/>
            <w:vAlign w:val="bottom"/>
          </w:tcPr>
          <w:p>
            <w:pPr>
              <w:ind w:left="60"/>
              <w:spacing w:after="0" w:line="138" w:lineRule="exact"/>
              <w:rPr>
                <w:sz w:val="20"/>
                <w:szCs w:val="20"/>
                <w:color w:val="auto"/>
              </w:rPr>
            </w:pPr>
            <w:r>
              <w:rPr>
                <w:rFonts w:ascii="Arial" w:cs="Arial" w:eastAsia="Arial" w:hAnsi="Arial"/>
                <w:sz w:val="14"/>
                <w:szCs w:val="14"/>
                <w:color w:val="auto"/>
              </w:rPr>
              <w:t>Tranche B</w:t>
            </w:r>
          </w:p>
        </w:tc>
        <w:tc>
          <w:tcPr>
            <w:tcW w:w="480" w:type="dxa"/>
            <w:vAlign w:val="bottom"/>
          </w:tcPr>
          <w:p>
            <w:pPr>
              <w:ind w:left="60"/>
              <w:spacing w:after="0" w:line="138" w:lineRule="exact"/>
              <w:rPr>
                <w:sz w:val="20"/>
                <w:szCs w:val="20"/>
                <w:color w:val="auto"/>
              </w:rPr>
            </w:pPr>
            <w:r>
              <w:rPr>
                <w:rFonts w:ascii="Arial" w:cs="Arial" w:eastAsia="Arial" w:hAnsi="Arial"/>
                <w:sz w:val="14"/>
                <w:szCs w:val="14"/>
                <w:color w:val="auto"/>
              </w:rPr>
              <w:t>Loan</w:t>
            </w: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59"/>
        </w:trPr>
        <w:tc>
          <w:tcPr>
            <w:tcW w:w="4180" w:type="dxa"/>
            <w:vAlign w:val="bottom"/>
          </w:tcPr>
          <w:p>
            <w:pPr>
              <w:spacing w:after="0"/>
              <w:rPr>
                <w:sz w:val="13"/>
                <w:szCs w:val="13"/>
                <w:color w:val="auto"/>
              </w:rPr>
            </w:pPr>
          </w:p>
        </w:tc>
        <w:tc>
          <w:tcPr>
            <w:tcW w:w="1980" w:type="dxa"/>
            <w:vAlign w:val="bottom"/>
          </w:tcPr>
          <w:p>
            <w:pPr>
              <w:ind w:left="340"/>
              <w:spacing w:after="0" w:line="159" w:lineRule="exact"/>
              <w:rPr>
                <w:sz w:val="20"/>
                <w:szCs w:val="20"/>
                <w:color w:val="auto"/>
              </w:rPr>
            </w:pPr>
            <w:r>
              <w:rPr>
                <w:rFonts w:ascii="Arial" w:cs="Arial" w:eastAsia="Arial" w:hAnsi="Arial"/>
                <w:sz w:val="14"/>
                <w:szCs w:val="14"/>
                <w:color w:val="auto"/>
              </w:rPr>
              <w:t>Pharmaceuticals</w:t>
            </w:r>
          </w:p>
        </w:tc>
        <w:tc>
          <w:tcPr>
            <w:tcW w:w="820" w:type="dxa"/>
            <w:vAlign w:val="bottom"/>
          </w:tcPr>
          <w:p>
            <w:pPr>
              <w:ind w:left="60"/>
              <w:spacing w:after="0" w:line="159" w:lineRule="exact"/>
              <w:rPr>
                <w:sz w:val="20"/>
                <w:szCs w:val="20"/>
                <w:color w:val="auto"/>
              </w:rPr>
            </w:pPr>
            <w:r>
              <w:rPr>
                <w:rFonts w:ascii="Arial" w:cs="Arial" w:eastAsia="Arial" w:hAnsi="Arial"/>
                <w:sz w:val="14"/>
                <w:szCs w:val="14"/>
                <w:color w:val="auto"/>
              </w:rPr>
              <w:t>Term Loan</w:t>
            </w:r>
          </w:p>
        </w:tc>
        <w:tc>
          <w:tcPr>
            <w:tcW w:w="480" w:type="dxa"/>
            <w:vAlign w:val="bottom"/>
          </w:tcPr>
          <w:p>
            <w:pPr>
              <w:spacing w:after="0"/>
              <w:rPr>
                <w:sz w:val="13"/>
                <w:szCs w:val="13"/>
                <w:color w:val="auto"/>
              </w:rPr>
            </w:pPr>
          </w:p>
        </w:tc>
        <w:tc>
          <w:tcPr>
            <w:tcW w:w="720" w:type="dxa"/>
            <w:vAlign w:val="bottom"/>
          </w:tcPr>
          <w:p>
            <w:pPr>
              <w:jc w:val="right"/>
              <w:spacing w:after="0" w:line="159" w:lineRule="exact"/>
              <w:rPr>
                <w:sz w:val="20"/>
                <w:szCs w:val="20"/>
                <w:color w:val="auto"/>
              </w:rPr>
            </w:pPr>
            <w:r>
              <w:rPr>
                <w:rFonts w:ascii="Arial" w:cs="Arial" w:eastAsia="Arial" w:hAnsi="Arial"/>
                <w:sz w:val="14"/>
                <w:szCs w:val="14"/>
                <w:color w:val="auto"/>
              </w:rPr>
              <w:t>3.50%</w:t>
            </w:r>
          </w:p>
        </w:tc>
        <w:tc>
          <w:tcPr>
            <w:tcW w:w="700" w:type="dxa"/>
            <w:vAlign w:val="bottom"/>
          </w:tcPr>
          <w:p>
            <w:pPr>
              <w:jc w:val="right"/>
              <w:spacing w:after="0" w:line="159" w:lineRule="exact"/>
              <w:rPr>
                <w:sz w:val="20"/>
                <w:szCs w:val="20"/>
                <w:color w:val="auto"/>
              </w:rPr>
            </w:pPr>
            <w:r>
              <w:rPr>
                <w:rFonts w:ascii="Arial" w:cs="Arial" w:eastAsia="Arial" w:hAnsi="Arial"/>
                <w:sz w:val="14"/>
                <w:szCs w:val="14"/>
                <w:color w:val="auto"/>
              </w:rPr>
              <w:t>6/24/2021</w:t>
            </w:r>
          </w:p>
        </w:tc>
        <w:tc>
          <w:tcPr>
            <w:tcW w:w="12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112"/>
              <w:spacing w:after="0" w:line="159" w:lineRule="exact"/>
              <w:rPr>
                <w:sz w:val="20"/>
                <w:szCs w:val="20"/>
                <w:color w:val="auto"/>
              </w:rPr>
            </w:pPr>
            <w:r>
              <w:rPr>
                <w:rFonts w:ascii="Arial" w:cs="Arial" w:eastAsia="Arial" w:hAnsi="Arial"/>
                <w:sz w:val="14"/>
                <w:szCs w:val="14"/>
                <w:color w:val="auto"/>
              </w:rPr>
              <w:t>497,500</w:t>
            </w:r>
          </w:p>
        </w:tc>
        <w:tc>
          <w:tcPr>
            <w:tcW w:w="900" w:type="dxa"/>
            <w:vAlign w:val="bottom"/>
          </w:tcPr>
          <w:p>
            <w:pPr>
              <w:jc w:val="right"/>
              <w:ind w:right="112"/>
              <w:spacing w:after="0" w:line="159" w:lineRule="exact"/>
              <w:rPr>
                <w:sz w:val="20"/>
                <w:szCs w:val="20"/>
                <w:color w:val="auto"/>
              </w:rPr>
            </w:pPr>
            <w:r>
              <w:rPr>
                <w:rFonts w:ascii="Arial" w:cs="Arial" w:eastAsia="Arial" w:hAnsi="Arial"/>
                <w:sz w:val="14"/>
                <w:szCs w:val="14"/>
                <w:color w:val="auto"/>
              </w:rPr>
              <w:t>495,228</w:t>
            </w:r>
          </w:p>
        </w:tc>
        <w:tc>
          <w:tcPr>
            <w:tcW w:w="800" w:type="dxa"/>
            <w:vAlign w:val="bottom"/>
          </w:tcPr>
          <w:p>
            <w:pPr>
              <w:jc w:val="right"/>
              <w:spacing w:after="0" w:line="159" w:lineRule="exact"/>
              <w:rPr>
                <w:sz w:val="20"/>
                <w:szCs w:val="20"/>
                <w:color w:val="auto"/>
              </w:rPr>
            </w:pPr>
            <w:r>
              <w:rPr>
                <w:rFonts w:ascii="Arial" w:cs="Arial" w:eastAsia="Arial" w:hAnsi="Arial"/>
                <w:sz w:val="14"/>
                <w:szCs w:val="14"/>
                <w:color w:val="auto"/>
              </w:rPr>
              <w:t>498,062</w:t>
            </w:r>
          </w:p>
        </w:tc>
      </w:tr>
      <w:tr>
        <w:trPr>
          <w:trHeight w:val="138"/>
        </w:trPr>
        <w:tc>
          <w:tcPr>
            <w:tcW w:w="418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DCS Business Services, Inc.</w:t>
            </w:r>
          </w:p>
        </w:tc>
        <w:tc>
          <w:tcPr>
            <w:tcW w:w="1980" w:type="dxa"/>
            <w:vAlign w:val="bottom"/>
            <w:shd w:val="clear" w:color="auto" w:fill="CCEEFF"/>
          </w:tcPr>
          <w:p>
            <w:pPr>
              <w:ind w:left="340"/>
              <w:spacing w:after="0" w:line="138" w:lineRule="exact"/>
              <w:rPr>
                <w:sz w:val="20"/>
                <w:szCs w:val="20"/>
                <w:color w:val="auto"/>
              </w:rPr>
            </w:pPr>
            <w:r>
              <w:rPr>
                <w:rFonts w:ascii="Arial" w:cs="Arial" w:eastAsia="Arial" w:hAnsi="Arial"/>
                <w:sz w:val="14"/>
                <w:szCs w:val="14"/>
                <w:color w:val="auto"/>
              </w:rPr>
              <w:t>Financial Intermediaries</w:t>
            </w:r>
          </w:p>
        </w:tc>
        <w:tc>
          <w:tcPr>
            <w:tcW w:w="820" w:type="dxa"/>
            <w:vAlign w:val="bottom"/>
            <w:shd w:val="clear" w:color="auto" w:fill="CCEEFF"/>
          </w:tcPr>
          <w:p>
            <w:pPr>
              <w:ind w:left="60"/>
              <w:spacing w:after="0" w:line="138" w:lineRule="exact"/>
              <w:rPr>
                <w:sz w:val="20"/>
                <w:szCs w:val="20"/>
                <w:color w:val="auto"/>
              </w:rPr>
            </w:pPr>
            <w:r>
              <w:rPr>
                <w:rFonts w:ascii="Arial" w:cs="Arial" w:eastAsia="Arial" w:hAnsi="Arial"/>
                <w:sz w:val="14"/>
                <w:szCs w:val="14"/>
                <w:color w:val="auto"/>
              </w:rPr>
              <w:t>Term B</w:t>
            </w:r>
          </w:p>
        </w:tc>
        <w:tc>
          <w:tcPr>
            <w:tcW w:w="480" w:type="dxa"/>
            <w:vAlign w:val="bottom"/>
            <w:shd w:val="clear" w:color="auto" w:fill="CCEEFF"/>
          </w:tcPr>
          <w:p>
            <w:pPr>
              <w:ind w:left="60"/>
              <w:spacing w:after="0" w:line="138" w:lineRule="exact"/>
              <w:rPr>
                <w:sz w:val="20"/>
                <w:szCs w:val="20"/>
                <w:color w:val="auto"/>
              </w:rPr>
            </w:pPr>
            <w:r>
              <w:rPr>
                <w:rFonts w:ascii="Arial" w:cs="Arial" w:eastAsia="Arial" w:hAnsi="Arial"/>
                <w:sz w:val="14"/>
                <w:szCs w:val="14"/>
                <w:color w:val="auto"/>
              </w:rPr>
              <w:t>Loan</w:t>
            </w:r>
          </w:p>
        </w:tc>
        <w:tc>
          <w:tcPr>
            <w:tcW w:w="7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r>
      <w:tr>
        <w:trPr>
          <w:trHeight w:val="159"/>
        </w:trPr>
        <w:tc>
          <w:tcPr>
            <w:tcW w:w="4180" w:type="dxa"/>
            <w:vAlign w:val="bottom"/>
            <w:shd w:val="clear" w:color="auto" w:fill="CCEEFF"/>
          </w:tcPr>
          <w:p>
            <w:pPr>
              <w:spacing w:after="0"/>
              <w:rPr>
                <w:sz w:val="13"/>
                <w:szCs w:val="13"/>
                <w:color w:val="auto"/>
              </w:rPr>
            </w:pPr>
          </w:p>
        </w:tc>
        <w:tc>
          <w:tcPr>
            <w:tcW w:w="1980" w:type="dxa"/>
            <w:vAlign w:val="bottom"/>
            <w:shd w:val="clear" w:color="auto" w:fill="CCEEFF"/>
          </w:tcPr>
          <w:p>
            <w:pPr>
              <w:spacing w:after="0"/>
              <w:rPr>
                <w:sz w:val="13"/>
                <w:szCs w:val="13"/>
                <w:color w:val="auto"/>
              </w:rPr>
            </w:pPr>
          </w:p>
        </w:tc>
        <w:tc>
          <w:tcPr>
            <w:tcW w:w="820" w:type="dxa"/>
            <w:vAlign w:val="bottom"/>
            <w:shd w:val="clear" w:color="auto" w:fill="CCEEFF"/>
          </w:tcPr>
          <w:p>
            <w:pPr>
              <w:ind w:left="60"/>
              <w:spacing w:after="0" w:line="159" w:lineRule="exact"/>
              <w:rPr>
                <w:sz w:val="20"/>
                <w:szCs w:val="20"/>
                <w:color w:val="auto"/>
              </w:rPr>
            </w:pPr>
            <w:r>
              <w:rPr>
                <w:rFonts w:ascii="Arial" w:cs="Arial" w:eastAsia="Arial" w:hAnsi="Arial"/>
                <w:sz w:val="14"/>
                <w:szCs w:val="14"/>
                <w:color w:val="auto"/>
              </w:rPr>
              <w:t>Loan</w:t>
            </w:r>
          </w:p>
        </w:tc>
        <w:tc>
          <w:tcPr>
            <w:tcW w:w="48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7.25%</w:t>
            </w:r>
          </w:p>
        </w:tc>
        <w:tc>
          <w:tcPr>
            <w:tcW w:w="7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3/19/2018</w:t>
            </w:r>
          </w:p>
        </w:tc>
        <w:tc>
          <w:tcPr>
            <w:tcW w:w="1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112"/>
              <w:spacing w:after="0" w:line="159" w:lineRule="exact"/>
              <w:rPr>
                <w:sz w:val="20"/>
                <w:szCs w:val="20"/>
                <w:color w:val="auto"/>
              </w:rPr>
            </w:pPr>
            <w:r>
              <w:rPr>
                <w:rFonts w:ascii="Arial" w:cs="Arial" w:eastAsia="Arial" w:hAnsi="Arial"/>
                <w:sz w:val="14"/>
                <w:szCs w:val="14"/>
                <w:color w:val="auto"/>
                <w:w w:val="83"/>
              </w:rPr>
              <w:t>3,460,027</w:t>
            </w:r>
          </w:p>
        </w:tc>
        <w:tc>
          <w:tcPr>
            <w:tcW w:w="900" w:type="dxa"/>
            <w:vAlign w:val="bottom"/>
            <w:shd w:val="clear" w:color="auto" w:fill="CCEEFF"/>
          </w:tcPr>
          <w:p>
            <w:pPr>
              <w:jc w:val="right"/>
              <w:ind w:right="112"/>
              <w:spacing w:after="0" w:line="159" w:lineRule="exact"/>
              <w:rPr>
                <w:sz w:val="20"/>
                <w:szCs w:val="20"/>
                <w:color w:val="auto"/>
              </w:rPr>
            </w:pPr>
            <w:r>
              <w:rPr>
                <w:rFonts w:ascii="Arial" w:cs="Arial" w:eastAsia="Arial" w:hAnsi="Arial"/>
                <w:sz w:val="14"/>
                <w:szCs w:val="14"/>
                <w:color w:val="auto"/>
              </w:rPr>
              <w:t>3,436,485</w:t>
            </w:r>
          </w:p>
        </w:tc>
        <w:tc>
          <w:tcPr>
            <w:tcW w:w="8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3,413,835</w:t>
            </w:r>
          </w:p>
        </w:tc>
      </w:tr>
      <w:tr>
        <w:trPr>
          <w:trHeight w:val="138"/>
        </w:trPr>
        <w:tc>
          <w:tcPr>
            <w:tcW w:w="4180" w:type="dxa"/>
            <w:vAlign w:val="bottom"/>
          </w:tcPr>
          <w:p>
            <w:pPr>
              <w:spacing w:after="0" w:line="138" w:lineRule="exact"/>
              <w:rPr>
                <w:sz w:val="20"/>
                <w:szCs w:val="20"/>
                <w:color w:val="auto"/>
              </w:rPr>
            </w:pPr>
            <w:r>
              <w:rPr>
                <w:rFonts w:ascii="Arial" w:cs="Arial" w:eastAsia="Arial" w:hAnsi="Arial"/>
                <w:sz w:val="14"/>
                <w:szCs w:val="14"/>
                <w:color w:val="auto"/>
              </w:rPr>
              <w:t>Dealertrack Technologies, Inc.</w:t>
            </w:r>
          </w:p>
        </w:tc>
        <w:tc>
          <w:tcPr>
            <w:tcW w:w="1980" w:type="dxa"/>
            <w:vAlign w:val="bottom"/>
          </w:tcPr>
          <w:p>
            <w:pPr>
              <w:ind w:left="340"/>
              <w:spacing w:after="0" w:line="138" w:lineRule="exact"/>
              <w:rPr>
                <w:sz w:val="20"/>
                <w:szCs w:val="20"/>
                <w:color w:val="auto"/>
              </w:rPr>
            </w:pPr>
            <w:r>
              <w:rPr>
                <w:rFonts w:ascii="Arial" w:cs="Arial" w:eastAsia="Arial" w:hAnsi="Arial"/>
                <w:sz w:val="14"/>
                <w:szCs w:val="14"/>
                <w:color w:val="auto"/>
              </w:rPr>
              <w:t>Leisure</w:t>
            </w:r>
          </w:p>
        </w:tc>
        <w:tc>
          <w:tcPr>
            <w:tcW w:w="820" w:type="dxa"/>
            <w:vAlign w:val="bottom"/>
          </w:tcPr>
          <w:p>
            <w:pPr>
              <w:ind w:left="60"/>
              <w:spacing w:after="0" w:line="138" w:lineRule="exact"/>
              <w:rPr>
                <w:sz w:val="20"/>
                <w:szCs w:val="20"/>
                <w:color w:val="auto"/>
              </w:rPr>
            </w:pPr>
            <w:r>
              <w:rPr>
                <w:rFonts w:ascii="Arial" w:cs="Arial" w:eastAsia="Arial" w:hAnsi="Arial"/>
                <w:sz w:val="14"/>
                <w:szCs w:val="14"/>
                <w:color w:val="auto"/>
              </w:rPr>
              <w:t>Term B</w:t>
            </w:r>
          </w:p>
        </w:tc>
        <w:tc>
          <w:tcPr>
            <w:tcW w:w="480" w:type="dxa"/>
            <w:vAlign w:val="bottom"/>
          </w:tcPr>
          <w:p>
            <w:pPr>
              <w:ind w:left="60"/>
              <w:spacing w:after="0" w:line="138" w:lineRule="exact"/>
              <w:rPr>
                <w:sz w:val="20"/>
                <w:szCs w:val="20"/>
                <w:color w:val="auto"/>
              </w:rPr>
            </w:pPr>
            <w:r>
              <w:rPr>
                <w:rFonts w:ascii="Arial" w:cs="Arial" w:eastAsia="Arial" w:hAnsi="Arial"/>
                <w:sz w:val="14"/>
                <w:szCs w:val="14"/>
                <w:color w:val="auto"/>
              </w:rPr>
              <w:t>Loan</w:t>
            </w: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59"/>
        </w:trPr>
        <w:tc>
          <w:tcPr>
            <w:tcW w:w="4180" w:type="dxa"/>
            <w:vAlign w:val="bottom"/>
          </w:tcPr>
          <w:p>
            <w:pPr>
              <w:spacing w:after="0"/>
              <w:rPr>
                <w:sz w:val="13"/>
                <w:szCs w:val="13"/>
                <w:color w:val="auto"/>
              </w:rPr>
            </w:pPr>
          </w:p>
        </w:tc>
        <w:tc>
          <w:tcPr>
            <w:tcW w:w="1980" w:type="dxa"/>
            <w:vAlign w:val="bottom"/>
          </w:tcPr>
          <w:p>
            <w:pPr>
              <w:ind w:left="340"/>
              <w:spacing w:after="0" w:line="159" w:lineRule="exact"/>
              <w:rPr>
                <w:sz w:val="20"/>
                <w:szCs w:val="20"/>
                <w:color w:val="auto"/>
              </w:rPr>
            </w:pPr>
            <w:r>
              <w:rPr>
                <w:rFonts w:ascii="Arial" w:cs="Arial" w:eastAsia="Arial" w:hAnsi="Arial"/>
                <w:sz w:val="14"/>
                <w:szCs w:val="14"/>
                <w:color w:val="auto"/>
              </w:rPr>
              <w:t>Goods/Activities/Movies</w:t>
            </w:r>
          </w:p>
        </w:tc>
        <w:tc>
          <w:tcPr>
            <w:tcW w:w="820" w:type="dxa"/>
            <w:vAlign w:val="bottom"/>
          </w:tcPr>
          <w:p>
            <w:pPr>
              <w:ind w:left="60"/>
              <w:spacing w:after="0" w:line="159" w:lineRule="exact"/>
              <w:rPr>
                <w:sz w:val="20"/>
                <w:szCs w:val="20"/>
                <w:color w:val="auto"/>
              </w:rPr>
            </w:pPr>
            <w:r>
              <w:rPr>
                <w:rFonts w:ascii="Arial" w:cs="Arial" w:eastAsia="Arial" w:hAnsi="Arial"/>
                <w:sz w:val="14"/>
                <w:szCs w:val="14"/>
                <w:color w:val="auto"/>
              </w:rPr>
              <w:t>Loan</w:t>
            </w:r>
          </w:p>
        </w:tc>
        <w:tc>
          <w:tcPr>
            <w:tcW w:w="480" w:type="dxa"/>
            <w:vAlign w:val="bottom"/>
          </w:tcPr>
          <w:p>
            <w:pPr>
              <w:spacing w:after="0"/>
              <w:rPr>
                <w:sz w:val="13"/>
                <w:szCs w:val="13"/>
                <w:color w:val="auto"/>
              </w:rPr>
            </w:pPr>
          </w:p>
        </w:tc>
        <w:tc>
          <w:tcPr>
            <w:tcW w:w="720" w:type="dxa"/>
            <w:vAlign w:val="bottom"/>
          </w:tcPr>
          <w:p>
            <w:pPr>
              <w:jc w:val="right"/>
              <w:spacing w:after="0" w:line="159" w:lineRule="exact"/>
              <w:rPr>
                <w:sz w:val="20"/>
                <w:szCs w:val="20"/>
                <w:color w:val="auto"/>
              </w:rPr>
            </w:pPr>
            <w:r>
              <w:rPr>
                <w:rFonts w:ascii="Arial" w:cs="Arial" w:eastAsia="Arial" w:hAnsi="Arial"/>
                <w:sz w:val="14"/>
                <w:szCs w:val="14"/>
                <w:color w:val="auto"/>
              </w:rPr>
              <w:t>3.25%</w:t>
            </w:r>
          </w:p>
        </w:tc>
        <w:tc>
          <w:tcPr>
            <w:tcW w:w="700" w:type="dxa"/>
            <w:vAlign w:val="bottom"/>
          </w:tcPr>
          <w:p>
            <w:pPr>
              <w:jc w:val="right"/>
              <w:spacing w:after="0" w:line="159" w:lineRule="exact"/>
              <w:rPr>
                <w:sz w:val="20"/>
                <w:szCs w:val="20"/>
                <w:color w:val="auto"/>
              </w:rPr>
            </w:pPr>
            <w:r>
              <w:rPr>
                <w:rFonts w:ascii="Arial" w:cs="Arial" w:eastAsia="Arial" w:hAnsi="Arial"/>
                <w:sz w:val="14"/>
                <w:szCs w:val="14"/>
                <w:color w:val="auto"/>
              </w:rPr>
              <w:t>2/26/2021</w:t>
            </w:r>
          </w:p>
        </w:tc>
        <w:tc>
          <w:tcPr>
            <w:tcW w:w="12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112"/>
              <w:spacing w:after="0" w:line="159" w:lineRule="exact"/>
              <w:rPr>
                <w:sz w:val="20"/>
                <w:szCs w:val="20"/>
                <w:color w:val="auto"/>
              </w:rPr>
            </w:pPr>
            <w:r>
              <w:rPr>
                <w:rFonts w:ascii="Arial" w:cs="Arial" w:eastAsia="Arial" w:hAnsi="Arial"/>
                <w:sz w:val="14"/>
                <w:szCs w:val="14"/>
                <w:color w:val="auto"/>
              </w:rPr>
              <w:t>477,011</w:t>
            </w:r>
          </w:p>
        </w:tc>
        <w:tc>
          <w:tcPr>
            <w:tcW w:w="900" w:type="dxa"/>
            <w:vAlign w:val="bottom"/>
          </w:tcPr>
          <w:p>
            <w:pPr>
              <w:jc w:val="right"/>
              <w:ind w:right="112"/>
              <w:spacing w:after="0" w:line="159" w:lineRule="exact"/>
              <w:rPr>
                <w:sz w:val="20"/>
                <w:szCs w:val="20"/>
                <w:color w:val="auto"/>
              </w:rPr>
            </w:pPr>
            <w:r>
              <w:rPr>
                <w:rFonts w:ascii="Arial" w:cs="Arial" w:eastAsia="Arial" w:hAnsi="Arial"/>
                <w:sz w:val="14"/>
                <w:szCs w:val="14"/>
                <w:color w:val="auto"/>
              </w:rPr>
              <w:t>475,991</w:t>
            </w:r>
          </w:p>
        </w:tc>
        <w:tc>
          <w:tcPr>
            <w:tcW w:w="800" w:type="dxa"/>
            <w:vAlign w:val="bottom"/>
          </w:tcPr>
          <w:p>
            <w:pPr>
              <w:jc w:val="right"/>
              <w:spacing w:after="0" w:line="159" w:lineRule="exact"/>
              <w:rPr>
                <w:sz w:val="20"/>
                <w:szCs w:val="20"/>
                <w:color w:val="auto"/>
              </w:rPr>
            </w:pPr>
            <w:r>
              <w:rPr>
                <w:rFonts w:ascii="Arial" w:cs="Arial" w:eastAsia="Arial" w:hAnsi="Arial"/>
                <w:sz w:val="14"/>
                <w:szCs w:val="14"/>
                <w:color w:val="auto"/>
              </w:rPr>
              <w:t>474,230</w:t>
            </w:r>
          </w:p>
        </w:tc>
      </w:tr>
      <w:tr>
        <w:trPr>
          <w:trHeight w:val="138"/>
        </w:trPr>
        <w:tc>
          <w:tcPr>
            <w:tcW w:w="418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Dell International LLC</w:t>
            </w:r>
          </w:p>
        </w:tc>
        <w:tc>
          <w:tcPr>
            <w:tcW w:w="1980" w:type="dxa"/>
            <w:vAlign w:val="bottom"/>
            <w:shd w:val="clear" w:color="auto" w:fill="CCEEFF"/>
          </w:tcPr>
          <w:p>
            <w:pPr>
              <w:ind w:left="340"/>
              <w:spacing w:after="0" w:line="138" w:lineRule="exact"/>
              <w:rPr>
                <w:sz w:val="20"/>
                <w:szCs w:val="20"/>
                <w:color w:val="auto"/>
              </w:rPr>
            </w:pPr>
            <w:r>
              <w:rPr>
                <w:rFonts w:ascii="Arial" w:cs="Arial" w:eastAsia="Arial" w:hAnsi="Arial"/>
                <w:sz w:val="14"/>
                <w:szCs w:val="14"/>
                <w:color w:val="auto"/>
                <w:w w:val="95"/>
              </w:rPr>
              <w:t>Retailers (Except Food and</w:t>
            </w:r>
          </w:p>
        </w:tc>
        <w:tc>
          <w:tcPr>
            <w:tcW w:w="820" w:type="dxa"/>
            <w:vAlign w:val="bottom"/>
            <w:shd w:val="clear" w:color="auto" w:fill="CCEEFF"/>
          </w:tcPr>
          <w:p>
            <w:pPr>
              <w:ind w:left="60"/>
              <w:spacing w:after="0" w:line="138" w:lineRule="exact"/>
              <w:rPr>
                <w:sz w:val="20"/>
                <w:szCs w:val="20"/>
                <w:color w:val="auto"/>
              </w:rPr>
            </w:pPr>
            <w:r>
              <w:rPr>
                <w:rFonts w:ascii="Arial" w:cs="Arial" w:eastAsia="Arial" w:hAnsi="Arial"/>
                <w:sz w:val="14"/>
                <w:szCs w:val="14"/>
                <w:color w:val="auto"/>
              </w:rPr>
              <w:t>Term B</w:t>
            </w:r>
          </w:p>
        </w:tc>
        <w:tc>
          <w:tcPr>
            <w:tcW w:w="480" w:type="dxa"/>
            <w:vAlign w:val="bottom"/>
            <w:shd w:val="clear" w:color="auto" w:fill="CCEEFF"/>
          </w:tcPr>
          <w:p>
            <w:pPr>
              <w:ind w:left="60"/>
              <w:spacing w:after="0" w:line="138" w:lineRule="exact"/>
              <w:rPr>
                <w:sz w:val="20"/>
                <w:szCs w:val="20"/>
                <w:color w:val="auto"/>
              </w:rPr>
            </w:pPr>
            <w:r>
              <w:rPr>
                <w:rFonts w:ascii="Arial" w:cs="Arial" w:eastAsia="Arial" w:hAnsi="Arial"/>
                <w:sz w:val="14"/>
                <w:szCs w:val="14"/>
                <w:color w:val="auto"/>
              </w:rPr>
              <w:t>Loan</w:t>
            </w:r>
          </w:p>
        </w:tc>
        <w:tc>
          <w:tcPr>
            <w:tcW w:w="7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r>
      <w:tr>
        <w:trPr>
          <w:trHeight w:val="159"/>
        </w:trPr>
        <w:tc>
          <w:tcPr>
            <w:tcW w:w="4180" w:type="dxa"/>
            <w:vAlign w:val="bottom"/>
            <w:shd w:val="clear" w:color="auto" w:fill="CCEEFF"/>
          </w:tcPr>
          <w:p>
            <w:pPr>
              <w:spacing w:after="0"/>
              <w:rPr>
                <w:sz w:val="13"/>
                <w:szCs w:val="13"/>
                <w:color w:val="auto"/>
              </w:rPr>
            </w:pPr>
          </w:p>
        </w:tc>
        <w:tc>
          <w:tcPr>
            <w:tcW w:w="1980" w:type="dxa"/>
            <w:vAlign w:val="bottom"/>
            <w:shd w:val="clear" w:color="auto" w:fill="CCEEFF"/>
          </w:tcPr>
          <w:p>
            <w:pPr>
              <w:ind w:left="340"/>
              <w:spacing w:after="0" w:line="159" w:lineRule="exact"/>
              <w:rPr>
                <w:sz w:val="20"/>
                <w:szCs w:val="20"/>
                <w:color w:val="auto"/>
              </w:rPr>
            </w:pPr>
            <w:r>
              <w:rPr>
                <w:rFonts w:ascii="Arial" w:cs="Arial" w:eastAsia="Arial" w:hAnsi="Arial"/>
                <w:sz w:val="14"/>
                <w:szCs w:val="14"/>
                <w:color w:val="auto"/>
              </w:rPr>
              <w:t>Drugs)</w:t>
            </w:r>
          </w:p>
        </w:tc>
        <w:tc>
          <w:tcPr>
            <w:tcW w:w="820" w:type="dxa"/>
            <w:vAlign w:val="bottom"/>
            <w:shd w:val="clear" w:color="auto" w:fill="CCEEFF"/>
          </w:tcPr>
          <w:p>
            <w:pPr>
              <w:ind w:left="60"/>
              <w:spacing w:after="0" w:line="159" w:lineRule="exact"/>
              <w:rPr>
                <w:sz w:val="20"/>
                <w:szCs w:val="20"/>
                <w:color w:val="auto"/>
              </w:rPr>
            </w:pPr>
            <w:r>
              <w:rPr>
                <w:rFonts w:ascii="Arial" w:cs="Arial" w:eastAsia="Arial" w:hAnsi="Arial"/>
                <w:sz w:val="14"/>
                <w:szCs w:val="14"/>
                <w:color w:val="auto"/>
              </w:rPr>
              <w:t>Loan</w:t>
            </w:r>
          </w:p>
        </w:tc>
        <w:tc>
          <w:tcPr>
            <w:tcW w:w="48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4.50%</w:t>
            </w:r>
          </w:p>
        </w:tc>
        <w:tc>
          <w:tcPr>
            <w:tcW w:w="7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4/29/2020</w:t>
            </w:r>
          </w:p>
        </w:tc>
        <w:tc>
          <w:tcPr>
            <w:tcW w:w="1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112"/>
              <w:spacing w:after="0" w:line="159" w:lineRule="exact"/>
              <w:rPr>
                <w:sz w:val="20"/>
                <w:szCs w:val="20"/>
                <w:color w:val="auto"/>
              </w:rPr>
            </w:pPr>
            <w:r>
              <w:rPr>
                <w:rFonts w:ascii="Arial" w:cs="Arial" w:eastAsia="Arial" w:hAnsi="Arial"/>
                <w:sz w:val="14"/>
                <w:szCs w:val="14"/>
                <w:color w:val="auto"/>
                <w:w w:val="83"/>
              </w:rPr>
              <w:t>2,969,962</w:t>
            </w:r>
          </w:p>
        </w:tc>
        <w:tc>
          <w:tcPr>
            <w:tcW w:w="900" w:type="dxa"/>
            <w:vAlign w:val="bottom"/>
            <w:shd w:val="clear" w:color="auto" w:fill="CCEEFF"/>
          </w:tcPr>
          <w:p>
            <w:pPr>
              <w:jc w:val="right"/>
              <w:ind w:right="112"/>
              <w:spacing w:after="0" w:line="159" w:lineRule="exact"/>
              <w:rPr>
                <w:sz w:val="20"/>
                <w:szCs w:val="20"/>
                <w:color w:val="auto"/>
              </w:rPr>
            </w:pPr>
            <w:r>
              <w:rPr>
                <w:rFonts w:ascii="Arial" w:cs="Arial" w:eastAsia="Arial" w:hAnsi="Arial"/>
                <w:sz w:val="14"/>
                <w:szCs w:val="14"/>
                <w:color w:val="auto"/>
              </w:rPr>
              <w:t>2,957,576</w:t>
            </w:r>
          </w:p>
        </w:tc>
        <w:tc>
          <w:tcPr>
            <w:tcW w:w="8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2,980,684</w:t>
            </w:r>
          </w:p>
        </w:tc>
      </w:tr>
      <w:tr>
        <w:trPr>
          <w:trHeight w:val="149"/>
        </w:trPr>
        <w:tc>
          <w:tcPr>
            <w:tcW w:w="4180" w:type="dxa"/>
            <w:vAlign w:val="bottom"/>
          </w:tcPr>
          <w:p>
            <w:pPr>
              <w:spacing w:after="0" w:line="149" w:lineRule="exact"/>
              <w:rPr>
                <w:sz w:val="20"/>
                <w:szCs w:val="20"/>
                <w:color w:val="auto"/>
              </w:rPr>
            </w:pPr>
            <w:r>
              <w:rPr>
                <w:rFonts w:ascii="Arial" w:cs="Arial" w:eastAsia="Arial" w:hAnsi="Arial"/>
                <w:sz w:val="14"/>
                <w:szCs w:val="14"/>
                <w:color w:val="auto"/>
              </w:rPr>
              <w:t>Delos Finance SARL</w:t>
            </w:r>
          </w:p>
        </w:tc>
        <w:tc>
          <w:tcPr>
            <w:tcW w:w="1980" w:type="dxa"/>
            <w:vAlign w:val="bottom"/>
          </w:tcPr>
          <w:p>
            <w:pPr>
              <w:ind w:left="340"/>
              <w:spacing w:after="0" w:line="149" w:lineRule="exact"/>
              <w:rPr>
                <w:sz w:val="20"/>
                <w:szCs w:val="20"/>
                <w:color w:val="auto"/>
              </w:rPr>
            </w:pPr>
            <w:r>
              <w:rPr>
                <w:rFonts w:ascii="Arial" w:cs="Arial" w:eastAsia="Arial" w:hAnsi="Arial"/>
                <w:sz w:val="14"/>
                <w:szCs w:val="14"/>
                <w:color w:val="auto"/>
              </w:rPr>
              <w:t>Financial Intermediaries</w:t>
            </w:r>
          </w:p>
        </w:tc>
        <w:tc>
          <w:tcPr>
            <w:tcW w:w="820" w:type="dxa"/>
            <w:vAlign w:val="bottom"/>
          </w:tcPr>
          <w:p>
            <w:pPr>
              <w:ind w:left="60"/>
              <w:spacing w:after="0" w:line="149" w:lineRule="exact"/>
              <w:rPr>
                <w:sz w:val="20"/>
                <w:szCs w:val="20"/>
                <w:color w:val="auto"/>
              </w:rPr>
            </w:pPr>
            <w:r>
              <w:rPr>
                <w:rFonts w:ascii="Arial" w:cs="Arial" w:eastAsia="Arial" w:hAnsi="Arial"/>
                <w:sz w:val="14"/>
                <w:szCs w:val="14"/>
                <w:color w:val="auto"/>
              </w:rPr>
              <w:t>Term Loan</w:t>
            </w:r>
          </w:p>
        </w:tc>
        <w:tc>
          <w:tcPr>
            <w:tcW w:w="480" w:type="dxa"/>
            <w:vAlign w:val="bottom"/>
          </w:tcPr>
          <w:p>
            <w:pPr>
              <w:ind w:left="60"/>
              <w:spacing w:after="0" w:line="149" w:lineRule="exact"/>
              <w:rPr>
                <w:sz w:val="20"/>
                <w:szCs w:val="20"/>
                <w:color w:val="auto"/>
              </w:rPr>
            </w:pPr>
            <w:r>
              <w:rPr>
                <w:rFonts w:ascii="Arial" w:cs="Arial" w:eastAsia="Arial" w:hAnsi="Arial"/>
                <w:sz w:val="14"/>
                <w:szCs w:val="14"/>
                <w:color w:val="auto"/>
              </w:rPr>
              <w:t>Loan</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3.50%</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3/6/2021</w:t>
            </w:r>
          </w:p>
        </w:tc>
        <w:tc>
          <w:tcPr>
            <w:tcW w:w="1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500,000</w:t>
            </w:r>
          </w:p>
        </w:tc>
        <w:tc>
          <w:tcPr>
            <w:tcW w:w="90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497,835</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499,790</w:t>
            </w:r>
          </w:p>
        </w:tc>
      </w:tr>
      <w:tr>
        <w:trPr>
          <w:trHeight w:val="138"/>
        </w:trPr>
        <w:tc>
          <w:tcPr>
            <w:tcW w:w="418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Delta 2 (Lux) S.a.r.l.</w:t>
            </w:r>
          </w:p>
        </w:tc>
        <w:tc>
          <w:tcPr>
            <w:tcW w:w="1980" w:type="dxa"/>
            <w:vAlign w:val="bottom"/>
            <w:shd w:val="clear" w:color="auto" w:fill="CCEEFF"/>
          </w:tcPr>
          <w:p>
            <w:pPr>
              <w:ind w:left="340"/>
              <w:spacing w:after="0" w:line="138" w:lineRule="exact"/>
              <w:rPr>
                <w:sz w:val="20"/>
                <w:szCs w:val="20"/>
                <w:color w:val="auto"/>
              </w:rPr>
            </w:pPr>
            <w:r>
              <w:rPr>
                <w:rFonts w:ascii="Arial" w:cs="Arial" w:eastAsia="Arial" w:hAnsi="Arial"/>
                <w:sz w:val="14"/>
                <w:szCs w:val="14"/>
                <w:color w:val="auto"/>
              </w:rPr>
              <w:t>Lodging &amp; Casinos</w:t>
            </w:r>
          </w:p>
        </w:tc>
        <w:tc>
          <w:tcPr>
            <w:tcW w:w="820" w:type="dxa"/>
            <w:vAlign w:val="bottom"/>
            <w:shd w:val="clear" w:color="auto" w:fill="CCEEFF"/>
          </w:tcPr>
          <w:p>
            <w:pPr>
              <w:ind w:left="60"/>
              <w:spacing w:after="0" w:line="138" w:lineRule="exact"/>
              <w:rPr>
                <w:sz w:val="20"/>
                <w:szCs w:val="20"/>
                <w:color w:val="auto"/>
              </w:rPr>
            </w:pPr>
            <w:r>
              <w:rPr>
                <w:rFonts w:ascii="Arial" w:cs="Arial" w:eastAsia="Arial" w:hAnsi="Arial"/>
                <w:sz w:val="14"/>
                <w:szCs w:val="14"/>
                <w:color w:val="auto"/>
              </w:rPr>
              <w:t>Term Loan</w:t>
            </w:r>
          </w:p>
        </w:tc>
        <w:tc>
          <w:tcPr>
            <w:tcW w:w="480" w:type="dxa"/>
            <w:vAlign w:val="bottom"/>
            <w:shd w:val="clear" w:color="auto" w:fill="CCEEFF"/>
          </w:tcPr>
          <w:p>
            <w:pPr>
              <w:ind w:left="60"/>
              <w:spacing w:after="0" w:line="138" w:lineRule="exact"/>
              <w:rPr>
                <w:sz w:val="20"/>
                <w:szCs w:val="20"/>
                <w:color w:val="auto"/>
              </w:rPr>
            </w:pPr>
            <w:r>
              <w:rPr>
                <w:rFonts w:ascii="Arial" w:cs="Arial" w:eastAsia="Arial" w:hAnsi="Arial"/>
                <w:sz w:val="14"/>
                <w:szCs w:val="14"/>
                <w:color w:val="auto"/>
              </w:rPr>
              <w:t>Loan</w:t>
            </w:r>
          </w:p>
        </w:tc>
        <w:tc>
          <w:tcPr>
            <w:tcW w:w="7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r>
      <w:tr>
        <w:trPr>
          <w:trHeight w:val="159"/>
        </w:trPr>
        <w:tc>
          <w:tcPr>
            <w:tcW w:w="4180" w:type="dxa"/>
            <w:vAlign w:val="bottom"/>
            <w:shd w:val="clear" w:color="auto" w:fill="CCEEFF"/>
          </w:tcPr>
          <w:p>
            <w:pPr>
              <w:spacing w:after="0"/>
              <w:rPr>
                <w:sz w:val="13"/>
                <w:szCs w:val="13"/>
                <w:color w:val="auto"/>
              </w:rPr>
            </w:pPr>
          </w:p>
        </w:tc>
        <w:tc>
          <w:tcPr>
            <w:tcW w:w="1980" w:type="dxa"/>
            <w:vAlign w:val="bottom"/>
            <w:shd w:val="clear" w:color="auto" w:fill="CCEEFF"/>
          </w:tcPr>
          <w:p>
            <w:pPr>
              <w:spacing w:after="0"/>
              <w:rPr>
                <w:sz w:val="13"/>
                <w:szCs w:val="13"/>
                <w:color w:val="auto"/>
              </w:rPr>
            </w:pPr>
          </w:p>
        </w:tc>
        <w:tc>
          <w:tcPr>
            <w:tcW w:w="820" w:type="dxa"/>
            <w:vAlign w:val="bottom"/>
            <w:shd w:val="clear" w:color="auto" w:fill="CCEEFF"/>
          </w:tcPr>
          <w:p>
            <w:pPr>
              <w:ind w:left="60"/>
              <w:spacing w:after="0" w:line="159" w:lineRule="exact"/>
              <w:rPr>
                <w:sz w:val="20"/>
                <w:szCs w:val="20"/>
                <w:color w:val="auto"/>
              </w:rPr>
            </w:pPr>
            <w:r>
              <w:rPr>
                <w:rFonts w:ascii="Arial" w:cs="Arial" w:eastAsia="Arial" w:hAnsi="Arial"/>
                <w:sz w:val="14"/>
                <w:szCs w:val="14"/>
                <w:color w:val="auto"/>
              </w:rPr>
              <w:t>B-3</w:t>
            </w:r>
          </w:p>
        </w:tc>
        <w:tc>
          <w:tcPr>
            <w:tcW w:w="48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4.75%</w:t>
            </w:r>
          </w:p>
        </w:tc>
        <w:tc>
          <w:tcPr>
            <w:tcW w:w="7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7/30/2021</w:t>
            </w:r>
          </w:p>
        </w:tc>
        <w:tc>
          <w:tcPr>
            <w:tcW w:w="1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112"/>
              <w:spacing w:after="0" w:line="159" w:lineRule="exact"/>
              <w:rPr>
                <w:sz w:val="20"/>
                <w:szCs w:val="20"/>
                <w:color w:val="auto"/>
              </w:rPr>
            </w:pPr>
            <w:r>
              <w:rPr>
                <w:rFonts w:ascii="Arial" w:cs="Arial" w:eastAsia="Arial" w:hAnsi="Arial"/>
                <w:sz w:val="14"/>
                <w:szCs w:val="14"/>
                <w:color w:val="auto"/>
                <w:w w:val="83"/>
              </w:rPr>
              <w:t>1,000,000</w:t>
            </w:r>
          </w:p>
        </w:tc>
        <w:tc>
          <w:tcPr>
            <w:tcW w:w="900" w:type="dxa"/>
            <w:vAlign w:val="bottom"/>
            <w:shd w:val="clear" w:color="auto" w:fill="CCEEFF"/>
          </w:tcPr>
          <w:p>
            <w:pPr>
              <w:jc w:val="right"/>
              <w:ind w:right="112"/>
              <w:spacing w:after="0" w:line="159" w:lineRule="exact"/>
              <w:rPr>
                <w:sz w:val="20"/>
                <w:szCs w:val="20"/>
                <w:color w:val="auto"/>
              </w:rPr>
            </w:pPr>
            <w:r>
              <w:rPr>
                <w:rFonts w:ascii="Arial" w:cs="Arial" w:eastAsia="Arial" w:hAnsi="Arial"/>
                <w:sz w:val="14"/>
                <w:szCs w:val="14"/>
                <w:color w:val="auto"/>
              </w:rPr>
              <w:t>995,314</w:t>
            </w:r>
          </w:p>
        </w:tc>
        <w:tc>
          <w:tcPr>
            <w:tcW w:w="8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995,630</w:t>
            </w:r>
          </w:p>
        </w:tc>
      </w:tr>
      <w:tr>
        <w:trPr>
          <w:trHeight w:val="138"/>
        </w:trPr>
        <w:tc>
          <w:tcPr>
            <w:tcW w:w="4180" w:type="dxa"/>
            <w:vAlign w:val="bottom"/>
          </w:tcPr>
          <w:p>
            <w:pPr>
              <w:spacing w:after="0" w:line="138" w:lineRule="exact"/>
              <w:rPr>
                <w:sz w:val="20"/>
                <w:szCs w:val="20"/>
                <w:color w:val="auto"/>
              </w:rPr>
            </w:pPr>
            <w:r>
              <w:rPr>
                <w:rFonts w:ascii="Arial" w:cs="Arial" w:eastAsia="Arial" w:hAnsi="Arial"/>
                <w:sz w:val="14"/>
                <w:szCs w:val="14"/>
                <w:color w:val="auto"/>
              </w:rPr>
              <w:t>Deluxe Entertainment Service Group, Inc.</w:t>
            </w:r>
          </w:p>
        </w:tc>
        <w:tc>
          <w:tcPr>
            <w:tcW w:w="1980" w:type="dxa"/>
            <w:vAlign w:val="bottom"/>
          </w:tcPr>
          <w:p>
            <w:pPr>
              <w:ind w:left="340"/>
              <w:spacing w:after="0" w:line="138" w:lineRule="exact"/>
              <w:rPr>
                <w:sz w:val="20"/>
                <w:szCs w:val="20"/>
                <w:color w:val="auto"/>
              </w:rPr>
            </w:pPr>
            <w:r>
              <w:rPr>
                <w:rFonts w:ascii="Arial" w:cs="Arial" w:eastAsia="Arial" w:hAnsi="Arial"/>
                <w:sz w:val="14"/>
                <w:szCs w:val="14"/>
                <w:color w:val="auto"/>
              </w:rPr>
              <w:t>Leisure</w:t>
            </w:r>
          </w:p>
        </w:tc>
        <w:tc>
          <w:tcPr>
            <w:tcW w:w="820" w:type="dxa"/>
            <w:vAlign w:val="bottom"/>
          </w:tcPr>
          <w:p>
            <w:pPr>
              <w:ind w:left="60"/>
              <w:spacing w:after="0" w:line="138" w:lineRule="exact"/>
              <w:rPr>
                <w:sz w:val="20"/>
                <w:szCs w:val="20"/>
                <w:color w:val="auto"/>
              </w:rPr>
            </w:pPr>
            <w:r>
              <w:rPr>
                <w:rFonts w:ascii="Arial" w:cs="Arial" w:eastAsia="Arial" w:hAnsi="Arial"/>
                <w:sz w:val="14"/>
                <w:szCs w:val="14"/>
                <w:color w:val="auto"/>
              </w:rPr>
              <w:t>Term Loan</w:t>
            </w:r>
          </w:p>
        </w:tc>
        <w:tc>
          <w:tcPr>
            <w:tcW w:w="480" w:type="dxa"/>
            <w:vAlign w:val="bottom"/>
          </w:tcPr>
          <w:p>
            <w:pPr>
              <w:ind w:left="60"/>
              <w:spacing w:after="0" w:line="138" w:lineRule="exact"/>
              <w:rPr>
                <w:sz w:val="20"/>
                <w:szCs w:val="20"/>
                <w:color w:val="auto"/>
              </w:rPr>
            </w:pPr>
            <w:r>
              <w:rPr>
                <w:rFonts w:ascii="Arial" w:cs="Arial" w:eastAsia="Arial" w:hAnsi="Arial"/>
                <w:sz w:val="14"/>
                <w:szCs w:val="14"/>
                <w:color w:val="auto"/>
              </w:rPr>
              <w:t>Loan</w:t>
            </w: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59"/>
        </w:trPr>
        <w:tc>
          <w:tcPr>
            <w:tcW w:w="4180" w:type="dxa"/>
            <w:vAlign w:val="bottom"/>
          </w:tcPr>
          <w:p>
            <w:pPr>
              <w:spacing w:after="0"/>
              <w:rPr>
                <w:sz w:val="13"/>
                <w:szCs w:val="13"/>
                <w:color w:val="auto"/>
              </w:rPr>
            </w:pPr>
          </w:p>
        </w:tc>
        <w:tc>
          <w:tcPr>
            <w:tcW w:w="1980" w:type="dxa"/>
            <w:vAlign w:val="bottom"/>
          </w:tcPr>
          <w:p>
            <w:pPr>
              <w:ind w:left="340"/>
              <w:spacing w:after="0" w:line="159" w:lineRule="exact"/>
              <w:rPr>
                <w:sz w:val="20"/>
                <w:szCs w:val="20"/>
                <w:color w:val="auto"/>
              </w:rPr>
            </w:pPr>
            <w:r>
              <w:rPr>
                <w:rFonts w:ascii="Arial" w:cs="Arial" w:eastAsia="Arial" w:hAnsi="Arial"/>
                <w:sz w:val="14"/>
                <w:szCs w:val="14"/>
                <w:color w:val="auto"/>
              </w:rPr>
              <w:t>Goods/Activities/Movies</w:t>
            </w:r>
          </w:p>
        </w:tc>
        <w:tc>
          <w:tcPr>
            <w:tcW w:w="820" w:type="dxa"/>
            <w:vAlign w:val="bottom"/>
          </w:tcPr>
          <w:p>
            <w:pPr>
              <w:ind w:left="60"/>
              <w:spacing w:after="0" w:line="159" w:lineRule="exact"/>
              <w:rPr>
                <w:sz w:val="20"/>
                <w:szCs w:val="20"/>
                <w:color w:val="auto"/>
              </w:rPr>
            </w:pPr>
            <w:r>
              <w:rPr>
                <w:rFonts w:ascii="Arial" w:cs="Arial" w:eastAsia="Arial" w:hAnsi="Arial"/>
                <w:sz w:val="14"/>
                <w:szCs w:val="14"/>
                <w:color w:val="auto"/>
              </w:rPr>
              <w:t>(First Lien)</w:t>
            </w:r>
          </w:p>
        </w:tc>
        <w:tc>
          <w:tcPr>
            <w:tcW w:w="480" w:type="dxa"/>
            <w:vAlign w:val="bottom"/>
          </w:tcPr>
          <w:p>
            <w:pPr>
              <w:spacing w:after="0"/>
              <w:rPr>
                <w:sz w:val="13"/>
                <w:szCs w:val="13"/>
                <w:color w:val="auto"/>
              </w:rPr>
            </w:pPr>
          </w:p>
        </w:tc>
        <w:tc>
          <w:tcPr>
            <w:tcW w:w="720" w:type="dxa"/>
            <w:vAlign w:val="bottom"/>
          </w:tcPr>
          <w:p>
            <w:pPr>
              <w:jc w:val="right"/>
              <w:spacing w:after="0" w:line="159" w:lineRule="exact"/>
              <w:rPr>
                <w:sz w:val="20"/>
                <w:szCs w:val="20"/>
                <w:color w:val="auto"/>
              </w:rPr>
            </w:pPr>
            <w:r>
              <w:rPr>
                <w:rFonts w:ascii="Arial" w:cs="Arial" w:eastAsia="Arial" w:hAnsi="Arial"/>
                <w:sz w:val="14"/>
                <w:szCs w:val="14"/>
                <w:color w:val="auto"/>
              </w:rPr>
              <w:t>6.50%</w:t>
            </w:r>
          </w:p>
        </w:tc>
        <w:tc>
          <w:tcPr>
            <w:tcW w:w="700" w:type="dxa"/>
            <w:vAlign w:val="bottom"/>
          </w:tcPr>
          <w:p>
            <w:pPr>
              <w:jc w:val="right"/>
              <w:spacing w:after="0" w:line="159" w:lineRule="exact"/>
              <w:rPr>
                <w:sz w:val="20"/>
                <w:szCs w:val="20"/>
                <w:color w:val="auto"/>
              </w:rPr>
            </w:pPr>
            <w:r>
              <w:rPr>
                <w:rFonts w:ascii="Arial" w:cs="Arial" w:eastAsia="Arial" w:hAnsi="Arial"/>
                <w:sz w:val="14"/>
                <w:szCs w:val="14"/>
                <w:color w:val="auto"/>
              </w:rPr>
              <w:t>2/28/2020</w:t>
            </w:r>
          </w:p>
        </w:tc>
        <w:tc>
          <w:tcPr>
            <w:tcW w:w="12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112"/>
              <w:spacing w:after="0" w:line="159" w:lineRule="exact"/>
              <w:rPr>
                <w:sz w:val="20"/>
                <w:szCs w:val="20"/>
                <w:color w:val="auto"/>
              </w:rPr>
            </w:pPr>
            <w:r>
              <w:rPr>
                <w:rFonts w:ascii="Arial" w:cs="Arial" w:eastAsia="Arial" w:hAnsi="Arial"/>
                <w:sz w:val="14"/>
                <w:szCs w:val="14"/>
                <w:color w:val="auto"/>
                <w:w w:val="83"/>
              </w:rPr>
              <w:t>1,882,983</w:t>
            </w:r>
          </w:p>
        </w:tc>
        <w:tc>
          <w:tcPr>
            <w:tcW w:w="900" w:type="dxa"/>
            <w:vAlign w:val="bottom"/>
          </w:tcPr>
          <w:p>
            <w:pPr>
              <w:jc w:val="right"/>
              <w:ind w:right="112"/>
              <w:spacing w:after="0" w:line="159" w:lineRule="exact"/>
              <w:rPr>
                <w:sz w:val="20"/>
                <w:szCs w:val="20"/>
                <w:color w:val="auto"/>
              </w:rPr>
            </w:pPr>
            <w:r>
              <w:rPr>
                <w:rFonts w:ascii="Arial" w:cs="Arial" w:eastAsia="Arial" w:hAnsi="Arial"/>
                <w:sz w:val="14"/>
                <w:szCs w:val="14"/>
                <w:color w:val="auto"/>
              </w:rPr>
              <w:t>1,884,624</w:t>
            </w:r>
          </w:p>
        </w:tc>
        <w:tc>
          <w:tcPr>
            <w:tcW w:w="800" w:type="dxa"/>
            <w:vAlign w:val="bottom"/>
          </w:tcPr>
          <w:p>
            <w:pPr>
              <w:jc w:val="right"/>
              <w:spacing w:after="0" w:line="159" w:lineRule="exact"/>
              <w:rPr>
                <w:sz w:val="20"/>
                <w:szCs w:val="20"/>
                <w:color w:val="auto"/>
              </w:rPr>
            </w:pPr>
            <w:r>
              <w:rPr>
                <w:rFonts w:ascii="Arial" w:cs="Arial" w:eastAsia="Arial" w:hAnsi="Arial"/>
                <w:sz w:val="14"/>
                <w:szCs w:val="14"/>
                <w:color w:val="auto"/>
              </w:rPr>
              <w:t>1,835,908</w:t>
            </w:r>
          </w:p>
        </w:tc>
      </w:tr>
      <w:tr>
        <w:trPr>
          <w:trHeight w:val="149"/>
        </w:trPr>
        <w:tc>
          <w:tcPr>
            <w:tcW w:w="4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Devix US, Inc.</w:t>
            </w:r>
          </w:p>
        </w:tc>
        <w:tc>
          <w:tcPr>
            <w:tcW w:w="198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color w:val="auto"/>
              </w:rPr>
              <w:t>Chemicals/Plastics</w:t>
            </w:r>
          </w:p>
        </w:tc>
        <w:tc>
          <w:tcPr>
            <w:tcW w:w="82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Term Loan</w:t>
            </w:r>
          </w:p>
        </w:tc>
        <w:tc>
          <w:tcPr>
            <w:tcW w:w="48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Loan</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4.25%</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5/2/2021</w:t>
            </w: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250,000</w:t>
            </w:r>
          </w:p>
        </w:tc>
        <w:tc>
          <w:tcPr>
            <w:tcW w:w="90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247,710</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250,938</w:t>
            </w:r>
          </w:p>
        </w:tc>
      </w:tr>
      <w:tr>
        <w:trPr>
          <w:trHeight w:val="138"/>
        </w:trPr>
        <w:tc>
          <w:tcPr>
            <w:tcW w:w="4180" w:type="dxa"/>
            <w:vAlign w:val="bottom"/>
          </w:tcPr>
          <w:p>
            <w:pPr>
              <w:spacing w:after="0" w:line="138" w:lineRule="exact"/>
              <w:rPr>
                <w:sz w:val="20"/>
                <w:szCs w:val="20"/>
                <w:color w:val="auto"/>
              </w:rPr>
            </w:pPr>
            <w:r>
              <w:rPr>
                <w:rFonts w:ascii="Arial" w:cs="Arial" w:eastAsia="Arial" w:hAnsi="Arial"/>
                <w:sz w:val="14"/>
                <w:szCs w:val="14"/>
                <w:color w:val="auto"/>
              </w:rPr>
              <w:t>Devix US, Inc.</w:t>
            </w:r>
          </w:p>
        </w:tc>
        <w:tc>
          <w:tcPr>
            <w:tcW w:w="1980" w:type="dxa"/>
            <w:vAlign w:val="bottom"/>
          </w:tcPr>
          <w:p>
            <w:pPr>
              <w:ind w:left="340"/>
              <w:spacing w:after="0" w:line="138" w:lineRule="exact"/>
              <w:rPr>
                <w:sz w:val="20"/>
                <w:szCs w:val="20"/>
                <w:color w:val="auto"/>
              </w:rPr>
            </w:pPr>
            <w:r>
              <w:rPr>
                <w:rFonts w:ascii="Arial" w:cs="Arial" w:eastAsia="Arial" w:hAnsi="Arial"/>
                <w:sz w:val="14"/>
                <w:szCs w:val="14"/>
                <w:color w:val="auto"/>
              </w:rPr>
              <w:t>Chemicals/Plastics</w:t>
            </w:r>
          </w:p>
        </w:tc>
        <w:tc>
          <w:tcPr>
            <w:tcW w:w="820" w:type="dxa"/>
            <w:vAlign w:val="bottom"/>
          </w:tcPr>
          <w:p>
            <w:pPr>
              <w:ind w:left="60"/>
              <w:spacing w:after="0" w:line="138" w:lineRule="exact"/>
              <w:rPr>
                <w:sz w:val="20"/>
                <w:szCs w:val="20"/>
                <w:color w:val="auto"/>
              </w:rPr>
            </w:pPr>
            <w:r>
              <w:rPr>
                <w:rFonts w:ascii="Arial" w:cs="Arial" w:eastAsia="Arial" w:hAnsi="Arial"/>
                <w:sz w:val="14"/>
                <w:szCs w:val="14"/>
                <w:color w:val="auto"/>
              </w:rPr>
              <w:t>Term Loan</w:t>
            </w:r>
          </w:p>
        </w:tc>
        <w:tc>
          <w:tcPr>
            <w:tcW w:w="480" w:type="dxa"/>
            <w:vAlign w:val="bottom"/>
          </w:tcPr>
          <w:p>
            <w:pPr>
              <w:ind w:left="60"/>
              <w:spacing w:after="0" w:line="138" w:lineRule="exact"/>
              <w:rPr>
                <w:sz w:val="20"/>
                <w:szCs w:val="20"/>
                <w:color w:val="auto"/>
              </w:rPr>
            </w:pPr>
            <w:r>
              <w:rPr>
                <w:rFonts w:ascii="Arial" w:cs="Arial" w:eastAsia="Arial" w:hAnsi="Arial"/>
                <w:sz w:val="14"/>
                <w:szCs w:val="14"/>
                <w:color w:val="auto"/>
              </w:rPr>
              <w:t>Loan</w:t>
            </w: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49"/>
        </w:trPr>
        <w:tc>
          <w:tcPr>
            <w:tcW w:w="418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820" w:type="dxa"/>
            <w:vAlign w:val="bottom"/>
          </w:tcPr>
          <w:p>
            <w:pPr>
              <w:ind w:left="60"/>
              <w:spacing w:after="0" w:line="149" w:lineRule="exact"/>
              <w:rPr>
                <w:sz w:val="20"/>
                <w:szCs w:val="20"/>
                <w:color w:val="auto"/>
              </w:rPr>
            </w:pPr>
            <w:r>
              <w:rPr>
                <w:rFonts w:ascii="Arial" w:cs="Arial" w:eastAsia="Arial" w:hAnsi="Arial"/>
                <w:sz w:val="14"/>
                <w:szCs w:val="14"/>
                <w:color w:val="auto"/>
              </w:rPr>
              <w:t>(Second</w:t>
            </w:r>
          </w:p>
        </w:tc>
        <w:tc>
          <w:tcPr>
            <w:tcW w:w="4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59"/>
        </w:trPr>
        <w:tc>
          <w:tcPr>
            <w:tcW w:w="418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820" w:type="dxa"/>
            <w:vAlign w:val="bottom"/>
          </w:tcPr>
          <w:p>
            <w:pPr>
              <w:ind w:left="60"/>
              <w:spacing w:after="0" w:line="159" w:lineRule="exact"/>
              <w:rPr>
                <w:sz w:val="20"/>
                <w:szCs w:val="20"/>
                <w:color w:val="auto"/>
              </w:rPr>
            </w:pPr>
            <w:r>
              <w:rPr>
                <w:rFonts w:ascii="Arial" w:cs="Arial" w:eastAsia="Arial" w:hAnsi="Arial"/>
                <w:sz w:val="14"/>
                <w:szCs w:val="14"/>
                <w:color w:val="auto"/>
              </w:rPr>
              <w:t>Lien)</w:t>
            </w:r>
          </w:p>
        </w:tc>
        <w:tc>
          <w:tcPr>
            <w:tcW w:w="480" w:type="dxa"/>
            <w:vAlign w:val="bottom"/>
          </w:tcPr>
          <w:p>
            <w:pPr>
              <w:spacing w:after="0"/>
              <w:rPr>
                <w:sz w:val="13"/>
                <w:szCs w:val="13"/>
                <w:color w:val="auto"/>
              </w:rPr>
            </w:pPr>
          </w:p>
        </w:tc>
        <w:tc>
          <w:tcPr>
            <w:tcW w:w="720" w:type="dxa"/>
            <w:vAlign w:val="bottom"/>
          </w:tcPr>
          <w:p>
            <w:pPr>
              <w:jc w:val="right"/>
              <w:spacing w:after="0" w:line="159" w:lineRule="exact"/>
              <w:rPr>
                <w:sz w:val="20"/>
                <w:szCs w:val="20"/>
                <w:color w:val="auto"/>
              </w:rPr>
            </w:pPr>
            <w:r>
              <w:rPr>
                <w:rFonts w:ascii="Arial" w:cs="Arial" w:eastAsia="Arial" w:hAnsi="Arial"/>
                <w:sz w:val="14"/>
                <w:szCs w:val="14"/>
                <w:color w:val="auto"/>
              </w:rPr>
              <w:t>8.00%</w:t>
            </w:r>
          </w:p>
        </w:tc>
        <w:tc>
          <w:tcPr>
            <w:tcW w:w="700" w:type="dxa"/>
            <w:vAlign w:val="bottom"/>
          </w:tcPr>
          <w:p>
            <w:pPr>
              <w:jc w:val="right"/>
              <w:spacing w:after="0" w:line="159" w:lineRule="exact"/>
              <w:rPr>
                <w:sz w:val="20"/>
                <w:szCs w:val="20"/>
                <w:color w:val="auto"/>
              </w:rPr>
            </w:pPr>
            <w:r>
              <w:rPr>
                <w:rFonts w:ascii="Arial" w:cs="Arial" w:eastAsia="Arial" w:hAnsi="Arial"/>
                <w:sz w:val="14"/>
                <w:szCs w:val="14"/>
                <w:color w:val="auto"/>
              </w:rPr>
              <w:t>5/2/2022</w:t>
            </w:r>
          </w:p>
        </w:tc>
        <w:tc>
          <w:tcPr>
            <w:tcW w:w="12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112"/>
              <w:spacing w:after="0" w:line="159" w:lineRule="exact"/>
              <w:rPr>
                <w:sz w:val="20"/>
                <w:szCs w:val="20"/>
                <w:color w:val="auto"/>
              </w:rPr>
            </w:pPr>
            <w:r>
              <w:rPr>
                <w:rFonts w:ascii="Arial" w:cs="Arial" w:eastAsia="Arial" w:hAnsi="Arial"/>
                <w:sz w:val="14"/>
                <w:szCs w:val="14"/>
                <w:color w:val="auto"/>
              </w:rPr>
              <w:t>497,500</w:t>
            </w:r>
          </w:p>
        </w:tc>
        <w:tc>
          <w:tcPr>
            <w:tcW w:w="900" w:type="dxa"/>
            <w:vAlign w:val="bottom"/>
          </w:tcPr>
          <w:p>
            <w:pPr>
              <w:jc w:val="right"/>
              <w:ind w:right="112"/>
              <w:spacing w:after="0" w:line="159" w:lineRule="exact"/>
              <w:rPr>
                <w:sz w:val="20"/>
                <w:szCs w:val="20"/>
                <w:color w:val="auto"/>
              </w:rPr>
            </w:pPr>
            <w:r>
              <w:rPr>
                <w:rFonts w:ascii="Arial" w:cs="Arial" w:eastAsia="Arial" w:hAnsi="Arial"/>
                <w:sz w:val="14"/>
                <w:szCs w:val="14"/>
                <w:color w:val="auto"/>
              </w:rPr>
              <w:t>495,324</w:t>
            </w:r>
          </w:p>
        </w:tc>
        <w:tc>
          <w:tcPr>
            <w:tcW w:w="800" w:type="dxa"/>
            <w:vAlign w:val="bottom"/>
          </w:tcPr>
          <w:p>
            <w:pPr>
              <w:jc w:val="right"/>
              <w:spacing w:after="0" w:line="159" w:lineRule="exact"/>
              <w:rPr>
                <w:sz w:val="20"/>
                <w:szCs w:val="20"/>
                <w:color w:val="auto"/>
              </w:rPr>
            </w:pPr>
            <w:r>
              <w:rPr>
                <w:rFonts w:ascii="Arial" w:cs="Arial" w:eastAsia="Arial" w:hAnsi="Arial"/>
                <w:sz w:val="14"/>
                <w:szCs w:val="14"/>
                <w:color w:val="auto"/>
              </w:rPr>
              <w:t>497,500</w:t>
            </w:r>
          </w:p>
        </w:tc>
      </w:tr>
      <w:tr>
        <w:trPr>
          <w:trHeight w:val="149"/>
        </w:trPr>
        <w:tc>
          <w:tcPr>
            <w:tcW w:w="4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Diamond Resorts International</w:t>
            </w:r>
          </w:p>
        </w:tc>
        <w:tc>
          <w:tcPr>
            <w:tcW w:w="198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color w:val="auto"/>
              </w:rPr>
              <w:t>Lodging &amp; Casinos</w:t>
            </w:r>
          </w:p>
        </w:tc>
        <w:tc>
          <w:tcPr>
            <w:tcW w:w="82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Term Loan</w:t>
            </w:r>
          </w:p>
        </w:tc>
        <w:tc>
          <w:tcPr>
            <w:tcW w:w="48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Loan</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5.50%</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5/9/2021</w:t>
            </w: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995,000</w:t>
            </w:r>
          </w:p>
        </w:tc>
        <w:tc>
          <w:tcPr>
            <w:tcW w:w="90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990,370</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999,975</w:t>
            </w:r>
          </w:p>
        </w:tc>
      </w:tr>
      <w:tr>
        <w:trPr>
          <w:trHeight w:val="138"/>
        </w:trPr>
        <w:tc>
          <w:tcPr>
            <w:tcW w:w="4180" w:type="dxa"/>
            <w:vAlign w:val="bottom"/>
          </w:tcPr>
          <w:p>
            <w:pPr>
              <w:spacing w:after="0" w:line="138" w:lineRule="exact"/>
              <w:rPr>
                <w:sz w:val="20"/>
                <w:szCs w:val="20"/>
                <w:color w:val="auto"/>
              </w:rPr>
            </w:pPr>
            <w:r>
              <w:rPr>
                <w:rFonts w:ascii="Arial" w:cs="Arial" w:eastAsia="Arial" w:hAnsi="Arial"/>
                <w:sz w:val="14"/>
                <w:szCs w:val="14"/>
                <w:color w:val="auto"/>
              </w:rPr>
              <w:t>Dollar Tree</w:t>
            </w:r>
          </w:p>
        </w:tc>
        <w:tc>
          <w:tcPr>
            <w:tcW w:w="1980" w:type="dxa"/>
            <w:vAlign w:val="bottom"/>
          </w:tcPr>
          <w:p>
            <w:pPr>
              <w:ind w:left="340"/>
              <w:spacing w:after="0" w:line="138" w:lineRule="exact"/>
              <w:rPr>
                <w:sz w:val="20"/>
                <w:szCs w:val="20"/>
                <w:color w:val="auto"/>
              </w:rPr>
            </w:pPr>
            <w:r>
              <w:rPr>
                <w:rFonts w:ascii="Arial" w:cs="Arial" w:eastAsia="Arial" w:hAnsi="Arial"/>
                <w:sz w:val="14"/>
                <w:szCs w:val="14"/>
                <w:color w:val="auto"/>
              </w:rPr>
              <w:t>Retail</w:t>
            </w:r>
          </w:p>
        </w:tc>
        <w:tc>
          <w:tcPr>
            <w:tcW w:w="820" w:type="dxa"/>
            <w:vAlign w:val="bottom"/>
          </w:tcPr>
          <w:p>
            <w:pPr>
              <w:ind w:left="60"/>
              <w:spacing w:after="0" w:line="138" w:lineRule="exact"/>
              <w:rPr>
                <w:sz w:val="20"/>
                <w:szCs w:val="20"/>
                <w:color w:val="auto"/>
              </w:rPr>
            </w:pPr>
            <w:r>
              <w:rPr>
                <w:rFonts w:ascii="Arial" w:cs="Arial" w:eastAsia="Arial" w:hAnsi="Arial"/>
                <w:sz w:val="14"/>
                <w:szCs w:val="14"/>
                <w:color w:val="auto"/>
              </w:rPr>
              <w:t>Term Loan</w:t>
            </w:r>
          </w:p>
        </w:tc>
        <w:tc>
          <w:tcPr>
            <w:tcW w:w="480" w:type="dxa"/>
            <w:vAlign w:val="bottom"/>
          </w:tcPr>
          <w:p>
            <w:pPr>
              <w:ind w:left="60"/>
              <w:spacing w:after="0" w:line="138" w:lineRule="exact"/>
              <w:rPr>
                <w:sz w:val="20"/>
                <w:szCs w:val="20"/>
                <w:color w:val="auto"/>
              </w:rPr>
            </w:pPr>
            <w:r>
              <w:rPr>
                <w:rFonts w:ascii="Arial" w:cs="Arial" w:eastAsia="Arial" w:hAnsi="Arial"/>
                <w:sz w:val="14"/>
                <w:szCs w:val="14"/>
                <w:color w:val="auto"/>
              </w:rPr>
              <w:t>Loan</w:t>
            </w: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49"/>
        </w:trPr>
        <w:tc>
          <w:tcPr>
            <w:tcW w:w="418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820" w:type="dxa"/>
            <w:vAlign w:val="bottom"/>
          </w:tcPr>
          <w:p>
            <w:pPr>
              <w:ind w:left="60"/>
              <w:spacing w:after="0" w:line="149" w:lineRule="exact"/>
              <w:rPr>
                <w:sz w:val="20"/>
                <w:szCs w:val="20"/>
                <w:color w:val="auto"/>
              </w:rPr>
            </w:pPr>
            <w:r>
              <w:rPr>
                <w:rFonts w:ascii="Arial" w:cs="Arial" w:eastAsia="Arial" w:hAnsi="Arial"/>
                <w:sz w:val="14"/>
                <w:szCs w:val="14"/>
                <w:color w:val="auto"/>
              </w:rPr>
              <w:t>B</w:t>
            </w:r>
          </w:p>
        </w:tc>
        <w:tc>
          <w:tcPr>
            <w:tcW w:w="4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59"/>
        </w:trPr>
        <w:tc>
          <w:tcPr>
            <w:tcW w:w="418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820" w:type="dxa"/>
            <w:vAlign w:val="bottom"/>
          </w:tcPr>
          <w:p>
            <w:pPr>
              <w:ind w:left="60"/>
              <w:spacing w:after="0" w:line="159" w:lineRule="exact"/>
              <w:rPr>
                <w:sz w:val="20"/>
                <w:szCs w:val="20"/>
                <w:color w:val="auto"/>
              </w:rPr>
            </w:pPr>
            <w:r>
              <w:rPr>
                <w:rFonts w:ascii="Arial" w:cs="Arial" w:eastAsia="Arial" w:hAnsi="Arial"/>
                <w:sz w:val="14"/>
                <w:szCs w:val="14"/>
                <w:color w:val="auto"/>
              </w:rPr>
              <w:t>(3950MM)</w:t>
            </w:r>
          </w:p>
        </w:tc>
        <w:tc>
          <w:tcPr>
            <w:tcW w:w="480" w:type="dxa"/>
            <w:vAlign w:val="bottom"/>
          </w:tcPr>
          <w:p>
            <w:pPr>
              <w:spacing w:after="0"/>
              <w:rPr>
                <w:sz w:val="13"/>
                <w:szCs w:val="13"/>
                <w:color w:val="auto"/>
              </w:rPr>
            </w:pPr>
          </w:p>
        </w:tc>
        <w:tc>
          <w:tcPr>
            <w:tcW w:w="720" w:type="dxa"/>
            <w:vAlign w:val="bottom"/>
          </w:tcPr>
          <w:p>
            <w:pPr>
              <w:jc w:val="right"/>
              <w:spacing w:after="0" w:line="159" w:lineRule="exact"/>
              <w:rPr>
                <w:sz w:val="20"/>
                <w:szCs w:val="20"/>
                <w:color w:val="auto"/>
              </w:rPr>
            </w:pPr>
            <w:r>
              <w:rPr>
                <w:rFonts w:ascii="Arial" w:cs="Arial" w:eastAsia="Arial" w:hAnsi="Arial"/>
                <w:sz w:val="14"/>
                <w:szCs w:val="14"/>
                <w:color w:val="auto"/>
              </w:rPr>
              <w:t>4.25%</w:t>
            </w:r>
          </w:p>
        </w:tc>
        <w:tc>
          <w:tcPr>
            <w:tcW w:w="700" w:type="dxa"/>
            <w:vAlign w:val="bottom"/>
          </w:tcPr>
          <w:p>
            <w:pPr>
              <w:jc w:val="right"/>
              <w:spacing w:after="0" w:line="159" w:lineRule="exact"/>
              <w:rPr>
                <w:sz w:val="20"/>
                <w:szCs w:val="20"/>
                <w:color w:val="auto"/>
              </w:rPr>
            </w:pPr>
            <w:r>
              <w:rPr>
                <w:rFonts w:ascii="Arial" w:cs="Arial" w:eastAsia="Arial" w:hAnsi="Arial"/>
                <w:sz w:val="14"/>
                <w:szCs w:val="14"/>
                <w:color w:val="auto"/>
              </w:rPr>
              <w:t>3/9/2022</w:t>
            </w:r>
          </w:p>
        </w:tc>
        <w:tc>
          <w:tcPr>
            <w:tcW w:w="12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112"/>
              <w:spacing w:after="0" w:line="159" w:lineRule="exact"/>
              <w:rPr>
                <w:sz w:val="20"/>
                <w:szCs w:val="20"/>
                <w:color w:val="auto"/>
              </w:rPr>
            </w:pPr>
            <w:r>
              <w:rPr>
                <w:rFonts w:ascii="Arial" w:cs="Arial" w:eastAsia="Arial" w:hAnsi="Arial"/>
                <w:sz w:val="14"/>
                <w:szCs w:val="14"/>
                <w:color w:val="auto"/>
                <w:w w:val="83"/>
              </w:rPr>
              <w:t>1,000,000</w:t>
            </w:r>
          </w:p>
        </w:tc>
        <w:tc>
          <w:tcPr>
            <w:tcW w:w="900" w:type="dxa"/>
            <w:vAlign w:val="bottom"/>
          </w:tcPr>
          <w:p>
            <w:pPr>
              <w:jc w:val="right"/>
              <w:ind w:right="112"/>
              <w:spacing w:after="0" w:line="159" w:lineRule="exact"/>
              <w:rPr>
                <w:sz w:val="20"/>
                <w:szCs w:val="20"/>
                <w:color w:val="auto"/>
              </w:rPr>
            </w:pPr>
            <w:r>
              <w:rPr>
                <w:rFonts w:ascii="Arial" w:cs="Arial" w:eastAsia="Arial" w:hAnsi="Arial"/>
                <w:sz w:val="14"/>
                <w:szCs w:val="14"/>
                <w:color w:val="auto"/>
              </w:rPr>
              <w:t>995,000</w:t>
            </w:r>
          </w:p>
        </w:tc>
        <w:tc>
          <w:tcPr>
            <w:tcW w:w="800" w:type="dxa"/>
            <w:vAlign w:val="bottom"/>
          </w:tcPr>
          <w:p>
            <w:pPr>
              <w:jc w:val="right"/>
              <w:spacing w:after="0" w:line="159" w:lineRule="exact"/>
              <w:rPr>
                <w:sz w:val="20"/>
                <w:szCs w:val="20"/>
                <w:color w:val="auto"/>
              </w:rPr>
            </w:pPr>
            <w:r>
              <w:rPr>
                <w:rFonts w:ascii="Arial" w:cs="Arial" w:eastAsia="Arial" w:hAnsi="Arial"/>
                <w:sz w:val="14"/>
                <w:szCs w:val="14"/>
                <w:color w:val="auto"/>
              </w:rPr>
              <w:t>1,007,500</w:t>
            </w:r>
          </w:p>
        </w:tc>
      </w:tr>
      <w:tr>
        <w:trPr>
          <w:trHeight w:val="138"/>
        </w:trPr>
        <w:tc>
          <w:tcPr>
            <w:tcW w:w="418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DPX Holdings B.V.</w:t>
            </w:r>
          </w:p>
        </w:tc>
        <w:tc>
          <w:tcPr>
            <w:tcW w:w="1980" w:type="dxa"/>
            <w:vAlign w:val="bottom"/>
            <w:shd w:val="clear" w:color="auto" w:fill="CCEEFF"/>
          </w:tcPr>
          <w:p>
            <w:pPr>
              <w:ind w:left="340"/>
              <w:spacing w:after="0" w:line="138" w:lineRule="exact"/>
              <w:rPr>
                <w:sz w:val="20"/>
                <w:szCs w:val="20"/>
                <w:color w:val="auto"/>
              </w:rPr>
            </w:pPr>
            <w:r>
              <w:rPr>
                <w:rFonts w:ascii="Arial" w:cs="Arial" w:eastAsia="Arial" w:hAnsi="Arial"/>
                <w:sz w:val="14"/>
                <w:szCs w:val="14"/>
                <w:color w:val="auto"/>
              </w:rPr>
              <w:t>Healthcare &amp;</w:t>
            </w:r>
          </w:p>
        </w:tc>
        <w:tc>
          <w:tcPr>
            <w:tcW w:w="820" w:type="dxa"/>
            <w:vAlign w:val="bottom"/>
            <w:shd w:val="clear" w:color="auto" w:fill="CCEEFF"/>
          </w:tcPr>
          <w:p>
            <w:pPr>
              <w:ind w:left="60"/>
              <w:spacing w:after="0" w:line="138" w:lineRule="exact"/>
              <w:rPr>
                <w:sz w:val="20"/>
                <w:szCs w:val="20"/>
                <w:color w:val="auto"/>
              </w:rPr>
            </w:pPr>
            <w:r>
              <w:rPr>
                <w:rFonts w:ascii="Arial" w:cs="Arial" w:eastAsia="Arial" w:hAnsi="Arial"/>
                <w:sz w:val="14"/>
                <w:szCs w:val="14"/>
                <w:color w:val="auto"/>
              </w:rPr>
              <w:t>Term Loan</w:t>
            </w:r>
          </w:p>
        </w:tc>
        <w:tc>
          <w:tcPr>
            <w:tcW w:w="480" w:type="dxa"/>
            <w:vAlign w:val="bottom"/>
            <w:shd w:val="clear" w:color="auto" w:fill="CCEEFF"/>
          </w:tcPr>
          <w:p>
            <w:pPr>
              <w:ind w:left="60"/>
              <w:spacing w:after="0" w:line="138" w:lineRule="exact"/>
              <w:rPr>
                <w:sz w:val="20"/>
                <w:szCs w:val="20"/>
                <w:color w:val="auto"/>
              </w:rPr>
            </w:pPr>
            <w:r>
              <w:rPr>
                <w:rFonts w:ascii="Arial" w:cs="Arial" w:eastAsia="Arial" w:hAnsi="Arial"/>
                <w:sz w:val="14"/>
                <w:szCs w:val="14"/>
                <w:color w:val="auto"/>
              </w:rPr>
              <w:t>Loan</w:t>
            </w:r>
          </w:p>
        </w:tc>
        <w:tc>
          <w:tcPr>
            <w:tcW w:w="7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r>
      <w:tr>
        <w:trPr>
          <w:trHeight w:val="159"/>
        </w:trPr>
        <w:tc>
          <w:tcPr>
            <w:tcW w:w="4180" w:type="dxa"/>
            <w:vAlign w:val="bottom"/>
            <w:shd w:val="clear" w:color="auto" w:fill="CCEEFF"/>
          </w:tcPr>
          <w:p>
            <w:pPr>
              <w:spacing w:after="0"/>
              <w:rPr>
                <w:sz w:val="13"/>
                <w:szCs w:val="13"/>
                <w:color w:val="auto"/>
              </w:rPr>
            </w:pPr>
          </w:p>
        </w:tc>
        <w:tc>
          <w:tcPr>
            <w:tcW w:w="1980" w:type="dxa"/>
            <w:vAlign w:val="bottom"/>
            <w:shd w:val="clear" w:color="auto" w:fill="CCEEFF"/>
          </w:tcPr>
          <w:p>
            <w:pPr>
              <w:ind w:left="340"/>
              <w:spacing w:after="0" w:line="159" w:lineRule="exact"/>
              <w:rPr>
                <w:sz w:val="20"/>
                <w:szCs w:val="20"/>
                <w:color w:val="auto"/>
              </w:rPr>
            </w:pPr>
            <w:r>
              <w:rPr>
                <w:rFonts w:ascii="Arial" w:cs="Arial" w:eastAsia="Arial" w:hAnsi="Arial"/>
                <w:sz w:val="14"/>
                <w:szCs w:val="14"/>
                <w:color w:val="auto"/>
              </w:rPr>
              <w:t>Pharmaceuticals</w:t>
            </w:r>
          </w:p>
        </w:tc>
        <w:tc>
          <w:tcPr>
            <w:tcW w:w="8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4.25%</w:t>
            </w:r>
          </w:p>
        </w:tc>
        <w:tc>
          <w:tcPr>
            <w:tcW w:w="7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3/11/2021</w:t>
            </w:r>
          </w:p>
        </w:tc>
        <w:tc>
          <w:tcPr>
            <w:tcW w:w="1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112"/>
              <w:spacing w:after="0" w:line="159" w:lineRule="exact"/>
              <w:rPr>
                <w:sz w:val="20"/>
                <w:szCs w:val="20"/>
                <w:color w:val="auto"/>
              </w:rPr>
            </w:pPr>
            <w:r>
              <w:rPr>
                <w:rFonts w:ascii="Arial" w:cs="Arial" w:eastAsia="Arial" w:hAnsi="Arial"/>
                <w:sz w:val="14"/>
                <w:szCs w:val="14"/>
                <w:color w:val="auto"/>
                <w:w w:val="83"/>
              </w:rPr>
              <w:t>2,985,000</w:t>
            </w:r>
          </w:p>
        </w:tc>
        <w:tc>
          <w:tcPr>
            <w:tcW w:w="900" w:type="dxa"/>
            <w:vAlign w:val="bottom"/>
            <w:shd w:val="clear" w:color="auto" w:fill="CCEEFF"/>
          </w:tcPr>
          <w:p>
            <w:pPr>
              <w:jc w:val="right"/>
              <w:ind w:right="112"/>
              <w:spacing w:after="0" w:line="159" w:lineRule="exact"/>
              <w:rPr>
                <w:sz w:val="20"/>
                <w:szCs w:val="20"/>
                <w:color w:val="auto"/>
              </w:rPr>
            </w:pPr>
            <w:r>
              <w:rPr>
                <w:rFonts w:ascii="Arial" w:cs="Arial" w:eastAsia="Arial" w:hAnsi="Arial"/>
                <w:sz w:val="14"/>
                <w:szCs w:val="14"/>
                <w:color w:val="auto"/>
              </w:rPr>
              <w:t>2,978,605</w:t>
            </w:r>
          </w:p>
        </w:tc>
        <w:tc>
          <w:tcPr>
            <w:tcW w:w="8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2,962,075</w:t>
            </w:r>
          </w:p>
        </w:tc>
      </w:tr>
      <w:tr>
        <w:trPr>
          <w:trHeight w:val="138"/>
        </w:trPr>
        <w:tc>
          <w:tcPr>
            <w:tcW w:w="4180" w:type="dxa"/>
            <w:vAlign w:val="bottom"/>
          </w:tcPr>
          <w:p>
            <w:pPr>
              <w:spacing w:after="0" w:line="138" w:lineRule="exact"/>
              <w:rPr>
                <w:sz w:val="20"/>
                <w:szCs w:val="20"/>
                <w:color w:val="auto"/>
              </w:rPr>
            </w:pPr>
            <w:r>
              <w:rPr>
                <w:rFonts w:ascii="Arial" w:cs="Arial" w:eastAsia="Arial" w:hAnsi="Arial"/>
                <w:sz w:val="14"/>
                <w:szCs w:val="14"/>
                <w:color w:val="auto"/>
              </w:rPr>
              <w:t>Drew Marine Group Inc.</w:t>
            </w:r>
          </w:p>
        </w:tc>
        <w:tc>
          <w:tcPr>
            <w:tcW w:w="1980" w:type="dxa"/>
            <w:vAlign w:val="bottom"/>
          </w:tcPr>
          <w:p>
            <w:pPr>
              <w:ind w:left="340"/>
              <w:spacing w:after="0" w:line="138" w:lineRule="exact"/>
              <w:rPr>
                <w:sz w:val="20"/>
                <w:szCs w:val="20"/>
                <w:color w:val="auto"/>
              </w:rPr>
            </w:pPr>
            <w:r>
              <w:rPr>
                <w:rFonts w:ascii="Arial" w:cs="Arial" w:eastAsia="Arial" w:hAnsi="Arial"/>
                <w:sz w:val="14"/>
                <w:szCs w:val="14"/>
                <w:color w:val="auto"/>
              </w:rPr>
              <w:t>Chemicals/Plastics</w:t>
            </w:r>
          </w:p>
        </w:tc>
        <w:tc>
          <w:tcPr>
            <w:tcW w:w="820" w:type="dxa"/>
            <w:vAlign w:val="bottom"/>
          </w:tcPr>
          <w:p>
            <w:pPr>
              <w:ind w:left="60"/>
              <w:spacing w:after="0" w:line="138" w:lineRule="exact"/>
              <w:rPr>
                <w:sz w:val="20"/>
                <w:szCs w:val="20"/>
                <w:color w:val="auto"/>
              </w:rPr>
            </w:pPr>
            <w:r>
              <w:rPr>
                <w:rFonts w:ascii="Arial" w:cs="Arial" w:eastAsia="Arial" w:hAnsi="Arial"/>
                <w:sz w:val="14"/>
                <w:szCs w:val="14"/>
                <w:color w:val="auto"/>
              </w:rPr>
              <w:t>Term Loan</w:t>
            </w:r>
          </w:p>
        </w:tc>
        <w:tc>
          <w:tcPr>
            <w:tcW w:w="480" w:type="dxa"/>
            <w:vAlign w:val="bottom"/>
          </w:tcPr>
          <w:p>
            <w:pPr>
              <w:ind w:left="60"/>
              <w:spacing w:after="0" w:line="138" w:lineRule="exact"/>
              <w:rPr>
                <w:sz w:val="20"/>
                <w:szCs w:val="20"/>
                <w:color w:val="auto"/>
              </w:rPr>
            </w:pPr>
            <w:r>
              <w:rPr>
                <w:rFonts w:ascii="Arial" w:cs="Arial" w:eastAsia="Arial" w:hAnsi="Arial"/>
                <w:sz w:val="14"/>
                <w:szCs w:val="14"/>
                <w:color w:val="auto"/>
              </w:rPr>
              <w:t>Loan</w:t>
            </w: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59"/>
        </w:trPr>
        <w:tc>
          <w:tcPr>
            <w:tcW w:w="418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820" w:type="dxa"/>
            <w:vAlign w:val="bottom"/>
          </w:tcPr>
          <w:p>
            <w:pPr>
              <w:ind w:left="60"/>
              <w:spacing w:after="0" w:line="159" w:lineRule="exact"/>
              <w:rPr>
                <w:sz w:val="20"/>
                <w:szCs w:val="20"/>
                <w:color w:val="auto"/>
              </w:rPr>
            </w:pPr>
            <w:r>
              <w:rPr>
                <w:rFonts w:ascii="Arial" w:cs="Arial" w:eastAsia="Arial" w:hAnsi="Arial"/>
                <w:sz w:val="14"/>
                <w:szCs w:val="14"/>
                <w:color w:val="auto"/>
              </w:rPr>
              <w:t>(First Lien)</w:t>
            </w:r>
          </w:p>
        </w:tc>
        <w:tc>
          <w:tcPr>
            <w:tcW w:w="480" w:type="dxa"/>
            <w:vAlign w:val="bottom"/>
          </w:tcPr>
          <w:p>
            <w:pPr>
              <w:spacing w:after="0"/>
              <w:rPr>
                <w:sz w:val="13"/>
                <w:szCs w:val="13"/>
                <w:color w:val="auto"/>
              </w:rPr>
            </w:pPr>
          </w:p>
        </w:tc>
        <w:tc>
          <w:tcPr>
            <w:tcW w:w="720" w:type="dxa"/>
            <w:vAlign w:val="bottom"/>
          </w:tcPr>
          <w:p>
            <w:pPr>
              <w:jc w:val="right"/>
              <w:spacing w:after="0" w:line="159" w:lineRule="exact"/>
              <w:rPr>
                <w:sz w:val="20"/>
                <w:szCs w:val="20"/>
                <w:color w:val="auto"/>
              </w:rPr>
            </w:pPr>
            <w:r>
              <w:rPr>
                <w:rFonts w:ascii="Arial" w:cs="Arial" w:eastAsia="Arial" w:hAnsi="Arial"/>
                <w:sz w:val="14"/>
                <w:szCs w:val="14"/>
                <w:color w:val="auto"/>
              </w:rPr>
              <w:t>4.50%</w:t>
            </w:r>
          </w:p>
        </w:tc>
        <w:tc>
          <w:tcPr>
            <w:tcW w:w="700" w:type="dxa"/>
            <w:vAlign w:val="bottom"/>
          </w:tcPr>
          <w:p>
            <w:pPr>
              <w:jc w:val="right"/>
              <w:spacing w:after="0" w:line="159" w:lineRule="exact"/>
              <w:rPr>
                <w:sz w:val="20"/>
                <w:szCs w:val="20"/>
                <w:color w:val="auto"/>
              </w:rPr>
            </w:pPr>
            <w:r>
              <w:rPr>
                <w:rFonts w:ascii="Arial" w:cs="Arial" w:eastAsia="Arial" w:hAnsi="Arial"/>
                <w:sz w:val="14"/>
                <w:szCs w:val="14"/>
                <w:color w:val="auto"/>
                <w:w w:val="91"/>
              </w:rPr>
              <w:t>11/19/2020</w:t>
            </w:r>
          </w:p>
        </w:tc>
        <w:tc>
          <w:tcPr>
            <w:tcW w:w="12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112"/>
              <w:spacing w:after="0" w:line="159" w:lineRule="exact"/>
              <w:rPr>
                <w:sz w:val="20"/>
                <w:szCs w:val="20"/>
                <w:color w:val="auto"/>
              </w:rPr>
            </w:pPr>
            <w:r>
              <w:rPr>
                <w:rFonts w:ascii="Arial" w:cs="Arial" w:eastAsia="Arial" w:hAnsi="Arial"/>
                <w:sz w:val="14"/>
                <w:szCs w:val="14"/>
                <w:color w:val="auto"/>
                <w:w w:val="83"/>
              </w:rPr>
              <w:t>1,489,975</w:t>
            </w:r>
          </w:p>
        </w:tc>
        <w:tc>
          <w:tcPr>
            <w:tcW w:w="900" w:type="dxa"/>
            <w:vAlign w:val="bottom"/>
          </w:tcPr>
          <w:p>
            <w:pPr>
              <w:jc w:val="right"/>
              <w:ind w:right="112"/>
              <w:spacing w:after="0" w:line="159" w:lineRule="exact"/>
              <w:rPr>
                <w:sz w:val="20"/>
                <w:szCs w:val="20"/>
                <w:color w:val="auto"/>
              </w:rPr>
            </w:pPr>
            <w:r>
              <w:rPr>
                <w:rFonts w:ascii="Arial" w:cs="Arial" w:eastAsia="Arial" w:hAnsi="Arial"/>
                <w:sz w:val="14"/>
                <w:szCs w:val="14"/>
                <w:color w:val="auto"/>
              </w:rPr>
              <w:t>1,495,721</w:t>
            </w:r>
          </w:p>
        </w:tc>
        <w:tc>
          <w:tcPr>
            <w:tcW w:w="800" w:type="dxa"/>
            <w:vAlign w:val="bottom"/>
          </w:tcPr>
          <w:p>
            <w:pPr>
              <w:jc w:val="right"/>
              <w:spacing w:after="0" w:line="159" w:lineRule="exact"/>
              <w:rPr>
                <w:sz w:val="20"/>
                <w:szCs w:val="20"/>
                <w:color w:val="auto"/>
              </w:rPr>
            </w:pPr>
            <w:r>
              <w:rPr>
                <w:rFonts w:ascii="Arial" w:cs="Arial" w:eastAsia="Arial" w:hAnsi="Arial"/>
                <w:sz w:val="14"/>
                <w:szCs w:val="14"/>
                <w:color w:val="auto"/>
              </w:rPr>
              <w:t>1,473,213</w:t>
            </w:r>
          </w:p>
        </w:tc>
      </w:tr>
      <w:tr>
        <w:trPr>
          <w:trHeight w:val="138"/>
        </w:trPr>
        <w:tc>
          <w:tcPr>
            <w:tcW w:w="418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Education Management LLC</w:t>
            </w:r>
          </w:p>
        </w:tc>
        <w:tc>
          <w:tcPr>
            <w:tcW w:w="1980" w:type="dxa"/>
            <w:vAlign w:val="bottom"/>
            <w:shd w:val="clear" w:color="auto" w:fill="CCEEFF"/>
          </w:tcPr>
          <w:p>
            <w:pPr>
              <w:ind w:left="340"/>
              <w:spacing w:after="0" w:line="138" w:lineRule="exact"/>
              <w:rPr>
                <w:sz w:val="20"/>
                <w:szCs w:val="20"/>
                <w:color w:val="auto"/>
              </w:rPr>
            </w:pPr>
            <w:r>
              <w:rPr>
                <w:rFonts w:ascii="Arial" w:cs="Arial" w:eastAsia="Arial" w:hAnsi="Arial"/>
                <w:sz w:val="14"/>
                <w:szCs w:val="14"/>
                <w:color w:val="auto"/>
              </w:rPr>
              <w:t>Leisure</w:t>
            </w:r>
          </w:p>
        </w:tc>
        <w:tc>
          <w:tcPr>
            <w:tcW w:w="820" w:type="dxa"/>
            <w:vAlign w:val="bottom"/>
            <w:shd w:val="clear" w:color="auto" w:fill="CCEEFF"/>
          </w:tcPr>
          <w:p>
            <w:pPr>
              <w:ind w:left="60"/>
              <w:spacing w:after="0" w:line="138" w:lineRule="exact"/>
              <w:rPr>
                <w:sz w:val="20"/>
                <w:szCs w:val="20"/>
                <w:color w:val="auto"/>
              </w:rPr>
            </w:pPr>
            <w:r>
              <w:rPr>
                <w:rFonts w:ascii="Arial" w:cs="Arial" w:eastAsia="Arial" w:hAnsi="Arial"/>
                <w:sz w:val="14"/>
                <w:szCs w:val="14"/>
                <w:color w:val="auto"/>
              </w:rPr>
              <w:t>Term Loan</w:t>
            </w:r>
          </w:p>
        </w:tc>
        <w:tc>
          <w:tcPr>
            <w:tcW w:w="480" w:type="dxa"/>
            <w:vAlign w:val="bottom"/>
            <w:shd w:val="clear" w:color="auto" w:fill="CCEEFF"/>
          </w:tcPr>
          <w:p>
            <w:pPr>
              <w:ind w:left="60"/>
              <w:spacing w:after="0" w:line="138" w:lineRule="exact"/>
              <w:rPr>
                <w:sz w:val="20"/>
                <w:szCs w:val="20"/>
                <w:color w:val="auto"/>
              </w:rPr>
            </w:pPr>
            <w:r>
              <w:rPr>
                <w:rFonts w:ascii="Arial" w:cs="Arial" w:eastAsia="Arial" w:hAnsi="Arial"/>
                <w:sz w:val="14"/>
                <w:szCs w:val="14"/>
                <w:color w:val="auto"/>
              </w:rPr>
              <w:t>Loan</w:t>
            </w:r>
          </w:p>
        </w:tc>
        <w:tc>
          <w:tcPr>
            <w:tcW w:w="7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r>
      <w:tr>
        <w:trPr>
          <w:trHeight w:val="159"/>
        </w:trPr>
        <w:tc>
          <w:tcPr>
            <w:tcW w:w="4180" w:type="dxa"/>
            <w:vAlign w:val="bottom"/>
            <w:shd w:val="clear" w:color="auto" w:fill="CCEEFF"/>
          </w:tcPr>
          <w:p>
            <w:pPr>
              <w:spacing w:after="0"/>
              <w:rPr>
                <w:sz w:val="13"/>
                <w:szCs w:val="13"/>
                <w:color w:val="auto"/>
              </w:rPr>
            </w:pPr>
          </w:p>
        </w:tc>
        <w:tc>
          <w:tcPr>
            <w:tcW w:w="1980" w:type="dxa"/>
            <w:vAlign w:val="bottom"/>
            <w:shd w:val="clear" w:color="auto" w:fill="CCEEFF"/>
          </w:tcPr>
          <w:p>
            <w:pPr>
              <w:ind w:left="340"/>
              <w:spacing w:after="0" w:line="159" w:lineRule="exact"/>
              <w:rPr>
                <w:sz w:val="20"/>
                <w:szCs w:val="20"/>
                <w:color w:val="auto"/>
              </w:rPr>
            </w:pPr>
            <w:r>
              <w:rPr>
                <w:rFonts w:ascii="Arial" w:cs="Arial" w:eastAsia="Arial" w:hAnsi="Arial"/>
                <w:sz w:val="14"/>
                <w:szCs w:val="14"/>
                <w:color w:val="auto"/>
              </w:rPr>
              <w:t>Goods/Activities/Movies</w:t>
            </w:r>
          </w:p>
        </w:tc>
        <w:tc>
          <w:tcPr>
            <w:tcW w:w="820" w:type="dxa"/>
            <w:vAlign w:val="bottom"/>
            <w:shd w:val="clear" w:color="auto" w:fill="CCEEFF"/>
          </w:tcPr>
          <w:p>
            <w:pPr>
              <w:ind w:left="60"/>
              <w:spacing w:after="0" w:line="159" w:lineRule="exact"/>
              <w:rPr>
                <w:sz w:val="20"/>
                <w:szCs w:val="20"/>
                <w:color w:val="auto"/>
              </w:rPr>
            </w:pPr>
            <w:r>
              <w:rPr>
                <w:rFonts w:ascii="Arial" w:cs="Arial" w:eastAsia="Arial" w:hAnsi="Arial"/>
                <w:sz w:val="14"/>
                <w:szCs w:val="14"/>
                <w:color w:val="auto"/>
              </w:rPr>
              <w:t>A</w:t>
            </w:r>
          </w:p>
        </w:tc>
        <w:tc>
          <w:tcPr>
            <w:tcW w:w="48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5.50%</w:t>
            </w:r>
          </w:p>
        </w:tc>
        <w:tc>
          <w:tcPr>
            <w:tcW w:w="7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7/2/2020</w:t>
            </w:r>
          </w:p>
        </w:tc>
        <w:tc>
          <w:tcPr>
            <w:tcW w:w="1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112"/>
              <w:spacing w:after="0" w:line="159" w:lineRule="exact"/>
              <w:rPr>
                <w:sz w:val="20"/>
                <w:szCs w:val="20"/>
                <w:color w:val="auto"/>
              </w:rPr>
            </w:pPr>
            <w:r>
              <w:rPr>
                <w:rFonts w:ascii="Arial" w:cs="Arial" w:eastAsia="Arial" w:hAnsi="Arial"/>
                <w:sz w:val="14"/>
                <w:szCs w:val="14"/>
                <w:color w:val="auto"/>
              </w:rPr>
              <w:t>501,970</w:t>
            </w:r>
          </w:p>
        </w:tc>
        <w:tc>
          <w:tcPr>
            <w:tcW w:w="900" w:type="dxa"/>
            <w:vAlign w:val="bottom"/>
            <w:shd w:val="clear" w:color="auto" w:fill="CCEEFF"/>
          </w:tcPr>
          <w:p>
            <w:pPr>
              <w:jc w:val="right"/>
              <w:ind w:right="112"/>
              <w:spacing w:after="0" w:line="159" w:lineRule="exact"/>
              <w:rPr>
                <w:sz w:val="20"/>
                <w:szCs w:val="20"/>
                <w:color w:val="auto"/>
              </w:rPr>
            </w:pPr>
            <w:r>
              <w:rPr>
                <w:rFonts w:ascii="Arial" w:cs="Arial" w:eastAsia="Arial" w:hAnsi="Arial"/>
                <w:sz w:val="14"/>
                <w:szCs w:val="14"/>
                <w:color w:val="auto"/>
              </w:rPr>
              <w:t>482,120</w:t>
            </w:r>
          </w:p>
        </w:tc>
        <w:tc>
          <w:tcPr>
            <w:tcW w:w="8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457,295</w:t>
            </w:r>
          </w:p>
        </w:tc>
      </w:tr>
      <w:tr>
        <w:trPr>
          <w:trHeight w:val="138"/>
        </w:trPr>
        <w:tc>
          <w:tcPr>
            <w:tcW w:w="4180" w:type="dxa"/>
            <w:vAlign w:val="bottom"/>
          </w:tcPr>
          <w:p>
            <w:pPr>
              <w:spacing w:after="0" w:line="138" w:lineRule="exact"/>
              <w:rPr>
                <w:sz w:val="20"/>
                <w:szCs w:val="20"/>
                <w:color w:val="auto"/>
              </w:rPr>
            </w:pPr>
            <w:r>
              <w:rPr>
                <w:rFonts w:ascii="Arial" w:cs="Arial" w:eastAsia="Arial" w:hAnsi="Arial"/>
                <w:sz w:val="14"/>
                <w:szCs w:val="14"/>
                <w:color w:val="auto"/>
              </w:rPr>
              <w:t>Education Management LLC</w:t>
            </w:r>
          </w:p>
        </w:tc>
        <w:tc>
          <w:tcPr>
            <w:tcW w:w="1980" w:type="dxa"/>
            <w:vAlign w:val="bottom"/>
          </w:tcPr>
          <w:p>
            <w:pPr>
              <w:ind w:left="340"/>
              <w:spacing w:after="0" w:line="138" w:lineRule="exact"/>
              <w:rPr>
                <w:sz w:val="20"/>
                <w:szCs w:val="20"/>
                <w:color w:val="auto"/>
              </w:rPr>
            </w:pPr>
            <w:r>
              <w:rPr>
                <w:rFonts w:ascii="Arial" w:cs="Arial" w:eastAsia="Arial" w:hAnsi="Arial"/>
                <w:sz w:val="14"/>
                <w:szCs w:val="14"/>
                <w:color w:val="auto"/>
              </w:rPr>
              <w:t>Leisure</w:t>
            </w:r>
          </w:p>
        </w:tc>
        <w:tc>
          <w:tcPr>
            <w:tcW w:w="820" w:type="dxa"/>
            <w:vAlign w:val="bottom"/>
          </w:tcPr>
          <w:p>
            <w:pPr>
              <w:ind w:left="60"/>
              <w:spacing w:after="0" w:line="138" w:lineRule="exact"/>
              <w:rPr>
                <w:sz w:val="20"/>
                <w:szCs w:val="20"/>
                <w:color w:val="auto"/>
              </w:rPr>
            </w:pPr>
            <w:r>
              <w:rPr>
                <w:rFonts w:ascii="Arial" w:cs="Arial" w:eastAsia="Arial" w:hAnsi="Arial"/>
                <w:sz w:val="14"/>
                <w:szCs w:val="14"/>
                <w:color w:val="auto"/>
              </w:rPr>
              <w:t>Term Loan</w:t>
            </w:r>
          </w:p>
        </w:tc>
        <w:tc>
          <w:tcPr>
            <w:tcW w:w="480" w:type="dxa"/>
            <w:vAlign w:val="bottom"/>
          </w:tcPr>
          <w:p>
            <w:pPr>
              <w:ind w:left="60"/>
              <w:spacing w:after="0" w:line="138" w:lineRule="exact"/>
              <w:rPr>
                <w:sz w:val="20"/>
                <w:szCs w:val="20"/>
                <w:color w:val="auto"/>
              </w:rPr>
            </w:pPr>
            <w:r>
              <w:rPr>
                <w:rFonts w:ascii="Arial" w:cs="Arial" w:eastAsia="Arial" w:hAnsi="Arial"/>
                <w:sz w:val="14"/>
                <w:szCs w:val="14"/>
                <w:color w:val="auto"/>
              </w:rPr>
              <w:t>Loan</w:t>
            </w:r>
          </w:p>
        </w:tc>
        <w:tc>
          <w:tcPr>
            <w:tcW w:w="720" w:type="dxa"/>
            <w:vAlign w:val="bottom"/>
          </w:tcPr>
          <w:p>
            <w:pPr>
              <w:jc w:val="right"/>
              <w:ind w:right="112"/>
              <w:spacing w:after="0" w:line="138" w:lineRule="exact"/>
              <w:rPr>
                <w:sz w:val="20"/>
                <w:szCs w:val="20"/>
                <w:color w:val="auto"/>
              </w:rPr>
            </w:pPr>
            <w:r>
              <w:rPr>
                <w:rFonts w:ascii="Arial" w:cs="Arial" w:eastAsia="Arial" w:hAnsi="Arial"/>
                <w:sz w:val="14"/>
                <w:szCs w:val="14"/>
                <w:color w:val="auto"/>
              </w:rPr>
              <w:t>8.50%</w:t>
            </w: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49"/>
        </w:trPr>
        <w:tc>
          <w:tcPr>
            <w:tcW w:w="4180" w:type="dxa"/>
            <w:vAlign w:val="bottom"/>
          </w:tcPr>
          <w:p>
            <w:pPr>
              <w:spacing w:after="0"/>
              <w:rPr>
                <w:sz w:val="12"/>
                <w:szCs w:val="12"/>
                <w:color w:val="auto"/>
              </w:rPr>
            </w:pPr>
          </w:p>
        </w:tc>
        <w:tc>
          <w:tcPr>
            <w:tcW w:w="1980" w:type="dxa"/>
            <w:vAlign w:val="bottom"/>
          </w:tcPr>
          <w:p>
            <w:pPr>
              <w:ind w:left="340"/>
              <w:spacing w:after="0" w:line="149" w:lineRule="exact"/>
              <w:rPr>
                <w:sz w:val="20"/>
                <w:szCs w:val="20"/>
                <w:color w:val="auto"/>
              </w:rPr>
            </w:pPr>
            <w:r>
              <w:rPr>
                <w:rFonts w:ascii="Arial" w:cs="Arial" w:eastAsia="Arial" w:hAnsi="Arial"/>
                <w:sz w:val="14"/>
                <w:szCs w:val="14"/>
                <w:color w:val="auto"/>
              </w:rPr>
              <w:t>Goods/Activities/Movies</w:t>
            </w:r>
          </w:p>
        </w:tc>
        <w:tc>
          <w:tcPr>
            <w:tcW w:w="820" w:type="dxa"/>
            <w:vAlign w:val="bottom"/>
          </w:tcPr>
          <w:p>
            <w:pPr>
              <w:ind w:left="60"/>
              <w:spacing w:after="0" w:line="149" w:lineRule="exact"/>
              <w:rPr>
                <w:sz w:val="20"/>
                <w:szCs w:val="20"/>
                <w:color w:val="auto"/>
              </w:rPr>
            </w:pPr>
            <w:r>
              <w:rPr>
                <w:rFonts w:ascii="Arial" w:cs="Arial" w:eastAsia="Arial" w:hAnsi="Arial"/>
                <w:sz w:val="14"/>
                <w:szCs w:val="14"/>
                <w:color w:val="auto"/>
              </w:rPr>
              <w:t>B</w:t>
            </w:r>
          </w:p>
        </w:tc>
        <w:tc>
          <w:tcPr>
            <w:tcW w:w="480" w:type="dxa"/>
            <w:vAlign w:val="bottom"/>
          </w:tcPr>
          <w:p>
            <w:pPr>
              <w:spacing w:after="0"/>
              <w:rPr>
                <w:sz w:val="12"/>
                <w:szCs w:val="12"/>
                <w:color w:val="auto"/>
              </w:rPr>
            </w:pPr>
          </w:p>
        </w:tc>
        <w:tc>
          <w:tcPr>
            <w:tcW w:w="7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(2.00%</w:t>
            </w: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49"/>
        </w:trPr>
        <w:tc>
          <w:tcPr>
            <w:tcW w:w="418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Cash/</w:t>
            </w: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49"/>
        </w:trPr>
        <w:tc>
          <w:tcPr>
            <w:tcW w:w="418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6.50%</w:t>
            </w: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59"/>
        </w:trPr>
        <w:tc>
          <w:tcPr>
            <w:tcW w:w="418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20" w:type="dxa"/>
            <w:vAlign w:val="bottom"/>
          </w:tcPr>
          <w:p>
            <w:pPr>
              <w:jc w:val="right"/>
              <w:ind w:right="112"/>
              <w:spacing w:after="0" w:line="159" w:lineRule="exact"/>
              <w:rPr>
                <w:sz w:val="20"/>
                <w:szCs w:val="20"/>
                <w:color w:val="auto"/>
              </w:rPr>
            </w:pPr>
            <w:r>
              <w:rPr>
                <w:rFonts w:ascii="Arial" w:cs="Arial" w:eastAsia="Arial" w:hAnsi="Arial"/>
                <w:sz w:val="14"/>
                <w:szCs w:val="14"/>
                <w:color w:val="auto"/>
              </w:rPr>
              <w:t>PIK)</w:t>
            </w:r>
          </w:p>
        </w:tc>
        <w:tc>
          <w:tcPr>
            <w:tcW w:w="700" w:type="dxa"/>
            <w:vAlign w:val="bottom"/>
          </w:tcPr>
          <w:p>
            <w:pPr>
              <w:jc w:val="right"/>
              <w:spacing w:after="0" w:line="159" w:lineRule="exact"/>
              <w:rPr>
                <w:sz w:val="20"/>
                <w:szCs w:val="20"/>
                <w:color w:val="auto"/>
              </w:rPr>
            </w:pPr>
            <w:r>
              <w:rPr>
                <w:rFonts w:ascii="Arial" w:cs="Arial" w:eastAsia="Arial" w:hAnsi="Arial"/>
                <w:sz w:val="14"/>
                <w:szCs w:val="14"/>
                <w:color w:val="auto"/>
              </w:rPr>
              <w:t>7/2/2020</w:t>
            </w:r>
          </w:p>
        </w:tc>
        <w:tc>
          <w:tcPr>
            <w:tcW w:w="12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112"/>
              <w:spacing w:after="0" w:line="159" w:lineRule="exact"/>
              <w:rPr>
                <w:sz w:val="20"/>
                <w:szCs w:val="20"/>
                <w:color w:val="auto"/>
              </w:rPr>
            </w:pPr>
            <w:r>
              <w:rPr>
                <w:rFonts w:ascii="Arial" w:cs="Arial" w:eastAsia="Arial" w:hAnsi="Arial"/>
                <w:sz w:val="14"/>
                <w:szCs w:val="14"/>
                <w:color w:val="auto"/>
              </w:rPr>
              <w:t>836,617</w:t>
            </w:r>
          </w:p>
        </w:tc>
        <w:tc>
          <w:tcPr>
            <w:tcW w:w="900" w:type="dxa"/>
            <w:vAlign w:val="bottom"/>
          </w:tcPr>
          <w:p>
            <w:pPr>
              <w:jc w:val="right"/>
              <w:ind w:right="112"/>
              <w:spacing w:after="0" w:line="159" w:lineRule="exact"/>
              <w:rPr>
                <w:sz w:val="20"/>
                <w:szCs w:val="20"/>
                <w:color w:val="auto"/>
              </w:rPr>
            </w:pPr>
            <w:r>
              <w:rPr>
                <w:rFonts w:ascii="Arial" w:cs="Arial" w:eastAsia="Arial" w:hAnsi="Arial"/>
                <w:sz w:val="14"/>
                <w:szCs w:val="14"/>
                <w:color w:val="auto"/>
              </w:rPr>
              <w:t>805,283</w:t>
            </w:r>
          </w:p>
        </w:tc>
        <w:tc>
          <w:tcPr>
            <w:tcW w:w="800" w:type="dxa"/>
            <w:vAlign w:val="bottom"/>
          </w:tcPr>
          <w:p>
            <w:pPr>
              <w:jc w:val="right"/>
              <w:spacing w:after="0" w:line="159" w:lineRule="exact"/>
              <w:rPr>
                <w:sz w:val="20"/>
                <w:szCs w:val="20"/>
                <w:color w:val="auto"/>
              </w:rPr>
            </w:pPr>
            <w:r>
              <w:rPr>
                <w:rFonts w:ascii="Arial" w:cs="Arial" w:eastAsia="Arial" w:hAnsi="Arial"/>
                <w:sz w:val="14"/>
                <w:szCs w:val="14"/>
                <w:color w:val="auto"/>
              </w:rPr>
              <w:t>672,882</w:t>
            </w:r>
          </w:p>
        </w:tc>
      </w:tr>
      <w:tr>
        <w:trPr>
          <w:trHeight w:val="149"/>
        </w:trPr>
        <w:tc>
          <w:tcPr>
            <w:tcW w:w="4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EIG Investors Corp.</w:t>
            </w:r>
          </w:p>
        </w:tc>
        <w:tc>
          <w:tcPr>
            <w:tcW w:w="198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color w:val="auto"/>
              </w:rPr>
              <w:t>Services: Business</w:t>
            </w:r>
          </w:p>
        </w:tc>
        <w:tc>
          <w:tcPr>
            <w:tcW w:w="82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Term Loan</w:t>
            </w:r>
          </w:p>
        </w:tc>
        <w:tc>
          <w:tcPr>
            <w:tcW w:w="48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Loan</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5.00%</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11/8/2019</w:t>
            </w: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987,500</w:t>
            </w:r>
          </w:p>
        </w:tc>
        <w:tc>
          <w:tcPr>
            <w:tcW w:w="90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983,552</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989,969</w:t>
            </w:r>
          </w:p>
        </w:tc>
      </w:tr>
      <w:tr>
        <w:trPr>
          <w:trHeight w:val="138"/>
        </w:trPr>
        <w:tc>
          <w:tcPr>
            <w:tcW w:w="4180" w:type="dxa"/>
            <w:vAlign w:val="bottom"/>
          </w:tcPr>
          <w:p>
            <w:pPr>
              <w:spacing w:after="0" w:line="138" w:lineRule="exact"/>
              <w:rPr>
                <w:sz w:val="20"/>
                <w:szCs w:val="20"/>
                <w:color w:val="auto"/>
              </w:rPr>
            </w:pPr>
            <w:r>
              <w:rPr>
                <w:rFonts w:ascii="Arial" w:cs="Arial" w:eastAsia="Arial" w:hAnsi="Arial"/>
                <w:sz w:val="14"/>
                <w:szCs w:val="14"/>
                <w:color w:val="auto"/>
              </w:rPr>
              <w:t>Emerald Performance Materials, LLC</w:t>
            </w:r>
          </w:p>
        </w:tc>
        <w:tc>
          <w:tcPr>
            <w:tcW w:w="1980" w:type="dxa"/>
            <w:vAlign w:val="bottom"/>
          </w:tcPr>
          <w:p>
            <w:pPr>
              <w:ind w:left="340"/>
              <w:spacing w:after="0" w:line="138" w:lineRule="exact"/>
              <w:rPr>
                <w:sz w:val="20"/>
                <w:szCs w:val="20"/>
                <w:color w:val="auto"/>
              </w:rPr>
            </w:pPr>
            <w:r>
              <w:rPr>
                <w:rFonts w:ascii="Arial" w:cs="Arial" w:eastAsia="Arial" w:hAnsi="Arial"/>
                <w:sz w:val="14"/>
                <w:szCs w:val="14"/>
                <w:color w:val="auto"/>
              </w:rPr>
              <w:t>Chemicals/Plastics</w:t>
            </w:r>
          </w:p>
        </w:tc>
        <w:tc>
          <w:tcPr>
            <w:tcW w:w="820" w:type="dxa"/>
            <w:vAlign w:val="bottom"/>
          </w:tcPr>
          <w:p>
            <w:pPr>
              <w:ind w:left="60"/>
              <w:spacing w:after="0" w:line="138" w:lineRule="exact"/>
              <w:rPr>
                <w:sz w:val="20"/>
                <w:szCs w:val="20"/>
                <w:color w:val="auto"/>
              </w:rPr>
            </w:pPr>
            <w:r>
              <w:rPr>
                <w:rFonts w:ascii="Arial" w:cs="Arial" w:eastAsia="Arial" w:hAnsi="Arial"/>
                <w:sz w:val="14"/>
                <w:szCs w:val="14"/>
                <w:color w:val="auto"/>
              </w:rPr>
              <w:t>Term Loan</w:t>
            </w:r>
          </w:p>
        </w:tc>
        <w:tc>
          <w:tcPr>
            <w:tcW w:w="480" w:type="dxa"/>
            <w:vAlign w:val="bottom"/>
          </w:tcPr>
          <w:p>
            <w:pPr>
              <w:ind w:left="60"/>
              <w:spacing w:after="0" w:line="138" w:lineRule="exact"/>
              <w:rPr>
                <w:sz w:val="20"/>
                <w:szCs w:val="20"/>
                <w:color w:val="auto"/>
              </w:rPr>
            </w:pPr>
            <w:r>
              <w:rPr>
                <w:rFonts w:ascii="Arial" w:cs="Arial" w:eastAsia="Arial" w:hAnsi="Arial"/>
                <w:sz w:val="14"/>
                <w:szCs w:val="14"/>
                <w:color w:val="auto"/>
              </w:rPr>
              <w:t>Loan</w:t>
            </w: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59"/>
        </w:trPr>
        <w:tc>
          <w:tcPr>
            <w:tcW w:w="418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820" w:type="dxa"/>
            <w:vAlign w:val="bottom"/>
          </w:tcPr>
          <w:p>
            <w:pPr>
              <w:ind w:left="60"/>
              <w:spacing w:after="0" w:line="159" w:lineRule="exact"/>
              <w:rPr>
                <w:sz w:val="20"/>
                <w:szCs w:val="20"/>
                <w:color w:val="auto"/>
              </w:rPr>
            </w:pPr>
            <w:r>
              <w:rPr>
                <w:rFonts w:ascii="Arial" w:cs="Arial" w:eastAsia="Arial" w:hAnsi="Arial"/>
                <w:sz w:val="14"/>
                <w:szCs w:val="14"/>
                <w:color w:val="auto"/>
              </w:rPr>
              <w:t>(First Lien)</w:t>
            </w:r>
          </w:p>
        </w:tc>
        <w:tc>
          <w:tcPr>
            <w:tcW w:w="480" w:type="dxa"/>
            <w:vAlign w:val="bottom"/>
          </w:tcPr>
          <w:p>
            <w:pPr>
              <w:spacing w:after="0"/>
              <w:rPr>
                <w:sz w:val="13"/>
                <w:szCs w:val="13"/>
                <w:color w:val="auto"/>
              </w:rPr>
            </w:pPr>
          </w:p>
        </w:tc>
        <w:tc>
          <w:tcPr>
            <w:tcW w:w="720" w:type="dxa"/>
            <w:vAlign w:val="bottom"/>
          </w:tcPr>
          <w:p>
            <w:pPr>
              <w:jc w:val="right"/>
              <w:spacing w:after="0" w:line="159" w:lineRule="exact"/>
              <w:rPr>
                <w:sz w:val="20"/>
                <w:szCs w:val="20"/>
                <w:color w:val="auto"/>
              </w:rPr>
            </w:pPr>
            <w:r>
              <w:rPr>
                <w:rFonts w:ascii="Arial" w:cs="Arial" w:eastAsia="Arial" w:hAnsi="Arial"/>
                <w:sz w:val="14"/>
                <w:szCs w:val="14"/>
                <w:color w:val="auto"/>
              </w:rPr>
              <w:t>4.50%</w:t>
            </w:r>
          </w:p>
        </w:tc>
        <w:tc>
          <w:tcPr>
            <w:tcW w:w="700" w:type="dxa"/>
            <w:vAlign w:val="bottom"/>
          </w:tcPr>
          <w:p>
            <w:pPr>
              <w:jc w:val="right"/>
              <w:spacing w:after="0" w:line="159" w:lineRule="exact"/>
              <w:rPr>
                <w:sz w:val="20"/>
                <w:szCs w:val="20"/>
                <w:color w:val="auto"/>
              </w:rPr>
            </w:pPr>
            <w:r>
              <w:rPr>
                <w:rFonts w:ascii="Arial" w:cs="Arial" w:eastAsia="Arial" w:hAnsi="Arial"/>
                <w:sz w:val="14"/>
                <w:szCs w:val="14"/>
                <w:color w:val="auto"/>
              </w:rPr>
              <w:t>8/1/2021</w:t>
            </w:r>
          </w:p>
        </w:tc>
        <w:tc>
          <w:tcPr>
            <w:tcW w:w="12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112"/>
              <w:spacing w:after="0" w:line="159" w:lineRule="exact"/>
              <w:rPr>
                <w:sz w:val="20"/>
                <w:szCs w:val="20"/>
                <w:color w:val="auto"/>
              </w:rPr>
            </w:pPr>
            <w:r>
              <w:rPr>
                <w:rFonts w:ascii="Arial" w:cs="Arial" w:eastAsia="Arial" w:hAnsi="Arial"/>
                <w:sz w:val="14"/>
                <w:szCs w:val="14"/>
                <w:color w:val="auto"/>
              </w:rPr>
              <w:t>498,750</w:t>
            </w:r>
          </w:p>
        </w:tc>
        <w:tc>
          <w:tcPr>
            <w:tcW w:w="900" w:type="dxa"/>
            <w:vAlign w:val="bottom"/>
          </w:tcPr>
          <w:p>
            <w:pPr>
              <w:jc w:val="right"/>
              <w:ind w:right="112"/>
              <w:spacing w:after="0" w:line="159" w:lineRule="exact"/>
              <w:rPr>
                <w:sz w:val="20"/>
                <w:szCs w:val="20"/>
                <w:color w:val="auto"/>
              </w:rPr>
            </w:pPr>
            <w:r>
              <w:rPr>
                <w:rFonts w:ascii="Arial" w:cs="Arial" w:eastAsia="Arial" w:hAnsi="Arial"/>
                <w:sz w:val="14"/>
                <w:szCs w:val="14"/>
                <w:color w:val="auto"/>
              </w:rPr>
              <w:t>496,403</w:t>
            </w:r>
          </w:p>
        </w:tc>
        <w:tc>
          <w:tcPr>
            <w:tcW w:w="800" w:type="dxa"/>
            <w:vAlign w:val="bottom"/>
          </w:tcPr>
          <w:p>
            <w:pPr>
              <w:jc w:val="right"/>
              <w:spacing w:after="0" w:line="159" w:lineRule="exact"/>
              <w:rPr>
                <w:sz w:val="20"/>
                <w:szCs w:val="20"/>
                <w:color w:val="auto"/>
              </w:rPr>
            </w:pPr>
            <w:r>
              <w:rPr>
                <w:rFonts w:ascii="Arial" w:cs="Arial" w:eastAsia="Arial" w:hAnsi="Arial"/>
                <w:sz w:val="14"/>
                <w:szCs w:val="14"/>
                <w:color w:val="auto"/>
              </w:rPr>
              <w:t>496,102</w:t>
            </w:r>
          </w:p>
        </w:tc>
      </w:tr>
      <w:tr>
        <w:trPr>
          <w:trHeight w:val="138"/>
        </w:trPr>
        <w:tc>
          <w:tcPr>
            <w:tcW w:w="418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Emerald Performance Materials, LLC</w:t>
            </w:r>
          </w:p>
        </w:tc>
        <w:tc>
          <w:tcPr>
            <w:tcW w:w="1980" w:type="dxa"/>
            <w:vAlign w:val="bottom"/>
            <w:shd w:val="clear" w:color="auto" w:fill="CCEEFF"/>
          </w:tcPr>
          <w:p>
            <w:pPr>
              <w:ind w:left="340"/>
              <w:spacing w:after="0" w:line="138" w:lineRule="exact"/>
              <w:rPr>
                <w:sz w:val="20"/>
                <w:szCs w:val="20"/>
                <w:color w:val="auto"/>
              </w:rPr>
            </w:pPr>
            <w:r>
              <w:rPr>
                <w:rFonts w:ascii="Arial" w:cs="Arial" w:eastAsia="Arial" w:hAnsi="Arial"/>
                <w:sz w:val="14"/>
                <w:szCs w:val="14"/>
                <w:color w:val="auto"/>
              </w:rPr>
              <w:t>Chemicals/Plastics</w:t>
            </w:r>
          </w:p>
        </w:tc>
        <w:tc>
          <w:tcPr>
            <w:tcW w:w="820" w:type="dxa"/>
            <w:vAlign w:val="bottom"/>
            <w:shd w:val="clear" w:color="auto" w:fill="CCEEFF"/>
          </w:tcPr>
          <w:p>
            <w:pPr>
              <w:ind w:left="60"/>
              <w:spacing w:after="0" w:line="138" w:lineRule="exact"/>
              <w:rPr>
                <w:sz w:val="20"/>
                <w:szCs w:val="20"/>
                <w:color w:val="auto"/>
              </w:rPr>
            </w:pPr>
            <w:r>
              <w:rPr>
                <w:rFonts w:ascii="Arial" w:cs="Arial" w:eastAsia="Arial" w:hAnsi="Arial"/>
                <w:sz w:val="14"/>
                <w:szCs w:val="14"/>
                <w:color w:val="auto"/>
              </w:rPr>
              <w:t>Term Loan</w:t>
            </w:r>
          </w:p>
        </w:tc>
        <w:tc>
          <w:tcPr>
            <w:tcW w:w="480" w:type="dxa"/>
            <w:vAlign w:val="bottom"/>
            <w:shd w:val="clear" w:color="auto" w:fill="CCEEFF"/>
          </w:tcPr>
          <w:p>
            <w:pPr>
              <w:ind w:left="60"/>
              <w:spacing w:after="0" w:line="138" w:lineRule="exact"/>
              <w:rPr>
                <w:sz w:val="20"/>
                <w:szCs w:val="20"/>
                <w:color w:val="auto"/>
              </w:rPr>
            </w:pPr>
            <w:r>
              <w:rPr>
                <w:rFonts w:ascii="Arial" w:cs="Arial" w:eastAsia="Arial" w:hAnsi="Arial"/>
                <w:sz w:val="14"/>
                <w:szCs w:val="14"/>
                <w:color w:val="auto"/>
              </w:rPr>
              <w:t>Loan</w:t>
            </w:r>
          </w:p>
        </w:tc>
        <w:tc>
          <w:tcPr>
            <w:tcW w:w="7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r>
      <w:tr>
        <w:trPr>
          <w:trHeight w:val="149"/>
        </w:trPr>
        <w:tc>
          <w:tcPr>
            <w:tcW w:w="4180" w:type="dxa"/>
            <w:vAlign w:val="bottom"/>
            <w:shd w:val="clear" w:color="auto" w:fill="CCEEFF"/>
          </w:tcPr>
          <w:p>
            <w:pPr>
              <w:spacing w:after="0"/>
              <w:rPr>
                <w:sz w:val="12"/>
                <w:szCs w:val="12"/>
                <w:color w:val="auto"/>
              </w:rPr>
            </w:pPr>
          </w:p>
        </w:tc>
        <w:tc>
          <w:tcPr>
            <w:tcW w:w="1980" w:type="dxa"/>
            <w:vAlign w:val="bottom"/>
            <w:shd w:val="clear" w:color="auto" w:fill="CCEEFF"/>
          </w:tcPr>
          <w:p>
            <w:pPr>
              <w:spacing w:after="0"/>
              <w:rPr>
                <w:sz w:val="12"/>
                <w:szCs w:val="12"/>
                <w:color w:val="auto"/>
              </w:rPr>
            </w:pPr>
          </w:p>
        </w:tc>
        <w:tc>
          <w:tcPr>
            <w:tcW w:w="82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(Second</w:t>
            </w:r>
          </w:p>
        </w:tc>
        <w:tc>
          <w:tcPr>
            <w:tcW w:w="4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r>
      <w:tr>
        <w:trPr>
          <w:trHeight w:val="159"/>
        </w:trPr>
        <w:tc>
          <w:tcPr>
            <w:tcW w:w="4180" w:type="dxa"/>
            <w:vAlign w:val="bottom"/>
            <w:shd w:val="clear" w:color="auto" w:fill="CCEEFF"/>
          </w:tcPr>
          <w:p>
            <w:pPr>
              <w:spacing w:after="0"/>
              <w:rPr>
                <w:sz w:val="13"/>
                <w:szCs w:val="13"/>
                <w:color w:val="auto"/>
              </w:rPr>
            </w:pPr>
          </w:p>
        </w:tc>
        <w:tc>
          <w:tcPr>
            <w:tcW w:w="1980" w:type="dxa"/>
            <w:vAlign w:val="bottom"/>
            <w:shd w:val="clear" w:color="auto" w:fill="CCEEFF"/>
          </w:tcPr>
          <w:p>
            <w:pPr>
              <w:spacing w:after="0"/>
              <w:rPr>
                <w:sz w:val="13"/>
                <w:szCs w:val="13"/>
                <w:color w:val="auto"/>
              </w:rPr>
            </w:pPr>
          </w:p>
        </w:tc>
        <w:tc>
          <w:tcPr>
            <w:tcW w:w="820" w:type="dxa"/>
            <w:vAlign w:val="bottom"/>
            <w:shd w:val="clear" w:color="auto" w:fill="CCEEFF"/>
          </w:tcPr>
          <w:p>
            <w:pPr>
              <w:ind w:left="60"/>
              <w:spacing w:after="0" w:line="159" w:lineRule="exact"/>
              <w:rPr>
                <w:sz w:val="20"/>
                <w:szCs w:val="20"/>
                <w:color w:val="auto"/>
              </w:rPr>
            </w:pPr>
            <w:r>
              <w:rPr>
                <w:rFonts w:ascii="Arial" w:cs="Arial" w:eastAsia="Arial" w:hAnsi="Arial"/>
                <w:sz w:val="14"/>
                <w:szCs w:val="14"/>
                <w:color w:val="auto"/>
              </w:rPr>
              <w:t>Lien)</w:t>
            </w:r>
          </w:p>
        </w:tc>
        <w:tc>
          <w:tcPr>
            <w:tcW w:w="48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7.75%</w:t>
            </w:r>
          </w:p>
        </w:tc>
        <w:tc>
          <w:tcPr>
            <w:tcW w:w="7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8/1/2022</w:t>
            </w:r>
          </w:p>
        </w:tc>
        <w:tc>
          <w:tcPr>
            <w:tcW w:w="1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112"/>
              <w:spacing w:after="0" w:line="159" w:lineRule="exact"/>
              <w:rPr>
                <w:sz w:val="20"/>
                <w:szCs w:val="20"/>
                <w:color w:val="auto"/>
              </w:rPr>
            </w:pPr>
            <w:r>
              <w:rPr>
                <w:rFonts w:ascii="Arial" w:cs="Arial" w:eastAsia="Arial" w:hAnsi="Arial"/>
                <w:sz w:val="14"/>
                <w:szCs w:val="14"/>
                <w:color w:val="auto"/>
              </w:rPr>
              <w:t>500,000</w:t>
            </w:r>
          </w:p>
        </w:tc>
        <w:tc>
          <w:tcPr>
            <w:tcW w:w="900" w:type="dxa"/>
            <w:vAlign w:val="bottom"/>
            <w:shd w:val="clear" w:color="auto" w:fill="CCEEFF"/>
          </w:tcPr>
          <w:p>
            <w:pPr>
              <w:jc w:val="right"/>
              <w:ind w:right="112"/>
              <w:spacing w:after="0" w:line="159" w:lineRule="exact"/>
              <w:rPr>
                <w:sz w:val="20"/>
                <w:szCs w:val="20"/>
                <w:color w:val="auto"/>
              </w:rPr>
            </w:pPr>
            <w:r>
              <w:rPr>
                <w:rFonts w:ascii="Arial" w:cs="Arial" w:eastAsia="Arial" w:hAnsi="Arial"/>
                <w:sz w:val="14"/>
                <w:szCs w:val="14"/>
                <w:color w:val="auto"/>
              </w:rPr>
              <w:t>497,553</w:t>
            </w:r>
          </w:p>
        </w:tc>
        <w:tc>
          <w:tcPr>
            <w:tcW w:w="8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484,845</w:t>
            </w:r>
          </w:p>
        </w:tc>
      </w:tr>
      <w:tr>
        <w:trPr>
          <w:trHeight w:val="138"/>
        </w:trPr>
        <w:tc>
          <w:tcPr>
            <w:tcW w:w="4180" w:type="dxa"/>
            <w:vAlign w:val="bottom"/>
          </w:tcPr>
          <w:p>
            <w:pPr>
              <w:spacing w:after="0" w:line="138" w:lineRule="exact"/>
              <w:rPr>
                <w:sz w:val="20"/>
                <w:szCs w:val="20"/>
                <w:color w:val="auto"/>
              </w:rPr>
            </w:pPr>
            <w:r>
              <w:rPr>
                <w:rFonts w:ascii="Arial" w:cs="Arial" w:eastAsia="Arial" w:hAnsi="Arial"/>
                <w:sz w:val="14"/>
                <w:szCs w:val="14"/>
                <w:color w:val="auto"/>
              </w:rPr>
              <w:t>EnergySolutions, LLC</w:t>
            </w:r>
          </w:p>
        </w:tc>
        <w:tc>
          <w:tcPr>
            <w:tcW w:w="1980" w:type="dxa"/>
            <w:vAlign w:val="bottom"/>
          </w:tcPr>
          <w:p>
            <w:pPr>
              <w:ind w:left="340"/>
              <w:spacing w:after="0" w:line="138" w:lineRule="exact"/>
              <w:rPr>
                <w:sz w:val="20"/>
                <w:szCs w:val="20"/>
                <w:color w:val="auto"/>
              </w:rPr>
            </w:pPr>
            <w:r>
              <w:rPr>
                <w:rFonts w:ascii="Arial" w:cs="Arial" w:eastAsia="Arial" w:hAnsi="Arial"/>
                <w:sz w:val="14"/>
                <w:szCs w:val="14"/>
                <w:color w:val="auto"/>
              </w:rPr>
              <w:t>Oil &amp; Gas</w:t>
            </w:r>
          </w:p>
        </w:tc>
        <w:tc>
          <w:tcPr>
            <w:tcW w:w="820" w:type="dxa"/>
            <w:vAlign w:val="bottom"/>
          </w:tcPr>
          <w:p>
            <w:pPr>
              <w:ind w:left="60"/>
              <w:spacing w:after="0" w:line="138" w:lineRule="exact"/>
              <w:rPr>
                <w:sz w:val="20"/>
                <w:szCs w:val="20"/>
                <w:color w:val="auto"/>
              </w:rPr>
            </w:pPr>
            <w:r>
              <w:rPr>
                <w:rFonts w:ascii="Arial" w:cs="Arial" w:eastAsia="Arial" w:hAnsi="Arial"/>
                <w:sz w:val="14"/>
                <w:szCs w:val="14"/>
                <w:color w:val="auto"/>
              </w:rPr>
              <w:t>Term Loan</w:t>
            </w:r>
          </w:p>
        </w:tc>
        <w:tc>
          <w:tcPr>
            <w:tcW w:w="480" w:type="dxa"/>
            <w:vAlign w:val="bottom"/>
          </w:tcPr>
          <w:p>
            <w:pPr>
              <w:ind w:left="60"/>
              <w:spacing w:after="0" w:line="138" w:lineRule="exact"/>
              <w:rPr>
                <w:sz w:val="20"/>
                <w:szCs w:val="20"/>
                <w:color w:val="auto"/>
              </w:rPr>
            </w:pPr>
            <w:r>
              <w:rPr>
                <w:rFonts w:ascii="Arial" w:cs="Arial" w:eastAsia="Arial" w:hAnsi="Arial"/>
                <w:sz w:val="14"/>
                <w:szCs w:val="14"/>
                <w:color w:val="auto"/>
              </w:rPr>
              <w:t>Loan</w:t>
            </w: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59"/>
        </w:trPr>
        <w:tc>
          <w:tcPr>
            <w:tcW w:w="418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820" w:type="dxa"/>
            <w:vAlign w:val="bottom"/>
          </w:tcPr>
          <w:p>
            <w:pPr>
              <w:ind w:left="60"/>
              <w:spacing w:after="0" w:line="159" w:lineRule="exact"/>
              <w:rPr>
                <w:sz w:val="20"/>
                <w:szCs w:val="20"/>
                <w:color w:val="auto"/>
              </w:rPr>
            </w:pPr>
            <w:r>
              <w:rPr>
                <w:rFonts w:ascii="Arial" w:cs="Arial" w:eastAsia="Arial" w:hAnsi="Arial"/>
                <w:sz w:val="14"/>
                <w:szCs w:val="14"/>
                <w:color w:val="auto"/>
              </w:rPr>
              <w:t>B</w:t>
            </w:r>
          </w:p>
        </w:tc>
        <w:tc>
          <w:tcPr>
            <w:tcW w:w="480" w:type="dxa"/>
            <w:vAlign w:val="bottom"/>
          </w:tcPr>
          <w:p>
            <w:pPr>
              <w:spacing w:after="0"/>
              <w:rPr>
                <w:sz w:val="13"/>
                <w:szCs w:val="13"/>
                <w:color w:val="auto"/>
              </w:rPr>
            </w:pPr>
          </w:p>
        </w:tc>
        <w:tc>
          <w:tcPr>
            <w:tcW w:w="720" w:type="dxa"/>
            <w:vAlign w:val="bottom"/>
          </w:tcPr>
          <w:p>
            <w:pPr>
              <w:jc w:val="right"/>
              <w:spacing w:after="0" w:line="159" w:lineRule="exact"/>
              <w:rPr>
                <w:sz w:val="20"/>
                <w:szCs w:val="20"/>
                <w:color w:val="auto"/>
              </w:rPr>
            </w:pPr>
            <w:r>
              <w:rPr>
                <w:rFonts w:ascii="Arial" w:cs="Arial" w:eastAsia="Arial" w:hAnsi="Arial"/>
                <w:sz w:val="14"/>
                <w:szCs w:val="14"/>
                <w:color w:val="auto"/>
              </w:rPr>
              <w:t>6.75%</w:t>
            </w:r>
          </w:p>
        </w:tc>
        <w:tc>
          <w:tcPr>
            <w:tcW w:w="700" w:type="dxa"/>
            <w:vAlign w:val="bottom"/>
          </w:tcPr>
          <w:p>
            <w:pPr>
              <w:jc w:val="right"/>
              <w:spacing w:after="0" w:line="159" w:lineRule="exact"/>
              <w:rPr>
                <w:sz w:val="20"/>
                <w:szCs w:val="20"/>
                <w:color w:val="auto"/>
              </w:rPr>
            </w:pPr>
            <w:r>
              <w:rPr>
                <w:rFonts w:ascii="Arial" w:cs="Arial" w:eastAsia="Arial" w:hAnsi="Arial"/>
                <w:sz w:val="14"/>
                <w:szCs w:val="14"/>
                <w:color w:val="auto"/>
              </w:rPr>
              <w:t>5/29/2020</w:t>
            </w:r>
          </w:p>
        </w:tc>
        <w:tc>
          <w:tcPr>
            <w:tcW w:w="12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112"/>
              <w:spacing w:after="0" w:line="159" w:lineRule="exact"/>
              <w:rPr>
                <w:sz w:val="20"/>
                <w:szCs w:val="20"/>
                <w:color w:val="auto"/>
              </w:rPr>
            </w:pPr>
            <w:r>
              <w:rPr>
                <w:rFonts w:ascii="Arial" w:cs="Arial" w:eastAsia="Arial" w:hAnsi="Arial"/>
                <w:sz w:val="14"/>
                <w:szCs w:val="14"/>
                <w:color w:val="auto"/>
              </w:rPr>
              <w:t>937,857</w:t>
            </w:r>
          </w:p>
        </w:tc>
        <w:tc>
          <w:tcPr>
            <w:tcW w:w="900" w:type="dxa"/>
            <w:vAlign w:val="bottom"/>
          </w:tcPr>
          <w:p>
            <w:pPr>
              <w:jc w:val="right"/>
              <w:ind w:right="112"/>
              <w:spacing w:after="0" w:line="159" w:lineRule="exact"/>
              <w:rPr>
                <w:sz w:val="20"/>
                <w:szCs w:val="20"/>
                <w:color w:val="auto"/>
              </w:rPr>
            </w:pPr>
            <w:r>
              <w:rPr>
                <w:rFonts w:ascii="Arial" w:cs="Arial" w:eastAsia="Arial" w:hAnsi="Arial"/>
                <w:sz w:val="14"/>
                <w:szCs w:val="14"/>
                <w:color w:val="auto"/>
              </w:rPr>
              <w:t>921,126</w:t>
            </w:r>
          </w:p>
        </w:tc>
        <w:tc>
          <w:tcPr>
            <w:tcW w:w="800" w:type="dxa"/>
            <w:vAlign w:val="bottom"/>
          </w:tcPr>
          <w:p>
            <w:pPr>
              <w:jc w:val="right"/>
              <w:spacing w:after="0" w:line="159" w:lineRule="exact"/>
              <w:rPr>
                <w:sz w:val="20"/>
                <w:szCs w:val="20"/>
                <w:color w:val="auto"/>
              </w:rPr>
            </w:pPr>
            <w:r>
              <w:rPr>
                <w:rFonts w:ascii="Arial" w:cs="Arial" w:eastAsia="Arial" w:hAnsi="Arial"/>
                <w:sz w:val="14"/>
                <w:szCs w:val="14"/>
                <w:color w:val="auto"/>
              </w:rPr>
              <w:t>942,546</w:t>
            </w:r>
          </w:p>
        </w:tc>
      </w:tr>
      <w:tr>
        <w:trPr>
          <w:trHeight w:val="149"/>
        </w:trPr>
        <w:tc>
          <w:tcPr>
            <w:tcW w:w="4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Enviromental Resources Management</w:t>
            </w:r>
          </w:p>
        </w:tc>
        <w:tc>
          <w:tcPr>
            <w:tcW w:w="198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color w:val="auto"/>
              </w:rPr>
              <w:t>Services: Business</w:t>
            </w:r>
          </w:p>
        </w:tc>
        <w:tc>
          <w:tcPr>
            <w:tcW w:w="82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Term Loan</w:t>
            </w:r>
          </w:p>
        </w:tc>
        <w:tc>
          <w:tcPr>
            <w:tcW w:w="48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Loan</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5.00%</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5/14/2021</w:t>
            </w: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w w:val="83"/>
              </w:rPr>
              <w:t>1,000,000</w:t>
            </w:r>
          </w:p>
        </w:tc>
        <w:tc>
          <w:tcPr>
            <w:tcW w:w="90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990,000</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985,000</w:t>
            </w:r>
          </w:p>
        </w:tc>
      </w:tr>
      <w:tr>
        <w:trPr>
          <w:trHeight w:val="138"/>
        </w:trPr>
        <w:tc>
          <w:tcPr>
            <w:tcW w:w="4180" w:type="dxa"/>
            <w:vAlign w:val="bottom"/>
          </w:tcPr>
          <w:p>
            <w:pPr>
              <w:spacing w:after="0" w:line="138" w:lineRule="exact"/>
              <w:rPr>
                <w:sz w:val="20"/>
                <w:szCs w:val="20"/>
                <w:color w:val="auto"/>
              </w:rPr>
            </w:pPr>
            <w:r>
              <w:rPr>
                <w:rFonts w:ascii="Arial" w:cs="Arial" w:eastAsia="Arial" w:hAnsi="Arial"/>
                <w:sz w:val="14"/>
                <w:szCs w:val="14"/>
                <w:color w:val="auto"/>
              </w:rPr>
              <w:t>Evergreen Acqco 1 LP</w:t>
            </w:r>
          </w:p>
        </w:tc>
        <w:tc>
          <w:tcPr>
            <w:tcW w:w="1980" w:type="dxa"/>
            <w:vAlign w:val="bottom"/>
          </w:tcPr>
          <w:p>
            <w:pPr>
              <w:ind w:left="340"/>
              <w:spacing w:after="0" w:line="138" w:lineRule="exact"/>
              <w:rPr>
                <w:sz w:val="20"/>
                <w:szCs w:val="20"/>
                <w:color w:val="auto"/>
              </w:rPr>
            </w:pPr>
            <w:r>
              <w:rPr>
                <w:rFonts w:ascii="Arial" w:cs="Arial" w:eastAsia="Arial" w:hAnsi="Arial"/>
                <w:sz w:val="14"/>
                <w:szCs w:val="14"/>
                <w:color w:val="auto"/>
                <w:w w:val="95"/>
              </w:rPr>
              <w:t>Retailers (Except Food and</w:t>
            </w:r>
          </w:p>
        </w:tc>
        <w:tc>
          <w:tcPr>
            <w:tcW w:w="820" w:type="dxa"/>
            <w:vAlign w:val="bottom"/>
          </w:tcPr>
          <w:p>
            <w:pPr>
              <w:ind w:left="60"/>
              <w:spacing w:after="0" w:line="138" w:lineRule="exact"/>
              <w:rPr>
                <w:sz w:val="20"/>
                <w:szCs w:val="20"/>
                <w:color w:val="auto"/>
              </w:rPr>
            </w:pPr>
            <w:r>
              <w:rPr>
                <w:rFonts w:ascii="Arial" w:cs="Arial" w:eastAsia="Arial" w:hAnsi="Arial"/>
                <w:sz w:val="14"/>
                <w:szCs w:val="14"/>
                <w:color w:val="auto"/>
              </w:rPr>
              <w:t>New Term</w:t>
            </w:r>
          </w:p>
        </w:tc>
        <w:tc>
          <w:tcPr>
            <w:tcW w:w="480" w:type="dxa"/>
            <w:vAlign w:val="bottom"/>
          </w:tcPr>
          <w:p>
            <w:pPr>
              <w:ind w:left="60"/>
              <w:spacing w:after="0" w:line="138" w:lineRule="exact"/>
              <w:rPr>
                <w:sz w:val="20"/>
                <w:szCs w:val="20"/>
                <w:color w:val="auto"/>
              </w:rPr>
            </w:pPr>
            <w:r>
              <w:rPr>
                <w:rFonts w:ascii="Arial" w:cs="Arial" w:eastAsia="Arial" w:hAnsi="Arial"/>
                <w:sz w:val="14"/>
                <w:szCs w:val="14"/>
                <w:color w:val="auto"/>
              </w:rPr>
              <w:t>Loan</w:t>
            </w: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59"/>
        </w:trPr>
        <w:tc>
          <w:tcPr>
            <w:tcW w:w="4180" w:type="dxa"/>
            <w:vAlign w:val="bottom"/>
          </w:tcPr>
          <w:p>
            <w:pPr>
              <w:spacing w:after="0"/>
              <w:rPr>
                <w:sz w:val="13"/>
                <w:szCs w:val="13"/>
                <w:color w:val="auto"/>
              </w:rPr>
            </w:pPr>
          </w:p>
        </w:tc>
        <w:tc>
          <w:tcPr>
            <w:tcW w:w="1980" w:type="dxa"/>
            <w:vAlign w:val="bottom"/>
          </w:tcPr>
          <w:p>
            <w:pPr>
              <w:ind w:left="340"/>
              <w:spacing w:after="0" w:line="159" w:lineRule="exact"/>
              <w:rPr>
                <w:sz w:val="20"/>
                <w:szCs w:val="20"/>
                <w:color w:val="auto"/>
              </w:rPr>
            </w:pPr>
            <w:r>
              <w:rPr>
                <w:rFonts w:ascii="Arial" w:cs="Arial" w:eastAsia="Arial" w:hAnsi="Arial"/>
                <w:sz w:val="14"/>
                <w:szCs w:val="14"/>
                <w:color w:val="auto"/>
              </w:rPr>
              <w:t>Drugs)</w:t>
            </w:r>
          </w:p>
        </w:tc>
        <w:tc>
          <w:tcPr>
            <w:tcW w:w="820" w:type="dxa"/>
            <w:vAlign w:val="bottom"/>
          </w:tcPr>
          <w:p>
            <w:pPr>
              <w:ind w:left="60"/>
              <w:spacing w:after="0" w:line="159" w:lineRule="exact"/>
              <w:rPr>
                <w:sz w:val="20"/>
                <w:szCs w:val="20"/>
                <w:color w:val="auto"/>
              </w:rPr>
            </w:pPr>
            <w:r>
              <w:rPr>
                <w:rFonts w:ascii="Arial" w:cs="Arial" w:eastAsia="Arial" w:hAnsi="Arial"/>
                <w:sz w:val="14"/>
                <w:szCs w:val="14"/>
                <w:color w:val="auto"/>
              </w:rPr>
              <w:t>Loan</w:t>
            </w:r>
          </w:p>
        </w:tc>
        <w:tc>
          <w:tcPr>
            <w:tcW w:w="480" w:type="dxa"/>
            <w:vAlign w:val="bottom"/>
          </w:tcPr>
          <w:p>
            <w:pPr>
              <w:spacing w:after="0"/>
              <w:rPr>
                <w:sz w:val="13"/>
                <w:szCs w:val="13"/>
                <w:color w:val="auto"/>
              </w:rPr>
            </w:pPr>
          </w:p>
        </w:tc>
        <w:tc>
          <w:tcPr>
            <w:tcW w:w="720" w:type="dxa"/>
            <w:vAlign w:val="bottom"/>
          </w:tcPr>
          <w:p>
            <w:pPr>
              <w:jc w:val="right"/>
              <w:spacing w:after="0" w:line="159" w:lineRule="exact"/>
              <w:rPr>
                <w:sz w:val="20"/>
                <w:szCs w:val="20"/>
                <w:color w:val="auto"/>
              </w:rPr>
            </w:pPr>
            <w:r>
              <w:rPr>
                <w:rFonts w:ascii="Arial" w:cs="Arial" w:eastAsia="Arial" w:hAnsi="Arial"/>
                <w:sz w:val="14"/>
                <w:szCs w:val="14"/>
                <w:color w:val="auto"/>
              </w:rPr>
              <w:t>5.00%</w:t>
            </w:r>
          </w:p>
        </w:tc>
        <w:tc>
          <w:tcPr>
            <w:tcW w:w="700" w:type="dxa"/>
            <w:vAlign w:val="bottom"/>
          </w:tcPr>
          <w:p>
            <w:pPr>
              <w:jc w:val="right"/>
              <w:spacing w:after="0" w:line="159" w:lineRule="exact"/>
              <w:rPr>
                <w:sz w:val="20"/>
                <w:szCs w:val="20"/>
                <w:color w:val="auto"/>
              </w:rPr>
            </w:pPr>
            <w:r>
              <w:rPr>
                <w:rFonts w:ascii="Arial" w:cs="Arial" w:eastAsia="Arial" w:hAnsi="Arial"/>
                <w:sz w:val="14"/>
                <w:szCs w:val="14"/>
                <w:color w:val="auto"/>
              </w:rPr>
              <w:t>7/9/2019</w:t>
            </w:r>
          </w:p>
        </w:tc>
        <w:tc>
          <w:tcPr>
            <w:tcW w:w="12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112"/>
              <w:spacing w:after="0" w:line="159" w:lineRule="exact"/>
              <w:rPr>
                <w:sz w:val="20"/>
                <w:szCs w:val="20"/>
                <w:color w:val="auto"/>
              </w:rPr>
            </w:pPr>
            <w:r>
              <w:rPr>
                <w:rFonts w:ascii="Arial" w:cs="Arial" w:eastAsia="Arial" w:hAnsi="Arial"/>
                <w:sz w:val="14"/>
                <w:szCs w:val="14"/>
                <w:color w:val="auto"/>
              </w:rPr>
              <w:t>975,056</w:t>
            </w:r>
          </w:p>
        </w:tc>
        <w:tc>
          <w:tcPr>
            <w:tcW w:w="900" w:type="dxa"/>
            <w:vAlign w:val="bottom"/>
          </w:tcPr>
          <w:p>
            <w:pPr>
              <w:jc w:val="right"/>
              <w:ind w:right="112"/>
              <w:spacing w:after="0" w:line="159" w:lineRule="exact"/>
              <w:rPr>
                <w:sz w:val="20"/>
                <w:szCs w:val="20"/>
                <w:color w:val="auto"/>
              </w:rPr>
            </w:pPr>
            <w:r>
              <w:rPr>
                <w:rFonts w:ascii="Arial" w:cs="Arial" w:eastAsia="Arial" w:hAnsi="Arial"/>
                <w:sz w:val="14"/>
                <w:szCs w:val="14"/>
                <w:color w:val="auto"/>
              </w:rPr>
              <w:t>972,887</w:t>
            </w:r>
          </w:p>
        </w:tc>
        <w:tc>
          <w:tcPr>
            <w:tcW w:w="800" w:type="dxa"/>
            <w:vAlign w:val="bottom"/>
          </w:tcPr>
          <w:p>
            <w:pPr>
              <w:jc w:val="right"/>
              <w:spacing w:after="0" w:line="159" w:lineRule="exact"/>
              <w:rPr>
                <w:sz w:val="20"/>
                <w:szCs w:val="20"/>
                <w:color w:val="auto"/>
              </w:rPr>
            </w:pPr>
            <w:r>
              <w:rPr>
                <w:rFonts w:ascii="Arial" w:cs="Arial" w:eastAsia="Arial" w:hAnsi="Arial"/>
                <w:sz w:val="14"/>
                <w:szCs w:val="14"/>
                <w:color w:val="auto"/>
              </w:rPr>
              <w:t>955,555</w:t>
            </w:r>
          </w:p>
        </w:tc>
      </w:tr>
      <w:tr>
        <w:trPr>
          <w:trHeight w:val="138"/>
        </w:trPr>
        <w:tc>
          <w:tcPr>
            <w:tcW w:w="418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EWT Holdings III Corp. (fka WTG Holdings III Corp.)</w:t>
            </w:r>
          </w:p>
        </w:tc>
        <w:tc>
          <w:tcPr>
            <w:tcW w:w="1980" w:type="dxa"/>
            <w:vAlign w:val="bottom"/>
            <w:shd w:val="clear" w:color="auto" w:fill="CCEEFF"/>
          </w:tcPr>
          <w:p>
            <w:pPr>
              <w:ind w:left="340"/>
              <w:spacing w:after="0" w:line="138" w:lineRule="exact"/>
              <w:rPr>
                <w:sz w:val="20"/>
                <w:szCs w:val="20"/>
                <w:color w:val="auto"/>
              </w:rPr>
            </w:pPr>
            <w:r>
              <w:rPr>
                <w:rFonts w:ascii="Arial" w:cs="Arial" w:eastAsia="Arial" w:hAnsi="Arial"/>
                <w:sz w:val="14"/>
                <w:szCs w:val="14"/>
                <w:color w:val="auto"/>
              </w:rPr>
              <w:t>Industrial Equipment</w:t>
            </w:r>
          </w:p>
        </w:tc>
        <w:tc>
          <w:tcPr>
            <w:tcW w:w="820" w:type="dxa"/>
            <w:vAlign w:val="bottom"/>
            <w:shd w:val="clear" w:color="auto" w:fill="CCEEFF"/>
          </w:tcPr>
          <w:p>
            <w:pPr>
              <w:ind w:left="60"/>
              <w:spacing w:after="0" w:line="138" w:lineRule="exact"/>
              <w:rPr>
                <w:sz w:val="20"/>
                <w:szCs w:val="20"/>
                <w:color w:val="auto"/>
              </w:rPr>
            </w:pPr>
            <w:r>
              <w:rPr>
                <w:rFonts w:ascii="Arial" w:cs="Arial" w:eastAsia="Arial" w:hAnsi="Arial"/>
                <w:sz w:val="14"/>
                <w:szCs w:val="14"/>
                <w:color w:val="auto"/>
              </w:rPr>
              <w:t>Term Loan</w:t>
            </w:r>
          </w:p>
        </w:tc>
        <w:tc>
          <w:tcPr>
            <w:tcW w:w="480" w:type="dxa"/>
            <w:vAlign w:val="bottom"/>
            <w:shd w:val="clear" w:color="auto" w:fill="CCEEFF"/>
          </w:tcPr>
          <w:p>
            <w:pPr>
              <w:ind w:left="60"/>
              <w:spacing w:after="0" w:line="138" w:lineRule="exact"/>
              <w:rPr>
                <w:sz w:val="20"/>
                <w:szCs w:val="20"/>
                <w:color w:val="auto"/>
              </w:rPr>
            </w:pPr>
            <w:r>
              <w:rPr>
                <w:rFonts w:ascii="Arial" w:cs="Arial" w:eastAsia="Arial" w:hAnsi="Arial"/>
                <w:sz w:val="14"/>
                <w:szCs w:val="14"/>
                <w:color w:val="auto"/>
              </w:rPr>
              <w:t>Loan</w:t>
            </w:r>
          </w:p>
        </w:tc>
        <w:tc>
          <w:tcPr>
            <w:tcW w:w="7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r>
      <w:tr>
        <w:trPr>
          <w:trHeight w:val="159"/>
        </w:trPr>
        <w:tc>
          <w:tcPr>
            <w:tcW w:w="4180" w:type="dxa"/>
            <w:vAlign w:val="bottom"/>
            <w:shd w:val="clear" w:color="auto" w:fill="CCEEFF"/>
          </w:tcPr>
          <w:p>
            <w:pPr>
              <w:spacing w:after="0"/>
              <w:rPr>
                <w:sz w:val="13"/>
                <w:szCs w:val="13"/>
                <w:color w:val="auto"/>
              </w:rPr>
            </w:pPr>
          </w:p>
        </w:tc>
        <w:tc>
          <w:tcPr>
            <w:tcW w:w="1980" w:type="dxa"/>
            <w:vAlign w:val="bottom"/>
            <w:shd w:val="clear" w:color="auto" w:fill="CCEEFF"/>
          </w:tcPr>
          <w:p>
            <w:pPr>
              <w:spacing w:after="0"/>
              <w:rPr>
                <w:sz w:val="13"/>
                <w:szCs w:val="13"/>
                <w:color w:val="auto"/>
              </w:rPr>
            </w:pPr>
          </w:p>
        </w:tc>
        <w:tc>
          <w:tcPr>
            <w:tcW w:w="820" w:type="dxa"/>
            <w:vAlign w:val="bottom"/>
            <w:shd w:val="clear" w:color="auto" w:fill="CCEEFF"/>
          </w:tcPr>
          <w:p>
            <w:pPr>
              <w:ind w:left="60"/>
              <w:spacing w:after="0" w:line="159" w:lineRule="exact"/>
              <w:rPr>
                <w:sz w:val="20"/>
                <w:szCs w:val="20"/>
                <w:color w:val="auto"/>
              </w:rPr>
            </w:pPr>
            <w:r>
              <w:rPr>
                <w:rFonts w:ascii="Arial" w:cs="Arial" w:eastAsia="Arial" w:hAnsi="Arial"/>
                <w:sz w:val="14"/>
                <w:szCs w:val="14"/>
                <w:color w:val="auto"/>
              </w:rPr>
              <w:t>(First Lien)</w:t>
            </w:r>
          </w:p>
        </w:tc>
        <w:tc>
          <w:tcPr>
            <w:tcW w:w="48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4.75%</w:t>
            </w:r>
          </w:p>
        </w:tc>
        <w:tc>
          <w:tcPr>
            <w:tcW w:w="7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1/15/2021</w:t>
            </w:r>
          </w:p>
        </w:tc>
        <w:tc>
          <w:tcPr>
            <w:tcW w:w="1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112"/>
              <w:spacing w:after="0" w:line="159" w:lineRule="exact"/>
              <w:rPr>
                <w:sz w:val="20"/>
                <w:szCs w:val="20"/>
                <w:color w:val="auto"/>
              </w:rPr>
            </w:pPr>
            <w:r>
              <w:rPr>
                <w:rFonts w:ascii="Arial" w:cs="Arial" w:eastAsia="Arial" w:hAnsi="Arial"/>
                <w:sz w:val="14"/>
                <w:szCs w:val="14"/>
                <w:color w:val="auto"/>
                <w:w w:val="83"/>
              </w:rPr>
              <w:t>1,987,481</w:t>
            </w:r>
          </w:p>
        </w:tc>
        <w:tc>
          <w:tcPr>
            <w:tcW w:w="900" w:type="dxa"/>
            <w:vAlign w:val="bottom"/>
            <w:shd w:val="clear" w:color="auto" w:fill="CCEEFF"/>
          </w:tcPr>
          <w:p>
            <w:pPr>
              <w:jc w:val="right"/>
              <w:ind w:right="112"/>
              <w:spacing w:after="0" w:line="159" w:lineRule="exact"/>
              <w:rPr>
                <w:sz w:val="20"/>
                <w:szCs w:val="20"/>
                <w:color w:val="auto"/>
              </w:rPr>
            </w:pPr>
            <w:r>
              <w:rPr>
                <w:rFonts w:ascii="Arial" w:cs="Arial" w:eastAsia="Arial" w:hAnsi="Arial"/>
                <w:sz w:val="14"/>
                <w:szCs w:val="14"/>
                <w:color w:val="auto"/>
              </w:rPr>
              <w:t>1,982,274</w:t>
            </w:r>
          </w:p>
        </w:tc>
        <w:tc>
          <w:tcPr>
            <w:tcW w:w="8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1,972,575</w:t>
            </w:r>
          </w:p>
        </w:tc>
      </w:tr>
      <w:tr>
        <w:trPr>
          <w:trHeight w:val="138"/>
        </w:trPr>
        <w:tc>
          <w:tcPr>
            <w:tcW w:w="4180" w:type="dxa"/>
            <w:vAlign w:val="bottom"/>
          </w:tcPr>
          <w:p>
            <w:pPr>
              <w:spacing w:after="0" w:line="138" w:lineRule="exact"/>
              <w:rPr>
                <w:sz w:val="20"/>
                <w:szCs w:val="20"/>
                <w:color w:val="auto"/>
              </w:rPr>
            </w:pPr>
            <w:r>
              <w:rPr>
                <w:rFonts w:ascii="Arial" w:cs="Arial" w:eastAsia="Arial" w:hAnsi="Arial"/>
                <w:sz w:val="14"/>
                <w:szCs w:val="14"/>
                <w:color w:val="auto"/>
              </w:rPr>
              <w:t>Federal-Mogul Corporation</w:t>
            </w:r>
          </w:p>
        </w:tc>
        <w:tc>
          <w:tcPr>
            <w:tcW w:w="1980" w:type="dxa"/>
            <w:vAlign w:val="bottom"/>
          </w:tcPr>
          <w:p>
            <w:pPr>
              <w:ind w:left="340"/>
              <w:spacing w:after="0" w:line="138" w:lineRule="exact"/>
              <w:rPr>
                <w:sz w:val="20"/>
                <w:szCs w:val="20"/>
                <w:color w:val="auto"/>
              </w:rPr>
            </w:pPr>
            <w:r>
              <w:rPr>
                <w:rFonts w:ascii="Arial" w:cs="Arial" w:eastAsia="Arial" w:hAnsi="Arial"/>
                <w:sz w:val="14"/>
                <w:szCs w:val="14"/>
                <w:color w:val="auto"/>
              </w:rPr>
              <w:t>Automotive</w:t>
            </w:r>
          </w:p>
        </w:tc>
        <w:tc>
          <w:tcPr>
            <w:tcW w:w="820" w:type="dxa"/>
            <w:vAlign w:val="bottom"/>
          </w:tcPr>
          <w:p>
            <w:pPr>
              <w:ind w:left="60"/>
              <w:spacing w:after="0" w:line="138" w:lineRule="exact"/>
              <w:rPr>
                <w:sz w:val="20"/>
                <w:szCs w:val="20"/>
                <w:color w:val="auto"/>
              </w:rPr>
            </w:pPr>
            <w:r>
              <w:rPr>
                <w:rFonts w:ascii="Arial" w:cs="Arial" w:eastAsia="Arial" w:hAnsi="Arial"/>
                <w:sz w:val="14"/>
                <w:szCs w:val="14"/>
                <w:color w:val="auto"/>
              </w:rPr>
              <w:t>Tranche C</w:t>
            </w:r>
          </w:p>
        </w:tc>
        <w:tc>
          <w:tcPr>
            <w:tcW w:w="480" w:type="dxa"/>
            <w:vAlign w:val="bottom"/>
          </w:tcPr>
          <w:p>
            <w:pPr>
              <w:ind w:left="60"/>
              <w:spacing w:after="0" w:line="138" w:lineRule="exact"/>
              <w:rPr>
                <w:sz w:val="20"/>
                <w:szCs w:val="20"/>
                <w:color w:val="auto"/>
              </w:rPr>
            </w:pPr>
            <w:r>
              <w:rPr>
                <w:rFonts w:ascii="Arial" w:cs="Arial" w:eastAsia="Arial" w:hAnsi="Arial"/>
                <w:sz w:val="14"/>
                <w:szCs w:val="14"/>
                <w:color w:val="auto"/>
              </w:rPr>
              <w:t>Loan</w:t>
            </w: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59"/>
        </w:trPr>
        <w:tc>
          <w:tcPr>
            <w:tcW w:w="418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820" w:type="dxa"/>
            <w:vAlign w:val="bottom"/>
          </w:tcPr>
          <w:p>
            <w:pPr>
              <w:ind w:left="60"/>
              <w:spacing w:after="0" w:line="159" w:lineRule="exact"/>
              <w:rPr>
                <w:sz w:val="20"/>
                <w:szCs w:val="20"/>
                <w:color w:val="auto"/>
              </w:rPr>
            </w:pPr>
            <w:r>
              <w:rPr>
                <w:rFonts w:ascii="Arial" w:cs="Arial" w:eastAsia="Arial" w:hAnsi="Arial"/>
                <w:sz w:val="14"/>
                <w:szCs w:val="14"/>
                <w:color w:val="auto"/>
              </w:rPr>
              <w:t>Term Loan</w:t>
            </w:r>
          </w:p>
        </w:tc>
        <w:tc>
          <w:tcPr>
            <w:tcW w:w="480" w:type="dxa"/>
            <w:vAlign w:val="bottom"/>
          </w:tcPr>
          <w:p>
            <w:pPr>
              <w:spacing w:after="0"/>
              <w:rPr>
                <w:sz w:val="13"/>
                <w:szCs w:val="13"/>
                <w:color w:val="auto"/>
              </w:rPr>
            </w:pPr>
          </w:p>
        </w:tc>
        <w:tc>
          <w:tcPr>
            <w:tcW w:w="720" w:type="dxa"/>
            <w:vAlign w:val="bottom"/>
          </w:tcPr>
          <w:p>
            <w:pPr>
              <w:jc w:val="right"/>
              <w:spacing w:after="0" w:line="159" w:lineRule="exact"/>
              <w:rPr>
                <w:sz w:val="20"/>
                <w:szCs w:val="20"/>
                <w:color w:val="auto"/>
              </w:rPr>
            </w:pPr>
            <w:r>
              <w:rPr>
                <w:rFonts w:ascii="Arial" w:cs="Arial" w:eastAsia="Arial" w:hAnsi="Arial"/>
                <w:sz w:val="14"/>
                <w:szCs w:val="14"/>
                <w:color w:val="auto"/>
              </w:rPr>
              <w:t>4.75%</w:t>
            </w:r>
          </w:p>
        </w:tc>
        <w:tc>
          <w:tcPr>
            <w:tcW w:w="700" w:type="dxa"/>
            <w:vAlign w:val="bottom"/>
          </w:tcPr>
          <w:p>
            <w:pPr>
              <w:jc w:val="right"/>
              <w:spacing w:after="0" w:line="159" w:lineRule="exact"/>
              <w:rPr>
                <w:sz w:val="20"/>
                <w:szCs w:val="20"/>
                <w:color w:val="auto"/>
              </w:rPr>
            </w:pPr>
            <w:r>
              <w:rPr>
                <w:rFonts w:ascii="Arial" w:cs="Arial" w:eastAsia="Arial" w:hAnsi="Arial"/>
                <w:sz w:val="14"/>
                <w:szCs w:val="14"/>
                <w:color w:val="auto"/>
              </w:rPr>
              <w:t>4/15/2021</w:t>
            </w:r>
          </w:p>
        </w:tc>
        <w:tc>
          <w:tcPr>
            <w:tcW w:w="12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112"/>
              <w:spacing w:after="0" w:line="159" w:lineRule="exact"/>
              <w:rPr>
                <w:sz w:val="20"/>
                <w:szCs w:val="20"/>
                <w:color w:val="auto"/>
              </w:rPr>
            </w:pPr>
            <w:r>
              <w:rPr>
                <w:rFonts w:ascii="Arial" w:cs="Arial" w:eastAsia="Arial" w:hAnsi="Arial"/>
                <w:sz w:val="14"/>
                <w:szCs w:val="14"/>
                <w:color w:val="auto"/>
                <w:w w:val="83"/>
              </w:rPr>
              <w:t>2,985,000</w:t>
            </w:r>
          </w:p>
        </w:tc>
        <w:tc>
          <w:tcPr>
            <w:tcW w:w="900" w:type="dxa"/>
            <w:vAlign w:val="bottom"/>
          </w:tcPr>
          <w:p>
            <w:pPr>
              <w:jc w:val="right"/>
              <w:ind w:right="112"/>
              <w:spacing w:after="0" w:line="159" w:lineRule="exact"/>
              <w:rPr>
                <w:sz w:val="20"/>
                <w:szCs w:val="20"/>
                <w:color w:val="auto"/>
              </w:rPr>
            </w:pPr>
            <w:r>
              <w:rPr>
                <w:rFonts w:ascii="Arial" w:cs="Arial" w:eastAsia="Arial" w:hAnsi="Arial"/>
                <w:sz w:val="14"/>
                <w:szCs w:val="14"/>
                <w:color w:val="auto"/>
              </w:rPr>
              <w:t>2,971,883</w:t>
            </w:r>
          </w:p>
        </w:tc>
        <w:tc>
          <w:tcPr>
            <w:tcW w:w="800" w:type="dxa"/>
            <w:vAlign w:val="bottom"/>
          </w:tcPr>
          <w:p>
            <w:pPr>
              <w:jc w:val="right"/>
              <w:spacing w:after="0" w:line="159" w:lineRule="exact"/>
              <w:rPr>
                <w:sz w:val="20"/>
                <w:szCs w:val="20"/>
                <w:color w:val="auto"/>
              </w:rPr>
            </w:pPr>
            <w:r>
              <w:rPr>
                <w:rFonts w:ascii="Arial" w:cs="Arial" w:eastAsia="Arial" w:hAnsi="Arial"/>
                <w:sz w:val="14"/>
                <w:szCs w:val="14"/>
                <w:color w:val="auto"/>
              </w:rPr>
              <w:t>2,975,687</w:t>
            </w:r>
          </w:p>
        </w:tc>
      </w:tr>
      <w:tr>
        <w:trPr>
          <w:trHeight w:val="138"/>
        </w:trPr>
        <w:tc>
          <w:tcPr>
            <w:tcW w:w="418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First Data Corporation</w:t>
            </w:r>
          </w:p>
        </w:tc>
        <w:tc>
          <w:tcPr>
            <w:tcW w:w="1980" w:type="dxa"/>
            <w:vAlign w:val="bottom"/>
            <w:shd w:val="clear" w:color="auto" w:fill="CCEEFF"/>
          </w:tcPr>
          <w:p>
            <w:pPr>
              <w:ind w:left="340"/>
              <w:spacing w:after="0" w:line="138" w:lineRule="exact"/>
              <w:rPr>
                <w:sz w:val="20"/>
                <w:szCs w:val="20"/>
                <w:color w:val="auto"/>
              </w:rPr>
            </w:pPr>
            <w:r>
              <w:rPr>
                <w:rFonts w:ascii="Arial" w:cs="Arial" w:eastAsia="Arial" w:hAnsi="Arial"/>
                <w:sz w:val="14"/>
                <w:szCs w:val="14"/>
                <w:color w:val="auto"/>
              </w:rPr>
              <w:t>Financial Intermediaries</w:t>
            </w:r>
          </w:p>
        </w:tc>
        <w:tc>
          <w:tcPr>
            <w:tcW w:w="820" w:type="dxa"/>
            <w:vAlign w:val="bottom"/>
            <w:shd w:val="clear" w:color="auto" w:fill="CCEEFF"/>
          </w:tcPr>
          <w:p>
            <w:pPr>
              <w:ind w:left="60"/>
              <w:spacing w:after="0" w:line="138" w:lineRule="exact"/>
              <w:rPr>
                <w:sz w:val="20"/>
                <w:szCs w:val="20"/>
                <w:color w:val="auto"/>
              </w:rPr>
            </w:pPr>
            <w:r>
              <w:rPr>
                <w:rFonts w:ascii="Arial" w:cs="Arial" w:eastAsia="Arial" w:hAnsi="Arial"/>
                <w:sz w:val="14"/>
                <w:szCs w:val="14"/>
                <w:color w:val="auto"/>
                <w:w w:val="89"/>
              </w:rPr>
              <w:t>2017 Second</w:t>
            </w:r>
          </w:p>
        </w:tc>
        <w:tc>
          <w:tcPr>
            <w:tcW w:w="480" w:type="dxa"/>
            <w:vAlign w:val="bottom"/>
            <w:shd w:val="clear" w:color="auto" w:fill="CCEEFF"/>
          </w:tcPr>
          <w:p>
            <w:pPr>
              <w:ind w:left="60"/>
              <w:spacing w:after="0" w:line="138" w:lineRule="exact"/>
              <w:rPr>
                <w:sz w:val="20"/>
                <w:szCs w:val="20"/>
                <w:color w:val="auto"/>
              </w:rPr>
            </w:pPr>
            <w:r>
              <w:rPr>
                <w:rFonts w:ascii="Arial" w:cs="Arial" w:eastAsia="Arial" w:hAnsi="Arial"/>
                <w:sz w:val="14"/>
                <w:szCs w:val="14"/>
                <w:color w:val="auto"/>
              </w:rPr>
              <w:t>Loan</w:t>
            </w:r>
          </w:p>
        </w:tc>
        <w:tc>
          <w:tcPr>
            <w:tcW w:w="7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r>
      <w:tr>
        <w:trPr>
          <w:trHeight w:val="149"/>
        </w:trPr>
        <w:tc>
          <w:tcPr>
            <w:tcW w:w="4180" w:type="dxa"/>
            <w:vAlign w:val="bottom"/>
            <w:shd w:val="clear" w:color="auto" w:fill="CCEEFF"/>
          </w:tcPr>
          <w:p>
            <w:pPr>
              <w:spacing w:after="0"/>
              <w:rPr>
                <w:sz w:val="12"/>
                <w:szCs w:val="12"/>
                <w:color w:val="auto"/>
              </w:rPr>
            </w:pPr>
          </w:p>
        </w:tc>
        <w:tc>
          <w:tcPr>
            <w:tcW w:w="1980" w:type="dxa"/>
            <w:vAlign w:val="bottom"/>
            <w:shd w:val="clear" w:color="auto" w:fill="CCEEFF"/>
          </w:tcPr>
          <w:p>
            <w:pPr>
              <w:spacing w:after="0"/>
              <w:rPr>
                <w:sz w:val="12"/>
                <w:szCs w:val="12"/>
                <w:color w:val="auto"/>
              </w:rPr>
            </w:pPr>
          </w:p>
        </w:tc>
        <w:tc>
          <w:tcPr>
            <w:tcW w:w="82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New Dollar</w:t>
            </w:r>
          </w:p>
        </w:tc>
        <w:tc>
          <w:tcPr>
            <w:tcW w:w="4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r>
      <w:tr>
        <w:trPr>
          <w:trHeight w:val="159"/>
        </w:trPr>
        <w:tc>
          <w:tcPr>
            <w:tcW w:w="4180" w:type="dxa"/>
            <w:vAlign w:val="bottom"/>
            <w:shd w:val="clear" w:color="auto" w:fill="CCEEFF"/>
          </w:tcPr>
          <w:p>
            <w:pPr>
              <w:spacing w:after="0"/>
              <w:rPr>
                <w:sz w:val="13"/>
                <w:szCs w:val="13"/>
                <w:color w:val="auto"/>
              </w:rPr>
            </w:pPr>
          </w:p>
        </w:tc>
        <w:tc>
          <w:tcPr>
            <w:tcW w:w="1980" w:type="dxa"/>
            <w:vAlign w:val="bottom"/>
            <w:shd w:val="clear" w:color="auto" w:fill="CCEEFF"/>
          </w:tcPr>
          <w:p>
            <w:pPr>
              <w:spacing w:after="0"/>
              <w:rPr>
                <w:sz w:val="13"/>
                <w:szCs w:val="13"/>
                <w:color w:val="auto"/>
              </w:rPr>
            </w:pPr>
          </w:p>
        </w:tc>
        <w:tc>
          <w:tcPr>
            <w:tcW w:w="820" w:type="dxa"/>
            <w:vAlign w:val="bottom"/>
            <w:shd w:val="clear" w:color="auto" w:fill="CCEEFF"/>
          </w:tcPr>
          <w:p>
            <w:pPr>
              <w:ind w:left="60"/>
              <w:spacing w:after="0" w:line="159" w:lineRule="exact"/>
              <w:rPr>
                <w:sz w:val="20"/>
                <w:szCs w:val="20"/>
                <w:color w:val="auto"/>
              </w:rPr>
            </w:pPr>
            <w:r>
              <w:rPr>
                <w:rFonts w:ascii="Arial" w:cs="Arial" w:eastAsia="Arial" w:hAnsi="Arial"/>
                <w:sz w:val="14"/>
                <w:szCs w:val="14"/>
                <w:color w:val="auto"/>
              </w:rPr>
              <w:t>Term Loan</w:t>
            </w:r>
          </w:p>
        </w:tc>
        <w:tc>
          <w:tcPr>
            <w:tcW w:w="48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3.74%</w:t>
            </w:r>
          </w:p>
        </w:tc>
        <w:tc>
          <w:tcPr>
            <w:tcW w:w="7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3/23/2018</w:t>
            </w:r>
          </w:p>
        </w:tc>
        <w:tc>
          <w:tcPr>
            <w:tcW w:w="1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112"/>
              <w:spacing w:after="0" w:line="159" w:lineRule="exact"/>
              <w:rPr>
                <w:sz w:val="20"/>
                <w:szCs w:val="20"/>
                <w:color w:val="auto"/>
              </w:rPr>
            </w:pPr>
            <w:r>
              <w:rPr>
                <w:rFonts w:ascii="Arial" w:cs="Arial" w:eastAsia="Arial" w:hAnsi="Arial"/>
                <w:sz w:val="14"/>
                <w:szCs w:val="14"/>
                <w:color w:val="auto"/>
                <w:w w:val="83"/>
              </w:rPr>
              <w:t>2,790,451</w:t>
            </w:r>
          </w:p>
        </w:tc>
        <w:tc>
          <w:tcPr>
            <w:tcW w:w="900" w:type="dxa"/>
            <w:vAlign w:val="bottom"/>
            <w:shd w:val="clear" w:color="auto" w:fill="CCEEFF"/>
          </w:tcPr>
          <w:p>
            <w:pPr>
              <w:jc w:val="right"/>
              <w:ind w:right="112"/>
              <w:spacing w:after="0" w:line="159" w:lineRule="exact"/>
              <w:rPr>
                <w:sz w:val="20"/>
                <w:szCs w:val="20"/>
                <w:color w:val="auto"/>
              </w:rPr>
            </w:pPr>
            <w:r>
              <w:rPr>
                <w:rFonts w:ascii="Arial" w:cs="Arial" w:eastAsia="Arial" w:hAnsi="Arial"/>
                <w:sz w:val="14"/>
                <w:szCs w:val="14"/>
                <w:color w:val="auto"/>
              </w:rPr>
              <w:t>2,729,399</w:t>
            </w:r>
          </w:p>
        </w:tc>
        <w:tc>
          <w:tcPr>
            <w:tcW w:w="8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2,785,568</w:t>
            </w:r>
          </w:p>
        </w:tc>
      </w:tr>
      <w:tr>
        <w:trPr>
          <w:trHeight w:val="138"/>
        </w:trPr>
        <w:tc>
          <w:tcPr>
            <w:tcW w:w="4180" w:type="dxa"/>
            <w:vAlign w:val="bottom"/>
          </w:tcPr>
          <w:p>
            <w:pPr>
              <w:spacing w:after="0" w:line="138" w:lineRule="exact"/>
              <w:rPr>
                <w:sz w:val="20"/>
                <w:szCs w:val="20"/>
                <w:color w:val="auto"/>
              </w:rPr>
            </w:pPr>
            <w:r>
              <w:rPr>
                <w:rFonts w:ascii="Arial" w:cs="Arial" w:eastAsia="Arial" w:hAnsi="Arial"/>
                <w:sz w:val="14"/>
                <w:szCs w:val="14"/>
                <w:color w:val="auto"/>
              </w:rPr>
              <w:t>First Data Corporation</w:t>
            </w:r>
          </w:p>
        </w:tc>
        <w:tc>
          <w:tcPr>
            <w:tcW w:w="1980" w:type="dxa"/>
            <w:vAlign w:val="bottom"/>
          </w:tcPr>
          <w:p>
            <w:pPr>
              <w:ind w:left="340"/>
              <w:spacing w:after="0" w:line="138" w:lineRule="exact"/>
              <w:rPr>
                <w:sz w:val="20"/>
                <w:szCs w:val="20"/>
                <w:color w:val="auto"/>
              </w:rPr>
            </w:pPr>
            <w:r>
              <w:rPr>
                <w:rFonts w:ascii="Arial" w:cs="Arial" w:eastAsia="Arial" w:hAnsi="Arial"/>
                <w:sz w:val="14"/>
                <w:szCs w:val="14"/>
                <w:color w:val="auto"/>
              </w:rPr>
              <w:t>Financial Intermediaries</w:t>
            </w:r>
          </w:p>
        </w:tc>
        <w:tc>
          <w:tcPr>
            <w:tcW w:w="820" w:type="dxa"/>
            <w:vAlign w:val="bottom"/>
          </w:tcPr>
          <w:p>
            <w:pPr>
              <w:ind w:left="60"/>
              <w:spacing w:after="0" w:line="138" w:lineRule="exact"/>
              <w:rPr>
                <w:sz w:val="20"/>
                <w:szCs w:val="20"/>
                <w:color w:val="auto"/>
              </w:rPr>
            </w:pPr>
            <w:r>
              <w:rPr>
                <w:rFonts w:ascii="Arial" w:cs="Arial" w:eastAsia="Arial" w:hAnsi="Arial"/>
                <w:sz w:val="14"/>
                <w:szCs w:val="14"/>
                <w:color w:val="auto"/>
              </w:rPr>
              <w:t>2018 Dollar</w:t>
            </w:r>
          </w:p>
        </w:tc>
        <w:tc>
          <w:tcPr>
            <w:tcW w:w="480" w:type="dxa"/>
            <w:vAlign w:val="bottom"/>
          </w:tcPr>
          <w:p>
            <w:pPr>
              <w:ind w:left="60"/>
              <w:spacing w:after="0" w:line="138" w:lineRule="exact"/>
              <w:rPr>
                <w:sz w:val="20"/>
                <w:szCs w:val="20"/>
                <w:color w:val="auto"/>
              </w:rPr>
            </w:pPr>
            <w:r>
              <w:rPr>
                <w:rFonts w:ascii="Arial" w:cs="Arial" w:eastAsia="Arial" w:hAnsi="Arial"/>
                <w:sz w:val="14"/>
                <w:szCs w:val="14"/>
                <w:color w:val="auto"/>
              </w:rPr>
              <w:t>Loan</w:t>
            </w: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59"/>
        </w:trPr>
        <w:tc>
          <w:tcPr>
            <w:tcW w:w="418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820" w:type="dxa"/>
            <w:vAlign w:val="bottom"/>
          </w:tcPr>
          <w:p>
            <w:pPr>
              <w:ind w:left="60"/>
              <w:spacing w:after="0" w:line="159" w:lineRule="exact"/>
              <w:rPr>
                <w:sz w:val="20"/>
                <w:szCs w:val="20"/>
                <w:color w:val="auto"/>
              </w:rPr>
            </w:pPr>
            <w:r>
              <w:rPr>
                <w:rFonts w:ascii="Arial" w:cs="Arial" w:eastAsia="Arial" w:hAnsi="Arial"/>
                <w:sz w:val="14"/>
                <w:szCs w:val="14"/>
                <w:color w:val="auto"/>
              </w:rPr>
              <w:t>Term Loan</w:t>
            </w:r>
          </w:p>
        </w:tc>
        <w:tc>
          <w:tcPr>
            <w:tcW w:w="480" w:type="dxa"/>
            <w:vAlign w:val="bottom"/>
          </w:tcPr>
          <w:p>
            <w:pPr>
              <w:spacing w:after="0"/>
              <w:rPr>
                <w:sz w:val="13"/>
                <w:szCs w:val="13"/>
                <w:color w:val="auto"/>
              </w:rPr>
            </w:pPr>
          </w:p>
        </w:tc>
        <w:tc>
          <w:tcPr>
            <w:tcW w:w="720" w:type="dxa"/>
            <w:vAlign w:val="bottom"/>
          </w:tcPr>
          <w:p>
            <w:pPr>
              <w:jc w:val="right"/>
              <w:spacing w:after="0" w:line="159" w:lineRule="exact"/>
              <w:rPr>
                <w:sz w:val="20"/>
                <w:szCs w:val="20"/>
                <w:color w:val="auto"/>
              </w:rPr>
            </w:pPr>
            <w:r>
              <w:rPr>
                <w:rFonts w:ascii="Arial" w:cs="Arial" w:eastAsia="Arial" w:hAnsi="Arial"/>
                <w:sz w:val="14"/>
                <w:szCs w:val="14"/>
                <w:color w:val="auto"/>
              </w:rPr>
              <w:t>4.24%</w:t>
            </w:r>
          </w:p>
        </w:tc>
        <w:tc>
          <w:tcPr>
            <w:tcW w:w="700" w:type="dxa"/>
            <w:vAlign w:val="bottom"/>
          </w:tcPr>
          <w:p>
            <w:pPr>
              <w:jc w:val="right"/>
              <w:spacing w:after="0" w:line="159" w:lineRule="exact"/>
              <w:rPr>
                <w:sz w:val="20"/>
                <w:szCs w:val="20"/>
                <w:color w:val="auto"/>
              </w:rPr>
            </w:pPr>
            <w:r>
              <w:rPr>
                <w:rFonts w:ascii="Arial" w:cs="Arial" w:eastAsia="Arial" w:hAnsi="Arial"/>
                <w:sz w:val="14"/>
                <w:szCs w:val="14"/>
                <w:color w:val="auto"/>
              </w:rPr>
              <w:t>3/24/2021</w:t>
            </w:r>
          </w:p>
        </w:tc>
        <w:tc>
          <w:tcPr>
            <w:tcW w:w="12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112"/>
              <w:spacing w:after="0" w:line="159" w:lineRule="exact"/>
              <w:rPr>
                <w:sz w:val="20"/>
                <w:szCs w:val="20"/>
                <w:color w:val="auto"/>
              </w:rPr>
            </w:pPr>
            <w:r>
              <w:rPr>
                <w:rFonts w:ascii="Arial" w:cs="Arial" w:eastAsia="Arial" w:hAnsi="Arial"/>
                <w:sz w:val="14"/>
                <w:szCs w:val="14"/>
                <w:color w:val="auto"/>
                <w:w w:val="83"/>
              </w:rPr>
              <w:t>2,111,028</w:t>
            </w:r>
          </w:p>
        </w:tc>
        <w:tc>
          <w:tcPr>
            <w:tcW w:w="900" w:type="dxa"/>
            <w:vAlign w:val="bottom"/>
          </w:tcPr>
          <w:p>
            <w:pPr>
              <w:jc w:val="right"/>
              <w:ind w:right="112"/>
              <w:spacing w:after="0" w:line="159" w:lineRule="exact"/>
              <w:rPr>
                <w:sz w:val="20"/>
                <w:szCs w:val="20"/>
                <w:color w:val="auto"/>
              </w:rPr>
            </w:pPr>
            <w:r>
              <w:rPr>
                <w:rFonts w:ascii="Arial" w:cs="Arial" w:eastAsia="Arial" w:hAnsi="Arial"/>
                <w:sz w:val="14"/>
                <w:szCs w:val="14"/>
                <w:color w:val="auto"/>
              </w:rPr>
              <w:t>2,021,476</w:t>
            </w:r>
          </w:p>
        </w:tc>
        <w:tc>
          <w:tcPr>
            <w:tcW w:w="800" w:type="dxa"/>
            <w:vAlign w:val="bottom"/>
          </w:tcPr>
          <w:p>
            <w:pPr>
              <w:jc w:val="right"/>
              <w:spacing w:after="0" w:line="159" w:lineRule="exact"/>
              <w:rPr>
                <w:sz w:val="20"/>
                <w:szCs w:val="20"/>
                <w:color w:val="auto"/>
              </w:rPr>
            </w:pPr>
            <w:r>
              <w:rPr>
                <w:rFonts w:ascii="Arial" w:cs="Arial" w:eastAsia="Arial" w:hAnsi="Arial"/>
                <w:sz w:val="14"/>
                <w:szCs w:val="14"/>
                <w:color w:val="auto"/>
              </w:rPr>
              <w:t>2,115,777</w:t>
            </w:r>
          </w:p>
        </w:tc>
      </w:tr>
      <w:tr>
        <w:trPr>
          <w:trHeight w:val="138"/>
        </w:trPr>
        <w:tc>
          <w:tcPr>
            <w:tcW w:w="418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Fitness International, LLC</w:t>
            </w:r>
          </w:p>
        </w:tc>
        <w:tc>
          <w:tcPr>
            <w:tcW w:w="1980" w:type="dxa"/>
            <w:vAlign w:val="bottom"/>
            <w:shd w:val="clear" w:color="auto" w:fill="CCEEFF"/>
          </w:tcPr>
          <w:p>
            <w:pPr>
              <w:ind w:left="340"/>
              <w:spacing w:after="0" w:line="138" w:lineRule="exact"/>
              <w:rPr>
                <w:sz w:val="20"/>
                <w:szCs w:val="20"/>
                <w:color w:val="auto"/>
              </w:rPr>
            </w:pPr>
            <w:r>
              <w:rPr>
                <w:rFonts w:ascii="Arial" w:cs="Arial" w:eastAsia="Arial" w:hAnsi="Arial"/>
                <w:sz w:val="14"/>
                <w:szCs w:val="14"/>
                <w:color w:val="auto"/>
              </w:rPr>
              <w:t>Leisure</w:t>
            </w:r>
          </w:p>
        </w:tc>
        <w:tc>
          <w:tcPr>
            <w:tcW w:w="820" w:type="dxa"/>
            <w:vAlign w:val="bottom"/>
            <w:shd w:val="clear" w:color="auto" w:fill="CCEEFF"/>
          </w:tcPr>
          <w:p>
            <w:pPr>
              <w:ind w:left="60"/>
              <w:spacing w:after="0" w:line="138" w:lineRule="exact"/>
              <w:rPr>
                <w:sz w:val="20"/>
                <w:szCs w:val="20"/>
                <w:color w:val="auto"/>
              </w:rPr>
            </w:pPr>
            <w:r>
              <w:rPr>
                <w:rFonts w:ascii="Arial" w:cs="Arial" w:eastAsia="Arial" w:hAnsi="Arial"/>
                <w:sz w:val="14"/>
                <w:szCs w:val="14"/>
                <w:color w:val="auto"/>
              </w:rPr>
              <w:t>Term Loan</w:t>
            </w:r>
          </w:p>
        </w:tc>
        <w:tc>
          <w:tcPr>
            <w:tcW w:w="480" w:type="dxa"/>
            <w:vAlign w:val="bottom"/>
            <w:shd w:val="clear" w:color="auto" w:fill="CCEEFF"/>
          </w:tcPr>
          <w:p>
            <w:pPr>
              <w:ind w:left="60"/>
              <w:spacing w:after="0" w:line="138" w:lineRule="exact"/>
              <w:rPr>
                <w:sz w:val="20"/>
                <w:szCs w:val="20"/>
                <w:color w:val="auto"/>
              </w:rPr>
            </w:pPr>
            <w:r>
              <w:rPr>
                <w:rFonts w:ascii="Arial" w:cs="Arial" w:eastAsia="Arial" w:hAnsi="Arial"/>
                <w:sz w:val="14"/>
                <w:szCs w:val="14"/>
                <w:color w:val="auto"/>
              </w:rPr>
              <w:t>Loan</w:t>
            </w:r>
          </w:p>
        </w:tc>
        <w:tc>
          <w:tcPr>
            <w:tcW w:w="7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r>
      <w:tr>
        <w:trPr>
          <w:trHeight w:val="159"/>
        </w:trPr>
        <w:tc>
          <w:tcPr>
            <w:tcW w:w="4180" w:type="dxa"/>
            <w:vAlign w:val="bottom"/>
            <w:shd w:val="clear" w:color="auto" w:fill="CCEEFF"/>
          </w:tcPr>
          <w:p>
            <w:pPr>
              <w:spacing w:after="0"/>
              <w:rPr>
                <w:sz w:val="13"/>
                <w:szCs w:val="13"/>
                <w:color w:val="auto"/>
              </w:rPr>
            </w:pPr>
          </w:p>
        </w:tc>
        <w:tc>
          <w:tcPr>
            <w:tcW w:w="1980" w:type="dxa"/>
            <w:vAlign w:val="bottom"/>
            <w:shd w:val="clear" w:color="auto" w:fill="CCEEFF"/>
          </w:tcPr>
          <w:p>
            <w:pPr>
              <w:ind w:left="340"/>
              <w:spacing w:after="0" w:line="159" w:lineRule="exact"/>
              <w:rPr>
                <w:sz w:val="20"/>
                <w:szCs w:val="20"/>
                <w:color w:val="auto"/>
              </w:rPr>
            </w:pPr>
            <w:r>
              <w:rPr>
                <w:rFonts w:ascii="Arial" w:cs="Arial" w:eastAsia="Arial" w:hAnsi="Arial"/>
                <w:sz w:val="14"/>
                <w:szCs w:val="14"/>
                <w:color w:val="auto"/>
              </w:rPr>
              <w:t>Goods/Activities/Movies</w:t>
            </w:r>
          </w:p>
        </w:tc>
        <w:tc>
          <w:tcPr>
            <w:tcW w:w="820" w:type="dxa"/>
            <w:vAlign w:val="bottom"/>
            <w:shd w:val="clear" w:color="auto" w:fill="CCEEFF"/>
          </w:tcPr>
          <w:p>
            <w:pPr>
              <w:ind w:left="60"/>
              <w:spacing w:after="0" w:line="159" w:lineRule="exact"/>
              <w:rPr>
                <w:sz w:val="20"/>
                <w:szCs w:val="20"/>
                <w:color w:val="auto"/>
              </w:rPr>
            </w:pPr>
            <w:r>
              <w:rPr>
                <w:rFonts w:ascii="Arial" w:cs="Arial" w:eastAsia="Arial" w:hAnsi="Arial"/>
                <w:sz w:val="14"/>
                <w:szCs w:val="14"/>
                <w:color w:val="auto"/>
              </w:rPr>
              <w:t>B</w:t>
            </w:r>
          </w:p>
        </w:tc>
        <w:tc>
          <w:tcPr>
            <w:tcW w:w="48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5.50%</w:t>
            </w:r>
          </w:p>
        </w:tc>
        <w:tc>
          <w:tcPr>
            <w:tcW w:w="7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7/1/2020</w:t>
            </w:r>
          </w:p>
        </w:tc>
        <w:tc>
          <w:tcPr>
            <w:tcW w:w="1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112"/>
              <w:spacing w:after="0" w:line="159" w:lineRule="exact"/>
              <w:rPr>
                <w:sz w:val="20"/>
                <w:szCs w:val="20"/>
                <w:color w:val="auto"/>
              </w:rPr>
            </w:pPr>
            <w:r>
              <w:rPr>
                <w:rFonts w:ascii="Arial" w:cs="Arial" w:eastAsia="Arial" w:hAnsi="Arial"/>
                <w:sz w:val="14"/>
                <w:szCs w:val="14"/>
                <w:color w:val="auto"/>
                <w:w w:val="83"/>
              </w:rPr>
              <w:t>1,492,500</w:t>
            </w:r>
          </w:p>
        </w:tc>
        <w:tc>
          <w:tcPr>
            <w:tcW w:w="900" w:type="dxa"/>
            <w:vAlign w:val="bottom"/>
            <w:shd w:val="clear" w:color="auto" w:fill="CCEEFF"/>
          </w:tcPr>
          <w:p>
            <w:pPr>
              <w:jc w:val="right"/>
              <w:ind w:right="112"/>
              <w:spacing w:after="0" w:line="159" w:lineRule="exact"/>
              <w:rPr>
                <w:sz w:val="20"/>
                <w:szCs w:val="20"/>
                <w:color w:val="auto"/>
              </w:rPr>
            </w:pPr>
            <w:r>
              <w:rPr>
                <w:rFonts w:ascii="Arial" w:cs="Arial" w:eastAsia="Arial" w:hAnsi="Arial"/>
                <w:sz w:val="14"/>
                <w:szCs w:val="14"/>
                <w:color w:val="auto"/>
              </w:rPr>
              <w:t>1,482,322</w:t>
            </w:r>
          </w:p>
        </w:tc>
        <w:tc>
          <w:tcPr>
            <w:tcW w:w="8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1,421,606</w:t>
            </w:r>
          </w:p>
        </w:tc>
      </w:tr>
      <w:tr>
        <w:trPr>
          <w:trHeight w:val="149"/>
        </w:trPr>
        <w:tc>
          <w:tcPr>
            <w:tcW w:w="4180" w:type="dxa"/>
            <w:vAlign w:val="bottom"/>
          </w:tcPr>
          <w:p>
            <w:pPr>
              <w:spacing w:after="0" w:line="149" w:lineRule="exact"/>
              <w:rPr>
                <w:sz w:val="20"/>
                <w:szCs w:val="20"/>
                <w:color w:val="auto"/>
              </w:rPr>
            </w:pPr>
            <w:r>
              <w:rPr>
                <w:rFonts w:ascii="Arial" w:cs="Arial" w:eastAsia="Arial" w:hAnsi="Arial"/>
                <w:sz w:val="14"/>
                <w:szCs w:val="14"/>
                <w:color w:val="auto"/>
                <w:w w:val="96"/>
              </w:rPr>
              <w:t>FMG Resources (August 2006) Pty LTD (FMG America Finance, Inc.)</w:t>
            </w:r>
          </w:p>
        </w:tc>
        <w:tc>
          <w:tcPr>
            <w:tcW w:w="1980" w:type="dxa"/>
            <w:vAlign w:val="bottom"/>
          </w:tcPr>
          <w:p>
            <w:pPr>
              <w:ind w:left="340"/>
              <w:spacing w:after="0" w:line="149" w:lineRule="exact"/>
              <w:rPr>
                <w:sz w:val="20"/>
                <w:szCs w:val="20"/>
                <w:color w:val="auto"/>
              </w:rPr>
            </w:pPr>
            <w:r>
              <w:rPr>
                <w:rFonts w:ascii="Arial" w:cs="Arial" w:eastAsia="Arial" w:hAnsi="Arial"/>
                <w:sz w:val="14"/>
                <w:szCs w:val="14"/>
                <w:color w:val="auto"/>
                <w:w w:val="94"/>
              </w:rPr>
              <w:t>Nonferrous Metals/Minerals</w:t>
            </w:r>
          </w:p>
        </w:tc>
        <w:tc>
          <w:tcPr>
            <w:tcW w:w="820" w:type="dxa"/>
            <w:vAlign w:val="bottom"/>
          </w:tcPr>
          <w:p>
            <w:pPr>
              <w:ind w:left="60"/>
              <w:spacing w:after="0" w:line="149" w:lineRule="exact"/>
              <w:rPr>
                <w:sz w:val="20"/>
                <w:szCs w:val="20"/>
                <w:color w:val="auto"/>
              </w:rPr>
            </w:pPr>
            <w:r>
              <w:rPr>
                <w:rFonts w:ascii="Arial" w:cs="Arial" w:eastAsia="Arial" w:hAnsi="Arial"/>
                <w:sz w:val="14"/>
                <w:szCs w:val="14"/>
                <w:color w:val="auto"/>
              </w:rPr>
              <w:t>Loan</w:t>
            </w:r>
          </w:p>
        </w:tc>
        <w:tc>
          <w:tcPr>
            <w:tcW w:w="480" w:type="dxa"/>
            <w:vAlign w:val="bottom"/>
          </w:tcPr>
          <w:p>
            <w:pPr>
              <w:ind w:left="60"/>
              <w:spacing w:after="0" w:line="149" w:lineRule="exact"/>
              <w:rPr>
                <w:sz w:val="20"/>
                <w:szCs w:val="20"/>
                <w:color w:val="auto"/>
              </w:rPr>
            </w:pPr>
            <w:r>
              <w:rPr>
                <w:rFonts w:ascii="Arial" w:cs="Arial" w:eastAsia="Arial" w:hAnsi="Arial"/>
                <w:sz w:val="14"/>
                <w:szCs w:val="14"/>
                <w:color w:val="auto"/>
              </w:rPr>
              <w:t>Loan</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3.75%</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6/28/2019</w:t>
            </w:r>
          </w:p>
        </w:tc>
        <w:tc>
          <w:tcPr>
            <w:tcW w:w="1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112"/>
              <w:spacing w:after="0" w:line="149" w:lineRule="exact"/>
              <w:rPr>
                <w:sz w:val="20"/>
                <w:szCs w:val="20"/>
                <w:color w:val="auto"/>
              </w:rPr>
            </w:pPr>
            <w:r>
              <w:rPr>
                <w:rFonts w:ascii="Arial" w:cs="Arial" w:eastAsia="Arial" w:hAnsi="Arial"/>
                <w:sz w:val="14"/>
                <w:szCs w:val="14"/>
                <w:color w:val="auto"/>
                <w:w w:val="83"/>
              </w:rPr>
              <w:t>1,982,462</w:t>
            </w:r>
          </w:p>
        </w:tc>
        <w:tc>
          <w:tcPr>
            <w:tcW w:w="90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1,982,212</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1,835,423</w:t>
            </w:r>
          </w:p>
        </w:tc>
      </w:tr>
      <w:tr>
        <w:trPr>
          <w:trHeight w:val="138"/>
        </w:trPr>
        <w:tc>
          <w:tcPr>
            <w:tcW w:w="418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Four Seasons Holdings Inc.</w:t>
            </w:r>
          </w:p>
        </w:tc>
        <w:tc>
          <w:tcPr>
            <w:tcW w:w="1980" w:type="dxa"/>
            <w:vAlign w:val="bottom"/>
            <w:shd w:val="clear" w:color="auto" w:fill="CCEEFF"/>
          </w:tcPr>
          <w:p>
            <w:pPr>
              <w:ind w:left="340"/>
              <w:spacing w:after="0" w:line="138" w:lineRule="exact"/>
              <w:rPr>
                <w:sz w:val="20"/>
                <w:szCs w:val="20"/>
                <w:color w:val="auto"/>
              </w:rPr>
            </w:pPr>
            <w:r>
              <w:rPr>
                <w:rFonts w:ascii="Arial" w:cs="Arial" w:eastAsia="Arial" w:hAnsi="Arial"/>
                <w:sz w:val="14"/>
                <w:szCs w:val="14"/>
                <w:color w:val="auto"/>
              </w:rPr>
              <w:t>Lodging &amp; Casinos</w:t>
            </w:r>
          </w:p>
        </w:tc>
        <w:tc>
          <w:tcPr>
            <w:tcW w:w="820" w:type="dxa"/>
            <w:vAlign w:val="bottom"/>
            <w:shd w:val="clear" w:color="auto" w:fill="CCEEFF"/>
          </w:tcPr>
          <w:p>
            <w:pPr>
              <w:ind w:left="60"/>
              <w:spacing w:after="0" w:line="138" w:lineRule="exact"/>
              <w:rPr>
                <w:sz w:val="20"/>
                <w:szCs w:val="20"/>
                <w:color w:val="auto"/>
              </w:rPr>
            </w:pPr>
            <w:r>
              <w:rPr>
                <w:rFonts w:ascii="Arial" w:cs="Arial" w:eastAsia="Arial" w:hAnsi="Arial"/>
                <w:sz w:val="14"/>
                <w:szCs w:val="14"/>
                <w:color w:val="auto"/>
              </w:rPr>
              <w:t>Term Loan</w:t>
            </w:r>
          </w:p>
        </w:tc>
        <w:tc>
          <w:tcPr>
            <w:tcW w:w="480" w:type="dxa"/>
            <w:vAlign w:val="bottom"/>
            <w:shd w:val="clear" w:color="auto" w:fill="CCEEFF"/>
          </w:tcPr>
          <w:p>
            <w:pPr>
              <w:ind w:left="60"/>
              <w:spacing w:after="0" w:line="138" w:lineRule="exact"/>
              <w:rPr>
                <w:sz w:val="20"/>
                <w:szCs w:val="20"/>
                <w:color w:val="auto"/>
              </w:rPr>
            </w:pPr>
            <w:r>
              <w:rPr>
                <w:rFonts w:ascii="Arial" w:cs="Arial" w:eastAsia="Arial" w:hAnsi="Arial"/>
                <w:sz w:val="14"/>
                <w:szCs w:val="14"/>
                <w:color w:val="auto"/>
              </w:rPr>
              <w:t>Loan</w:t>
            </w:r>
          </w:p>
        </w:tc>
        <w:tc>
          <w:tcPr>
            <w:tcW w:w="7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r>
      <w:tr>
        <w:trPr>
          <w:trHeight w:val="159"/>
        </w:trPr>
        <w:tc>
          <w:tcPr>
            <w:tcW w:w="4180" w:type="dxa"/>
            <w:vAlign w:val="bottom"/>
            <w:shd w:val="clear" w:color="auto" w:fill="CCEEFF"/>
          </w:tcPr>
          <w:p>
            <w:pPr>
              <w:spacing w:after="0"/>
              <w:rPr>
                <w:sz w:val="13"/>
                <w:szCs w:val="13"/>
                <w:color w:val="auto"/>
              </w:rPr>
            </w:pPr>
          </w:p>
        </w:tc>
        <w:tc>
          <w:tcPr>
            <w:tcW w:w="1980" w:type="dxa"/>
            <w:vAlign w:val="bottom"/>
            <w:shd w:val="clear" w:color="auto" w:fill="CCEEFF"/>
          </w:tcPr>
          <w:p>
            <w:pPr>
              <w:spacing w:after="0"/>
              <w:rPr>
                <w:sz w:val="13"/>
                <w:szCs w:val="13"/>
                <w:color w:val="auto"/>
              </w:rPr>
            </w:pPr>
          </w:p>
        </w:tc>
        <w:tc>
          <w:tcPr>
            <w:tcW w:w="820" w:type="dxa"/>
            <w:vAlign w:val="bottom"/>
            <w:shd w:val="clear" w:color="auto" w:fill="CCEEFF"/>
          </w:tcPr>
          <w:p>
            <w:pPr>
              <w:ind w:left="60"/>
              <w:spacing w:after="0" w:line="159" w:lineRule="exact"/>
              <w:rPr>
                <w:sz w:val="20"/>
                <w:szCs w:val="20"/>
                <w:color w:val="auto"/>
              </w:rPr>
            </w:pPr>
            <w:r>
              <w:rPr>
                <w:rFonts w:ascii="Arial" w:cs="Arial" w:eastAsia="Arial" w:hAnsi="Arial"/>
                <w:sz w:val="14"/>
                <w:szCs w:val="14"/>
                <w:color w:val="auto"/>
              </w:rPr>
              <w:t>(First Lien)</w:t>
            </w:r>
          </w:p>
        </w:tc>
        <w:tc>
          <w:tcPr>
            <w:tcW w:w="48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3.50%</w:t>
            </w:r>
          </w:p>
        </w:tc>
        <w:tc>
          <w:tcPr>
            <w:tcW w:w="7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6/27/2020</w:t>
            </w:r>
          </w:p>
        </w:tc>
        <w:tc>
          <w:tcPr>
            <w:tcW w:w="1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112"/>
              <w:spacing w:after="0" w:line="159" w:lineRule="exact"/>
              <w:rPr>
                <w:sz w:val="20"/>
                <w:szCs w:val="20"/>
                <w:color w:val="auto"/>
              </w:rPr>
            </w:pPr>
            <w:r>
              <w:rPr>
                <w:rFonts w:ascii="Arial" w:cs="Arial" w:eastAsia="Arial" w:hAnsi="Arial"/>
                <w:sz w:val="14"/>
                <w:szCs w:val="14"/>
                <w:color w:val="auto"/>
              </w:rPr>
              <w:t>493,750</w:t>
            </w:r>
          </w:p>
        </w:tc>
        <w:tc>
          <w:tcPr>
            <w:tcW w:w="900" w:type="dxa"/>
            <w:vAlign w:val="bottom"/>
            <w:shd w:val="clear" w:color="auto" w:fill="CCEEFF"/>
          </w:tcPr>
          <w:p>
            <w:pPr>
              <w:jc w:val="right"/>
              <w:ind w:right="112"/>
              <w:spacing w:after="0" w:line="159" w:lineRule="exact"/>
              <w:rPr>
                <w:sz w:val="20"/>
                <w:szCs w:val="20"/>
                <w:color w:val="auto"/>
              </w:rPr>
            </w:pPr>
            <w:r>
              <w:rPr>
                <w:rFonts w:ascii="Arial" w:cs="Arial" w:eastAsia="Arial" w:hAnsi="Arial"/>
                <w:sz w:val="14"/>
                <w:szCs w:val="14"/>
                <w:color w:val="auto"/>
              </w:rPr>
              <w:t>493,750</w:t>
            </w:r>
          </w:p>
        </w:tc>
        <w:tc>
          <w:tcPr>
            <w:tcW w:w="8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491,281</w:t>
            </w:r>
          </w:p>
        </w:tc>
      </w:tr>
      <w:tr>
        <w:trPr>
          <w:trHeight w:val="138"/>
        </w:trPr>
        <w:tc>
          <w:tcPr>
            <w:tcW w:w="4180" w:type="dxa"/>
            <w:vAlign w:val="bottom"/>
          </w:tcPr>
          <w:p>
            <w:pPr>
              <w:spacing w:after="0" w:line="138" w:lineRule="exact"/>
              <w:rPr>
                <w:sz w:val="20"/>
                <w:szCs w:val="20"/>
                <w:color w:val="auto"/>
              </w:rPr>
            </w:pPr>
            <w:r>
              <w:rPr>
                <w:rFonts w:ascii="Arial" w:cs="Arial" w:eastAsia="Arial" w:hAnsi="Arial"/>
                <w:sz w:val="14"/>
                <w:szCs w:val="14"/>
                <w:color w:val="auto"/>
              </w:rPr>
              <w:t>Garda World Security Corporation</w:t>
            </w:r>
          </w:p>
        </w:tc>
        <w:tc>
          <w:tcPr>
            <w:tcW w:w="1980" w:type="dxa"/>
            <w:vAlign w:val="bottom"/>
          </w:tcPr>
          <w:p>
            <w:pPr>
              <w:ind w:left="340"/>
              <w:spacing w:after="0" w:line="138" w:lineRule="exact"/>
              <w:rPr>
                <w:sz w:val="20"/>
                <w:szCs w:val="20"/>
                <w:color w:val="auto"/>
              </w:rPr>
            </w:pPr>
            <w:r>
              <w:rPr>
                <w:rFonts w:ascii="Arial" w:cs="Arial" w:eastAsia="Arial" w:hAnsi="Arial"/>
                <w:sz w:val="14"/>
                <w:szCs w:val="14"/>
                <w:color w:val="auto"/>
              </w:rPr>
              <w:t>Services: Business</w:t>
            </w:r>
          </w:p>
        </w:tc>
        <w:tc>
          <w:tcPr>
            <w:tcW w:w="820" w:type="dxa"/>
            <w:vAlign w:val="bottom"/>
          </w:tcPr>
          <w:p>
            <w:pPr>
              <w:ind w:left="60"/>
              <w:spacing w:after="0" w:line="138" w:lineRule="exact"/>
              <w:rPr>
                <w:sz w:val="20"/>
                <w:szCs w:val="20"/>
                <w:color w:val="auto"/>
              </w:rPr>
            </w:pPr>
            <w:r>
              <w:rPr>
                <w:rFonts w:ascii="Arial" w:cs="Arial" w:eastAsia="Arial" w:hAnsi="Arial"/>
                <w:sz w:val="14"/>
                <w:szCs w:val="14"/>
                <w:color w:val="auto"/>
              </w:rPr>
              <w:t>Term B</w:t>
            </w:r>
          </w:p>
        </w:tc>
        <w:tc>
          <w:tcPr>
            <w:tcW w:w="480" w:type="dxa"/>
            <w:vAlign w:val="bottom"/>
          </w:tcPr>
          <w:p>
            <w:pPr>
              <w:ind w:left="60"/>
              <w:spacing w:after="0" w:line="138" w:lineRule="exact"/>
              <w:rPr>
                <w:sz w:val="20"/>
                <w:szCs w:val="20"/>
                <w:color w:val="auto"/>
              </w:rPr>
            </w:pPr>
            <w:r>
              <w:rPr>
                <w:rFonts w:ascii="Arial" w:cs="Arial" w:eastAsia="Arial" w:hAnsi="Arial"/>
                <w:sz w:val="14"/>
                <w:szCs w:val="14"/>
                <w:color w:val="auto"/>
              </w:rPr>
              <w:t>Loan</w:t>
            </w: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49"/>
        </w:trPr>
        <w:tc>
          <w:tcPr>
            <w:tcW w:w="418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820" w:type="dxa"/>
            <w:vAlign w:val="bottom"/>
          </w:tcPr>
          <w:p>
            <w:pPr>
              <w:ind w:left="60"/>
              <w:spacing w:after="0" w:line="149" w:lineRule="exact"/>
              <w:rPr>
                <w:sz w:val="20"/>
                <w:szCs w:val="20"/>
                <w:color w:val="auto"/>
              </w:rPr>
            </w:pPr>
            <w:r>
              <w:rPr>
                <w:rFonts w:ascii="Arial" w:cs="Arial" w:eastAsia="Arial" w:hAnsi="Arial"/>
                <w:sz w:val="14"/>
                <w:szCs w:val="14"/>
                <w:color w:val="auto"/>
              </w:rPr>
              <w:t>Delayed</w:t>
            </w:r>
          </w:p>
        </w:tc>
        <w:tc>
          <w:tcPr>
            <w:tcW w:w="4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59"/>
        </w:trPr>
        <w:tc>
          <w:tcPr>
            <w:tcW w:w="418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820" w:type="dxa"/>
            <w:vAlign w:val="bottom"/>
          </w:tcPr>
          <w:p>
            <w:pPr>
              <w:ind w:left="60"/>
              <w:spacing w:after="0" w:line="159" w:lineRule="exact"/>
              <w:rPr>
                <w:sz w:val="20"/>
                <w:szCs w:val="20"/>
                <w:color w:val="auto"/>
              </w:rPr>
            </w:pPr>
            <w:r>
              <w:rPr>
                <w:rFonts w:ascii="Arial" w:cs="Arial" w:eastAsia="Arial" w:hAnsi="Arial"/>
                <w:sz w:val="14"/>
                <w:szCs w:val="14"/>
                <w:color w:val="auto"/>
              </w:rPr>
              <w:t>Draw Loan</w:t>
            </w:r>
          </w:p>
        </w:tc>
        <w:tc>
          <w:tcPr>
            <w:tcW w:w="480" w:type="dxa"/>
            <w:vAlign w:val="bottom"/>
          </w:tcPr>
          <w:p>
            <w:pPr>
              <w:spacing w:after="0"/>
              <w:rPr>
                <w:sz w:val="13"/>
                <w:szCs w:val="13"/>
                <w:color w:val="auto"/>
              </w:rPr>
            </w:pPr>
          </w:p>
        </w:tc>
        <w:tc>
          <w:tcPr>
            <w:tcW w:w="720" w:type="dxa"/>
            <w:vAlign w:val="bottom"/>
          </w:tcPr>
          <w:p>
            <w:pPr>
              <w:jc w:val="right"/>
              <w:spacing w:after="0" w:line="159" w:lineRule="exact"/>
              <w:rPr>
                <w:sz w:val="20"/>
                <w:szCs w:val="20"/>
                <w:color w:val="auto"/>
              </w:rPr>
            </w:pPr>
            <w:r>
              <w:rPr>
                <w:rFonts w:ascii="Arial" w:cs="Arial" w:eastAsia="Arial" w:hAnsi="Arial"/>
                <w:sz w:val="14"/>
                <w:szCs w:val="14"/>
                <w:color w:val="auto"/>
              </w:rPr>
              <w:t>4.00%</w:t>
            </w:r>
          </w:p>
        </w:tc>
        <w:tc>
          <w:tcPr>
            <w:tcW w:w="700" w:type="dxa"/>
            <w:vAlign w:val="bottom"/>
          </w:tcPr>
          <w:p>
            <w:pPr>
              <w:jc w:val="right"/>
              <w:spacing w:after="0" w:line="159" w:lineRule="exact"/>
              <w:rPr>
                <w:sz w:val="20"/>
                <w:szCs w:val="20"/>
                <w:color w:val="auto"/>
              </w:rPr>
            </w:pPr>
            <w:r>
              <w:rPr>
                <w:rFonts w:ascii="Arial" w:cs="Arial" w:eastAsia="Arial" w:hAnsi="Arial"/>
                <w:sz w:val="14"/>
                <w:szCs w:val="14"/>
                <w:color w:val="auto"/>
              </w:rPr>
              <w:t>11/6/2020</w:t>
            </w:r>
          </w:p>
        </w:tc>
        <w:tc>
          <w:tcPr>
            <w:tcW w:w="12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112"/>
              <w:spacing w:after="0" w:line="159" w:lineRule="exact"/>
              <w:rPr>
                <w:sz w:val="20"/>
                <w:szCs w:val="20"/>
                <w:color w:val="auto"/>
              </w:rPr>
            </w:pPr>
            <w:r>
              <w:rPr>
                <w:rFonts w:ascii="Arial" w:cs="Arial" w:eastAsia="Arial" w:hAnsi="Arial"/>
                <w:sz w:val="14"/>
                <w:szCs w:val="14"/>
                <w:color w:val="auto"/>
              </w:rPr>
              <w:t>201,157</w:t>
            </w:r>
          </w:p>
        </w:tc>
        <w:tc>
          <w:tcPr>
            <w:tcW w:w="900" w:type="dxa"/>
            <w:vAlign w:val="bottom"/>
          </w:tcPr>
          <w:p>
            <w:pPr>
              <w:jc w:val="right"/>
              <w:ind w:right="112"/>
              <w:spacing w:after="0" w:line="159" w:lineRule="exact"/>
              <w:rPr>
                <w:sz w:val="20"/>
                <w:szCs w:val="20"/>
                <w:color w:val="auto"/>
              </w:rPr>
            </w:pPr>
            <w:r>
              <w:rPr>
                <w:rFonts w:ascii="Arial" w:cs="Arial" w:eastAsia="Arial" w:hAnsi="Arial"/>
                <w:sz w:val="14"/>
                <w:szCs w:val="14"/>
                <w:color w:val="auto"/>
              </w:rPr>
              <w:t>200,308</w:t>
            </w:r>
          </w:p>
        </w:tc>
        <w:tc>
          <w:tcPr>
            <w:tcW w:w="800" w:type="dxa"/>
            <w:vAlign w:val="bottom"/>
          </w:tcPr>
          <w:p>
            <w:pPr>
              <w:jc w:val="right"/>
              <w:spacing w:after="0" w:line="159" w:lineRule="exact"/>
              <w:rPr>
                <w:sz w:val="20"/>
                <w:szCs w:val="20"/>
                <w:color w:val="auto"/>
              </w:rPr>
            </w:pPr>
            <w:r>
              <w:rPr>
                <w:rFonts w:ascii="Arial" w:cs="Arial" w:eastAsia="Arial" w:hAnsi="Arial"/>
                <w:sz w:val="14"/>
                <w:szCs w:val="14"/>
                <w:color w:val="auto"/>
              </w:rPr>
              <w:t>199,146</w:t>
            </w:r>
          </w:p>
        </w:tc>
      </w:tr>
      <w:tr>
        <w:trPr>
          <w:trHeight w:val="138"/>
        </w:trPr>
        <w:tc>
          <w:tcPr>
            <w:tcW w:w="418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Garda World Security Corporation</w:t>
            </w:r>
          </w:p>
        </w:tc>
        <w:tc>
          <w:tcPr>
            <w:tcW w:w="1980" w:type="dxa"/>
            <w:vAlign w:val="bottom"/>
            <w:shd w:val="clear" w:color="auto" w:fill="CCEEFF"/>
          </w:tcPr>
          <w:p>
            <w:pPr>
              <w:ind w:left="340"/>
              <w:spacing w:after="0" w:line="138" w:lineRule="exact"/>
              <w:rPr>
                <w:sz w:val="20"/>
                <w:szCs w:val="20"/>
                <w:color w:val="auto"/>
              </w:rPr>
            </w:pPr>
            <w:r>
              <w:rPr>
                <w:rFonts w:ascii="Arial" w:cs="Arial" w:eastAsia="Arial" w:hAnsi="Arial"/>
                <w:sz w:val="14"/>
                <w:szCs w:val="14"/>
                <w:color w:val="auto"/>
              </w:rPr>
              <w:t>Services: Business</w:t>
            </w:r>
          </w:p>
        </w:tc>
        <w:tc>
          <w:tcPr>
            <w:tcW w:w="820" w:type="dxa"/>
            <w:vAlign w:val="bottom"/>
            <w:shd w:val="clear" w:color="auto" w:fill="CCEEFF"/>
          </w:tcPr>
          <w:p>
            <w:pPr>
              <w:ind w:left="60"/>
              <w:spacing w:after="0" w:line="138" w:lineRule="exact"/>
              <w:rPr>
                <w:sz w:val="20"/>
                <w:szCs w:val="20"/>
                <w:color w:val="auto"/>
              </w:rPr>
            </w:pPr>
            <w:r>
              <w:rPr>
                <w:rFonts w:ascii="Arial" w:cs="Arial" w:eastAsia="Arial" w:hAnsi="Arial"/>
                <w:sz w:val="14"/>
                <w:szCs w:val="14"/>
                <w:color w:val="auto"/>
              </w:rPr>
              <w:t>Term B</w:t>
            </w:r>
          </w:p>
        </w:tc>
        <w:tc>
          <w:tcPr>
            <w:tcW w:w="480" w:type="dxa"/>
            <w:vAlign w:val="bottom"/>
            <w:shd w:val="clear" w:color="auto" w:fill="CCEEFF"/>
          </w:tcPr>
          <w:p>
            <w:pPr>
              <w:ind w:left="60"/>
              <w:spacing w:after="0" w:line="138" w:lineRule="exact"/>
              <w:rPr>
                <w:sz w:val="20"/>
                <w:szCs w:val="20"/>
                <w:color w:val="auto"/>
              </w:rPr>
            </w:pPr>
            <w:r>
              <w:rPr>
                <w:rFonts w:ascii="Arial" w:cs="Arial" w:eastAsia="Arial" w:hAnsi="Arial"/>
                <w:sz w:val="14"/>
                <w:szCs w:val="14"/>
                <w:color w:val="auto"/>
              </w:rPr>
              <w:t>Loan</w:t>
            </w:r>
          </w:p>
        </w:tc>
        <w:tc>
          <w:tcPr>
            <w:tcW w:w="7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r>
      <w:tr>
        <w:trPr>
          <w:trHeight w:val="159"/>
        </w:trPr>
        <w:tc>
          <w:tcPr>
            <w:tcW w:w="4180" w:type="dxa"/>
            <w:vAlign w:val="bottom"/>
            <w:shd w:val="clear" w:color="auto" w:fill="CCEEFF"/>
          </w:tcPr>
          <w:p>
            <w:pPr>
              <w:spacing w:after="0"/>
              <w:rPr>
                <w:sz w:val="13"/>
                <w:szCs w:val="13"/>
                <w:color w:val="auto"/>
              </w:rPr>
            </w:pPr>
          </w:p>
        </w:tc>
        <w:tc>
          <w:tcPr>
            <w:tcW w:w="1980" w:type="dxa"/>
            <w:vAlign w:val="bottom"/>
            <w:shd w:val="clear" w:color="auto" w:fill="CCEEFF"/>
          </w:tcPr>
          <w:p>
            <w:pPr>
              <w:spacing w:after="0"/>
              <w:rPr>
                <w:sz w:val="13"/>
                <w:szCs w:val="13"/>
                <w:color w:val="auto"/>
              </w:rPr>
            </w:pPr>
          </w:p>
        </w:tc>
        <w:tc>
          <w:tcPr>
            <w:tcW w:w="820" w:type="dxa"/>
            <w:vAlign w:val="bottom"/>
            <w:shd w:val="clear" w:color="auto" w:fill="CCEEFF"/>
          </w:tcPr>
          <w:p>
            <w:pPr>
              <w:ind w:left="60"/>
              <w:spacing w:after="0" w:line="159" w:lineRule="exact"/>
              <w:rPr>
                <w:sz w:val="20"/>
                <w:szCs w:val="20"/>
                <w:color w:val="auto"/>
              </w:rPr>
            </w:pPr>
            <w:r>
              <w:rPr>
                <w:rFonts w:ascii="Arial" w:cs="Arial" w:eastAsia="Arial" w:hAnsi="Arial"/>
                <w:sz w:val="14"/>
                <w:szCs w:val="14"/>
                <w:color w:val="auto"/>
              </w:rPr>
              <w:t>Loan</w:t>
            </w:r>
          </w:p>
        </w:tc>
        <w:tc>
          <w:tcPr>
            <w:tcW w:w="48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4.00%</w:t>
            </w:r>
          </w:p>
        </w:tc>
        <w:tc>
          <w:tcPr>
            <w:tcW w:w="7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11/6/2020</w:t>
            </w:r>
          </w:p>
        </w:tc>
        <w:tc>
          <w:tcPr>
            <w:tcW w:w="1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112"/>
              <w:spacing w:after="0" w:line="159" w:lineRule="exact"/>
              <w:rPr>
                <w:sz w:val="20"/>
                <w:szCs w:val="20"/>
                <w:color w:val="auto"/>
              </w:rPr>
            </w:pPr>
            <w:r>
              <w:rPr>
                <w:rFonts w:ascii="Arial" w:cs="Arial" w:eastAsia="Arial" w:hAnsi="Arial"/>
                <w:sz w:val="14"/>
                <w:szCs w:val="14"/>
                <w:color w:val="auto"/>
              </w:rPr>
              <w:t>786,343</w:t>
            </w:r>
          </w:p>
        </w:tc>
        <w:tc>
          <w:tcPr>
            <w:tcW w:w="900" w:type="dxa"/>
            <w:vAlign w:val="bottom"/>
            <w:shd w:val="clear" w:color="auto" w:fill="CCEEFF"/>
          </w:tcPr>
          <w:p>
            <w:pPr>
              <w:jc w:val="right"/>
              <w:ind w:right="112"/>
              <w:spacing w:after="0" w:line="159" w:lineRule="exact"/>
              <w:rPr>
                <w:sz w:val="20"/>
                <w:szCs w:val="20"/>
                <w:color w:val="auto"/>
              </w:rPr>
            </w:pPr>
            <w:r>
              <w:rPr>
                <w:rFonts w:ascii="Arial" w:cs="Arial" w:eastAsia="Arial" w:hAnsi="Arial"/>
                <w:sz w:val="14"/>
                <w:szCs w:val="14"/>
                <w:color w:val="auto"/>
              </w:rPr>
              <w:t>783,060</w:t>
            </w:r>
          </w:p>
        </w:tc>
        <w:tc>
          <w:tcPr>
            <w:tcW w:w="8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778,479</w:t>
            </w:r>
          </w:p>
        </w:tc>
      </w:tr>
      <w:tr>
        <w:trPr>
          <w:trHeight w:val="138"/>
        </w:trPr>
        <w:tc>
          <w:tcPr>
            <w:tcW w:w="4180" w:type="dxa"/>
            <w:vAlign w:val="bottom"/>
          </w:tcPr>
          <w:p>
            <w:pPr>
              <w:spacing w:after="0" w:line="138" w:lineRule="exact"/>
              <w:rPr>
                <w:sz w:val="20"/>
                <w:szCs w:val="20"/>
                <w:color w:val="auto"/>
              </w:rPr>
            </w:pPr>
            <w:r>
              <w:rPr>
                <w:rFonts w:ascii="Arial" w:cs="Arial" w:eastAsia="Arial" w:hAnsi="Arial"/>
                <w:sz w:val="14"/>
                <w:szCs w:val="14"/>
                <w:color w:val="auto"/>
              </w:rPr>
              <w:t>Gardner Denver, Inc.</w:t>
            </w:r>
          </w:p>
        </w:tc>
        <w:tc>
          <w:tcPr>
            <w:tcW w:w="1980" w:type="dxa"/>
            <w:vAlign w:val="bottom"/>
          </w:tcPr>
          <w:p>
            <w:pPr>
              <w:ind w:left="340"/>
              <w:spacing w:after="0" w:line="138" w:lineRule="exact"/>
              <w:rPr>
                <w:sz w:val="20"/>
                <w:szCs w:val="20"/>
                <w:color w:val="auto"/>
              </w:rPr>
            </w:pPr>
            <w:r>
              <w:rPr>
                <w:rFonts w:ascii="Arial" w:cs="Arial" w:eastAsia="Arial" w:hAnsi="Arial"/>
                <w:sz w:val="14"/>
                <w:szCs w:val="14"/>
                <w:color w:val="auto"/>
              </w:rPr>
              <w:t>Oil &amp; Gas</w:t>
            </w:r>
          </w:p>
        </w:tc>
        <w:tc>
          <w:tcPr>
            <w:tcW w:w="820" w:type="dxa"/>
            <w:vAlign w:val="bottom"/>
          </w:tcPr>
          <w:p>
            <w:pPr>
              <w:ind w:left="60"/>
              <w:spacing w:after="0" w:line="138" w:lineRule="exact"/>
              <w:rPr>
                <w:sz w:val="20"/>
                <w:szCs w:val="20"/>
                <w:color w:val="auto"/>
              </w:rPr>
            </w:pPr>
            <w:r>
              <w:rPr>
                <w:rFonts w:ascii="Arial" w:cs="Arial" w:eastAsia="Arial" w:hAnsi="Arial"/>
                <w:sz w:val="14"/>
                <w:szCs w:val="14"/>
                <w:color w:val="auto"/>
              </w:rPr>
              <w:t>Initial Dollar</w:t>
            </w:r>
          </w:p>
        </w:tc>
        <w:tc>
          <w:tcPr>
            <w:tcW w:w="480" w:type="dxa"/>
            <w:vAlign w:val="bottom"/>
          </w:tcPr>
          <w:p>
            <w:pPr>
              <w:ind w:left="60"/>
              <w:spacing w:after="0" w:line="138" w:lineRule="exact"/>
              <w:rPr>
                <w:sz w:val="20"/>
                <w:szCs w:val="20"/>
                <w:color w:val="auto"/>
              </w:rPr>
            </w:pPr>
            <w:r>
              <w:rPr>
                <w:rFonts w:ascii="Arial" w:cs="Arial" w:eastAsia="Arial" w:hAnsi="Arial"/>
                <w:sz w:val="14"/>
                <w:szCs w:val="14"/>
                <w:color w:val="auto"/>
              </w:rPr>
              <w:t>Loan</w:t>
            </w: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59"/>
        </w:trPr>
        <w:tc>
          <w:tcPr>
            <w:tcW w:w="418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820" w:type="dxa"/>
            <w:vAlign w:val="bottom"/>
          </w:tcPr>
          <w:p>
            <w:pPr>
              <w:ind w:left="60"/>
              <w:spacing w:after="0" w:line="159" w:lineRule="exact"/>
              <w:rPr>
                <w:sz w:val="20"/>
                <w:szCs w:val="20"/>
                <w:color w:val="auto"/>
              </w:rPr>
            </w:pPr>
            <w:r>
              <w:rPr>
                <w:rFonts w:ascii="Arial" w:cs="Arial" w:eastAsia="Arial" w:hAnsi="Arial"/>
                <w:sz w:val="14"/>
                <w:szCs w:val="14"/>
                <w:color w:val="auto"/>
              </w:rPr>
              <w:t>Term Loan</w:t>
            </w:r>
          </w:p>
        </w:tc>
        <w:tc>
          <w:tcPr>
            <w:tcW w:w="480" w:type="dxa"/>
            <w:vAlign w:val="bottom"/>
          </w:tcPr>
          <w:p>
            <w:pPr>
              <w:spacing w:after="0"/>
              <w:rPr>
                <w:sz w:val="13"/>
                <w:szCs w:val="13"/>
                <w:color w:val="auto"/>
              </w:rPr>
            </w:pPr>
          </w:p>
        </w:tc>
        <w:tc>
          <w:tcPr>
            <w:tcW w:w="720" w:type="dxa"/>
            <w:vAlign w:val="bottom"/>
          </w:tcPr>
          <w:p>
            <w:pPr>
              <w:jc w:val="right"/>
              <w:spacing w:after="0" w:line="159" w:lineRule="exact"/>
              <w:rPr>
                <w:sz w:val="20"/>
                <w:szCs w:val="20"/>
                <w:color w:val="auto"/>
              </w:rPr>
            </w:pPr>
            <w:r>
              <w:rPr>
                <w:rFonts w:ascii="Arial" w:cs="Arial" w:eastAsia="Arial" w:hAnsi="Arial"/>
                <w:sz w:val="14"/>
                <w:szCs w:val="14"/>
                <w:color w:val="auto"/>
              </w:rPr>
              <w:t>4.25%</w:t>
            </w:r>
          </w:p>
        </w:tc>
        <w:tc>
          <w:tcPr>
            <w:tcW w:w="700" w:type="dxa"/>
            <w:vAlign w:val="bottom"/>
          </w:tcPr>
          <w:p>
            <w:pPr>
              <w:jc w:val="right"/>
              <w:spacing w:after="0" w:line="159" w:lineRule="exact"/>
              <w:rPr>
                <w:sz w:val="20"/>
                <w:szCs w:val="20"/>
                <w:color w:val="auto"/>
              </w:rPr>
            </w:pPr>
            <w:r>
              <w:rPr>
                <w:rFonts w:ascii="Arial" w:cs="Arial" w:eastAsia="Arial" w:hAnsi="Arial"/>
                <w:sz w:val="14"/>
                <w:szCs w:val="14"/>
                <w:color w:val="auto"/>
              </w:rPr>
              <w:t>7/30/2020</w:t>
            </w:r>
          </w:p>
        </w:tc>
        <w:tc>
          <w:tcPr>
            <w:tcW w:w="12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112"/>
              <w:spacing w:after="0" w:line="159" w:lineRule="exact"/>
              <w:rPr>
                <w:sz w:val="20"/>
                <w:szCs w:val="20"/>
                <w:color w:val="auto"/>
              </w:rPr>
            </w:pPr>
            <w:r>
              <w:rPr>
                <w:rFonts w:ascii="Arial" w:cs="Arial" w:eastAsia="Arial" w:hAnsi="Arial"/>
                <w:sz w:val="14"/>
                <w:szCs w:val="14"/>
                <w:color w:val="auto"/>
                <w:w w:val="83"/>
              </w:rPr>
              <w:t>2,476,212</w:t>
            </w:r>
          </w:p>
        </w:tc>
        <w:tc>
          <w:tcPr>
            <w:tcW w:w="900" w:type="dxa"/>
            <w:vAlign w:val="bottom"/>
          </w:tcPr>
          <w:p>
            <w:pPr>
              <w:jc w:val="right"/>
              <w:ind w:right="112"/>
              <w:spacing w:after="0" w:line="159" w:lineRule="exact"/>
              <w:rPr>
                <w:sz w:val="20"/>
                <w:szCs w:val="20"/>
                <w:color w:val="auto"/>
              </w:rPr>
            </w:pPr>
            <w:r>
              <w:rPr>
                <w:rFonts w:ascii="Arial" w:cs="Arial" w:eastAsia="Arial" w:hAnsi="Arial"/>
                <w:sz w:val="14"/>
                <w:szCs w:val="14"/>
                <w:color w:val="auto"/>
              </w:rPr>
              <w:t>2,467,608</w:t>
            </w:r>
          </w:p>
        </w:tc>
        <w:tc>
          <w:tcPr>
            <w:tcW w:w="800" w:type="dxa"/>
            <w:vAlign w:val="bottom"/>
          </w:tcPr>
          <w:p>
            <w:pPr>
              <w:jc w:val="right"/>
              <w:spacing w:after="0" w:line="159" w:lineRule="exact"/>
              <w:rPr>
                <w:sz w:val="20"/>
                <w:szCs w:val="20"/>
                <w:color w:val="auto"/>
              </w:rPr>
            </w:pPr>
            <w:r>
              <w:rPr>
                <w:rFonts w:ascii="Arial" w:cs="Arial" w:eastAsia="Arial" w:hAnsi="Arial"/>
                <w:sz w:val="14"/>
                <w:szCs w:val="14"/>
                <w:color w:val="auto"/>
              </w:rPr>
              <w:t>2,377,164</w:t>
            </w:r>
          </w:p>
        </w:tc>
      </w:tr>
      <w:tr>
        <w:trPr>
          <w:trHeight w:val="138"/>
        </w:trPr>
        <w:tc>
          <w:tcPr>
            <w:tcW w:w="418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Gates Global LLC</w:t>
            </w:r>
          </w:p>
        </w:tc>
        <w:tc>
          <w:tcPr>
            <w:tcW w:w="1980" w:type="dxa"/>
            <w:vAlign w:val="bottom"/>
            <w:shd w:val="clear" w:color="auto" w:fill="CCEEFF"/>
          </w:tcPr>
          <w:p>
            <w:pPr>
              <w:ind w:left="340"/>
              <w:spacing w:after="0" w:line="138" w:lineRule="exact"/>
              <w:rPr>
                <w:sz w:val="20"/>
                <w:szCs w:val="20"/>
                <w:color w:val="auto"/>
              </w:rPr>
            </w:pPr>
            <w:r>
              <w:rPr>
                <w:rFonts w:ascii="Arial" w:cs="Arial" w:eastAsia="Arial" w:hAnsi="Arial"/>
                <w:sz w:val="14"/>
                <w:szCs w:val="14"/>
                <w:color w:val="auto"/>
              </w:rPr>
              <w:t>Leisure</w:t>
            </w:r>
          </w:p>
        </w:tc>
        <w:tc>
          <w:tcPr>
            <w:tcW w:w="820" w:type="dxa"/>
            <w:vAlign w:val="bottom"/>
            <w:shd w:val="clear" w:color="auto" w:fill="CCEEFF"/>
          </w:tcPr>
          <w:p>
            <w:pPr>
              <w:ind w:left="60"/>
              <w:spacing w:after="0" w:line="138" w:lineRule="exact"/>
              <w:rPr>
                <w:sz w:val="20"/>
                <w:szCs w:val="20"/>
                <w:color w:val="auto"/>
              </w:rPr>
            </w:pPr>
            <w:r>
              <w:rPr>
                <w:rFonts w:ascii="Arial" w:cs="Arial" w:eastAsia="Arial" w:hAnsi="Arial"/>
                <w:sz w:val="14"/>
                <w:szCs w:val="14"/>
                <w:color w:val="auto"/>
              </w:rPr>
              <w:t>Term Loan</w:t>
            </w:r>
          </w:p>
        </w:tc>
        <w:tc>
          <w:tcPr>
            <w:tcW w:w="480" w:type="dxa"/>
            <w:vAlign w:val="bottom"/>
            <w:shd w:val="clear" w:color="auto" w:fill="CCEEFF"/>
          </w:tcPr>
          <w:p>
            <w:pPr>
              <w:ind w:left="60"/>
              <w:spacing w:after="0" w:line="138" w:lineRule="exact"/>
              <w:rPr>
                <w:sz w:val="20"/>
                <w:szCs w:val="20"/>
                <w:color w:val="auto"/>
              </w:rPr>
            </w:pPr>
            <w:r>
              <w:rPr>
                <w:rFonts w:ascii="Arial" w:cs="Arial" w:eastAsia="Arial" w:hAnsi="Arial"/>
                <w:sz w:val="14"/>
                <w:szCs w:val="14"/>
                <w:color w:val="auto"/>
              </w:rPr>
              <w:t>Loan</w:t>
            </w:r>
          </w:p>
        </w:tc>
        <w:tc>
          <w:tcPr>
            <w:tcW w:w="7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r>
      <w:tr>
        <w:trPr>
          <w:trHeight w:val="159"/>
        </w:trPr>
        <w:tc>
          <w:tcPr>
            <w:tcW w:w="4180" w:type="dxa"/>
            <w:vAlign w:val="bottom"/>
            <w:shd w:val="clear" w:color="auto" w:fill="CCEEFF"/>
          </w:tcPr>
          <w:p>
            <w:pPr>
              <w:spacing w:after="0"/>
              <w:rPr>
                <w:sz w:val="13"/>
                <w:szCs w:val="13"/>
                <w:color w:val="auto"/>
              </w:rPr>
            </w:pPr>
          </w:p>
        </w:tc>
        <w:tc>
          <w:tcPr>
            <w:tcW w:w="1980" w:type="dxa"/>
            <w:vAlign w:val="bottom"/>
            <w:shd w:val="clear" w:color="auto" w:fill="CCEEFF"/>
          </w:tcPr>
          <w:p>
            <w:pPr>
              <w:ind w:left="340"/>
              <w:spacing w:after="0" w:line="159" w:lineRule="exact"/>
              <w:rPr>
                <w:sz w:val="20"/>
                <w:szCs w:val="20"/>
                <w:color w:val="auto"/>
              </w:rPr>
            </w:pPr>
            <w:r>
              <w:rPr>
                <w:rFonts w:ascii="Arial" w:cs="Arial" w:eastAsia="Arial" w:hAnsi="Arial"/>
                <w:sz w:val="14"/>
                <w:szCs w:val="14"/>
                <w:color w:val="auto"/>
              </w:rPr>
              <w:t>Goods/Activities/Movies</w:t>
            </w:r>
          </w:p>
        </w:tc>
        <w:tc>
          <w:tcPr>
            <w:tcW w:w="820" w:type="dxa"/>
            <w:vAlign w:val="bottom"/>
            <w:shd w:val="clear" w:color="auto" w:fill="CCEEFF"/>
          </w:tcPr>
          <w:p>
            <w:pPr>
              <w:ind w:left="60"/>
              <w:spacing w:after="0" w:line="159" w:lineRule="exact"/>
              <w:rPr>
                <w:sz w:val="20"/>
                <w:szCs w:val="20"/>
                <w:color w:val="auto"/>
              </w:rPr>
            </w:pPr>
            <w:r>
              <w:rPr>
                <w:rFonts w:ascii="Arial" w:cs="Arial" w:eastAsia="Arial" w:hAnsi="Arial"/>
                <w:sz w:val="14"/>
                <w:szCs w:val="14"/>
                <w:color w:val="auto"/>
              </w:rPr>
              <w:t>(First Lien)</w:t>
            </w:r>
          </w:p>
        </w:tc>
        <w:tc>
          <w:tcPr>
            <w:tcW w:w="48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4.25%</w:t>
            </w:r>
          </w:p>
        </w:tc>
        <w:tc>
          <w:tcPr>
            <w:tcW w:w="7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7/3/2021</w:t>
            </w:r>
          </w:p>
        </w:tc>
        <w:tc>
          <w:tcPr>
            <w:tcW w:w="1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112"/>
              <w:spacing w:after="0" w:line="159" w:lineRule="exact"/>
              <w:rPr>
                <w:sz w:val="20"/>
                <w:szCs w:val="20"/>
                <w:color w:val="auto"/>
              </w:rPr>
            </w:pPr>
            <w:r>
              <w:rPr>
                <w:rFonts w:ascii="Arial" w:cs="Arial" w:eastAsia="Arial" w:hAnsi="Arial"/>
                <w:sz w:val="14"/>
                <w:szCs w:val="14"/>
                <w:color w:val="auto"/>
              </w:rPr>
              <w:t>498,750</w:t>
            </w:r>
          </w:p>
        </w:tc>
        <w:tc>
          <w:tcPr>
            <w:tcW w:w="900" w:type="dxa"/>
            <w:vAlign w:val="bottom"/>
            <w:shd w:val="clear" w:color="auto" w:fill="CCEEFF"/>
          </w:tcPr>
          <w:p>
            <w:pPr>
              <w:jc w:val="right"/>
              <w:ind w:right="112"/>
              <w:spacing w:after="0" w:line="159" w:lineRule="exact"/>
              <w:rPr>
                <w:sz w:val="20"/>
                <w:szCs w:val="20"/>
                <w:color w:val="auto"/>
              </w:rPr>
            </w:pPr>
            <w:r>
              <w:rPr>
                <w:rFonts w:ascii="Arial" w:cs="Arial" w:eastAsia="Arial" w:hAnsi="Arial"/>
                <w:sz w:val="14"/>
                <w:szCs w:val="14"/>
                <w:color w:val="auto"/>
              </w:rPr>
              <w:t>493,763</w:t>
            </w:r>
          </w:p>
        </w:tc>
        <w:tc>
          <w:tcPr>
            <w:tcW w:w="8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494,885</w:t>
            </w:r>
          </w:p>
        </w:tc>
      </w:tr>
      <w:tr>
        <w:trPr>
          <w:trHeight w:val="138"/>
        </w:trPr>
        <w:tc>
          <w:tcPr>
            <w:tcW w:w="4180" w:type="dxa"/>
            <w:vAlign w:val="bottom"/>
          </w:tcPr>
          <w:p>
            <w:pPr>
              <w:spacing w:after="0" w:line="138" w:lineRule="exact"/>
              <w:rPr>
                <w:sz w:val="20"/>
                <w:szCs w:val="20"/>
                <w:color w:val="auto"/>
              </w:rPr>
            </w:pPr>
            <w:r>
              <w:rPr>
                <w:rFonts w:ascii="Arial" w:cs="Arial" w:eastAsia="Arial" w:hAnsi="Arial"/>
                <w:sz w:val="14"/>
                <w:szCs w:val="14"/>
                <w:color w:val="auto"/>
              </w:rPr>
              <w:t>Generac Power Systems, Inc.</w:t>
            </w:r>
          </w:p>
        </w:tc>
        <w:tc>
          <w:tcPr>
            <w:tcW w:w="1980" w:type="dxa"/>
            <w:vAlign w:val="bottom"/>
          </w:tcPr>
          <w:p>
            <w:pPr>
              <w:ind w:left="340"/>
              <w:spacing w:after="0" w:line="138" w:lineRule="exact"/>
              <w:rPr>
                <w:sz w:val="20"/>
                <w:szCs w:val="20"/>
                <w:color w:val="auto"/>
              </w:rPr>
            </w:pPr>
            <w:r>
              <w:rPr>
                <w:rFonts w:ascii="Arial" w:cs="Arial" w:eastAsia="Arial" w:hAnsi="Arial"/>
                <w:sz w:val="14"/>
                <w:szCs w:val="14"/>
                <w:color w:val="auto"/>
              </w:rPr>
              <w:t>Industrial Equipment</w:t>
            </w:r>
          </w:p>
        </w:tc>
        <w:tc>
          <w:tcPr>
            <w:tcW w:w="820" w:type="dxa"/>
            <w:vAlign w:val="bottom"/>
          </w:tcPr>
          <w:p>
            <w:pPr>
              <w:ind w:left="60"/>
              <w:spacing w:after="0" w:line="138" w:lineRule="exact"/>
              <w:rPr>
                <w:sz w:val="20"/>
                <w:szCs w:val="20"/>
                <w:color w:val="auto"/>
              </w:rPr>
            </w:pPr>
            <w:r>
              <w:rPr>
                <w:rFonts w:ascii="Arial" w:cs="Arial" w:eastAsia="Arial" w:hAnsi="Arial"/>
                <w:sz w:val="14"/>
                <w:szCs w:val="14"/>
                <w:color w:val="auto"/>
              </w:rPr>
              <w:t>Term Loan</w:t>
            </w:r>
          </w:p>
        </w:tc>
        <w:tc>
          <w:tcPr>
            <w:tcW w:w="480" w:type="dxa"/>
            <w:vAlign w:val="bottom"/>
          </w:tcPr>
          <w:p>
            <w:pPr>
              <w:ind w:left="60"/>
              <w:spacing w:after="0" w:line="138" w:lineRule="exact"/>
              <w:rPr>
                <w:sz w:val="20"/>
                <w:szCs w:val="20"/>
                <w:color w:val="auto"/>
              </w:rPr>
            </w:pPr>
            <w:r>
              <w:rPr>
                <w:rFonts w:ascii="Arial" w:cs="Arial" w:eastAsia="Arial" w:hAnsi="Arial"/>
                <w:sz w:val="14"/>
                <w:szCs w:val="14"/>
                <w:color w:val="auto"/>
              </w:rPr>
              <w:t>Loan</w:t>
            </w: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59"/>
        </w:trPr>
        <w:tc>
          <w:tcPr>
            <w:tcW w:w="418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820" w:type="dxa"/>
            <w:vAlign w:val="bottom"/>
          </w:tcPr>
          <w:p>
            <w:pPr>
              <w:ind w:left="60"/>
              <w:spacing w:after="0" w:line="159" w:lineRule="exact"/>
              <w:rPr>
                <w:sz w:val="20"/>
                <w:szCs w:val="20"/>
                <w:color w:val="auto"/>
              </w:rPr>
            </w:pPr>
            <w:r>
              <w:rPr>
                <w:rFonts w:ascii="Arial" w:cs="Arial" w:eastAsia="Arial" w:hAnsi="Arial"/>
                <w:sz w:val="14"/>
                <w:szCs w:val="14"/>
                <w:color w:val="auto"/>
              </w:rPr>
              <w:t>B</w:t>
            </w:r>
          </w:p>
        </w:tc>
        <w:tc>
          <w:tcPr>
            <w:tcW w:w="480" w:type="dxa"/>
            <w:vAlign w:val="bottom"/>
          </w:tcPr>
          <w:p>
            <w:pPr>
              <w:spacing w:after="0"/>
              <w:rPr>
                <w:sz w:val="13"/>
                <w:szCs w:val="13"/>
                <w:color w:val="auto"/>
              </w:rPr>
            </w:pPr>
          </w:p>
        </w:tc>
        <w:tc>
          <w:tcPr>
            <w:tcW w:w="720" w:type="dxa"/>
            <w:vAlign w:val="bottom"/>
          </w:tcPr>
          <w:p>
            <w:pPr>
              <w:jc w:val="right"/>
              <w:spacing w:after="0" w:line="159" w:lineRule="exact"/>
              <w:rPr>
                <w:sz w:val="20"/>
                <w:szCs w:val="20"/>
                <w:color w:val="auto"/>
              </w:rPr>
            </w:pPr>
            <w:r>
              <w:rPr>
                <w:rFonts w:ascii="Arial" w:cs="Arial" w:eastAsia="Arial" w:hAnsi="Arial"/>
                <w:sz w:val="14"/>
                <w:szCs w:val="14"/>
                <w:color w:val="auto"/>
              </w:rPr>
              <w:t>3.25%</w:t>
            </w:r>
          </w:p>
        </w:tc>
        <w:tc>
          <w:tcPr>
            <w:tcW w:w="700" w:type="dxa"/>
            <w:vAlign w:val="bottom"/>
          </w:tcPr>
          <w:p>
            <w:pPr>
              <w:jc w:val="right"/>
              <w:spacing w:after="0" w:line="159" w:lineRule="exact"/>
              <w:rPr>
                <w:sz w:val="20"/>
                <w:szCs w:val="20"/>
                <w:color w:val="auto"/>
              </w:rPr>
            </w:pPr>
            <w:r>
              <w:rPr>
                <w:rFonts w:ascii="Arial" w:cs="Arial" w:eastAsia="Arial" w:hAnsi="Arial"/>
                <w:sz w:val="14"/>
                <w:szCs w:val="14"/>
                <w:color w:val="auto"/>
              </w:rPr>
              <w:t>5/29/2020</w:t>
            </w:r>
          </w:p>
        </w:tc>
        <w:tc>
          <w:tcPr>
            <w:tcW w:w="12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112"/>
              <w:spacing w:after="0" w:line="159" w:lineRule="exact"/>
              <w:rPr>
                <w:sz w:val="20"/>
                <w:szCs w:val="20"/>
                <w:color w:val="auto"/>
              </w:rPr>
            </w:pPr>
            <w:r>
              <w:rPr>
                <w:rFonts w:ascii="Arial" w:cs="Arial" w:eastAsia="Arial" w:hAnsi="Arial"/>
                <w:sz w:val="14"/>
                <w:szCs w:val="14"/>
                <w:color w:val="auto"/>
              </w:rPr>
              <w:t>802,956</w:t>
            </w:r>
          </w:p>
        </w:tc>
        <w:tc>
          <w:tcPr>
            <w:tcW w:w="900" w:type="dxa"/>
            <w:vAlign w:val="bottom"/>
          </w:tcPr>
          <w:p>
            <w:pPr>
              <w:jc w:val="right"/>
              <w:ind w:right="112"/>
              <w:spacing w:after="0" w:line="159" w:lineRule="exact"/>
              <w:rPr>
                <w:sz w:val="20"/>
                <w:szCs w:val="20"/>
                <w:color w:val="auto"/>
              </w:rPr>
            </w:pPr>
            <w:r>
              <w:rPr>
                <w:rFonts w:ascii="Arial" w:cs="Arial" w:eastAsia="Arial" w:hAnsi="Arial"/>
                <w:sz w:val="14"/>
                <w:szCs w:val="14"/>
                <w:color w:val="auto"/>
              </w:rPr>
              <w:t>789,932</w:t>
            </w:r>
          </w:p>
        </w:tc>
        <w:tc>
          <w:tcPr>
            <w:tcW w:w="800" w:type="dxa"/>
            <w:vAlign w:val="bottom"/>
          </w:tcPr>
          <w:p>
            <w:pPr>
              <w:jc w:val="right"/>
              <w:spacing w:after="0" w:line="159" w:lineRule="exact"/>
              <w:rPr>
                <w:sz w:val="20"/>
                <w:szCs w:val="20"/>
                <w:color w:val="auto"/>
              </w:rPr>
            </w:pPr>
            <w:r>
              <w:rPr>
                <w:rFonts w:ascii="Arial" w:cs="Arial" w:eastAsia="Arial" w:hAnsi="Arial"/>
                <w:sz w:val="14"/>
                <w:szCs w:val="14"/>
                <w:color w:val="auto"/>
              </w:rPr>
              <w:t>797,182</w:t>
            </w:r>
          </w:p>
        </w:tc>
      </w:tr>
      <w:tr>
        <w:trPr>
          <w:trHeight w:val="138"/>
        </w:trPr>
        <w:tc>
          <w:tcPr>
            <w:tcW w:w="418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General Nutrition Centers, Inc.</w:t>
            </w:r>
          </w:p>
        </w:tc>
        <w:tc>
          <w:tcPr>
            <w:tcW w:w="1980" w:type="dxa"/>
            <w:vAlign w:val="bottom"/>
            <w:shd w:val="clear" w:color="auto" w:fill="CCEEFF"/>
          </w:tcPr>
          <w:p>
            <w:pPr>
              <w:ind w:left="340"/>
              <w:spacing w:after="0" w:line="138" w:lineRule="exact"/>
              <w:rPr>
                <w:sz w:val="20"/>
                <w:szCs w:val="20"/>
                <w:color w:val="auto"/>
              </w:rPr>
            </w:pPr>
            <w:r>
              <w:rPr>
                <w:rFonts w:ascii="Arial" w:cs="Arial" w:eastAsia="Arial" w:hAnsi="Arial"/>
                <w:sz w:val="14"/>
                <w:szCs w:val="14"/>
                <w:color w:val="auto"/>
                <w:w w:val="95"/>
              </w:rPr>
              <w:t>Retailers (Except Food and</w:t>
            </w:r>
          </w:p>
        </w:tc>
        <w:tc>
          <w:tcPr>
            <w:tcW w:w="820" w:type="dxa"/>
            <w:vAlign w:val="bottom"/>
            <w:shd w:val="clear" w:color="auto" w:fill="CCEEFF"/>
          </w:tcPr>
          <w:p>
            <w:pPr>
              <w:ind w:left="60"/>
              <w:spacing w:after="0" w:line="138" w:lineRule="exact"/>
              <w:rPr>
                <w:sz w:val="20"/>
                <w:szCs w:val="20"/>
                <w:color w:val="auto"/>
              </w:rPr>
            </w:pPr>
            <w:r>
              <w:rPr>
                <w:rFonts w:ascii="Arial" w:cs="Arial" w:eastAsia="Arial" w:hAnsi="Arial"/>
                <w:sz w:val="14"/>
                <w:szCs w:val="14"/>
                <w:color w:val="auto"/>
              </w:rPr>
              <w:t>Amended</w:t>
            </w:r>
          </w:p>
        </w:tc>
        <w:tc>
          <w:tcPr>
            <w:tcW w:w="480" w:type="dxa"/>
            <w:vAlign w:val="bottom"/>
            <w:shd w:val="clear" w:color="auto" w:fill="CCEEFF"/>
          </w:tcPr>
          <w:p>
            <w:pPr>
              <w:ind w:left="60"/>
              <w:spacing w:after="0" w:line="138" w:lineRule="exact"/>
              <w:rPr>
                <w:sz w:val="20"/>
                <w:szCs w:val="20"/>
                <w:color w:val="auto"/>
              </w:rPr>
            </w:pPr>
            <w:r>
              <w:rPr>
                <w:rFonts w:ascii="Arial" w:cs="Arial" w:eastAsia="Arial" w:hAnsi="Arial"/>
                <w:sz w:val="14"/>
                <w:szCs w:val="14"/>
                <w:color w:val="auto"/>
              </w:rPr>
              <w:t>Loan</w:t>
            </w:r>
          </w:p>
        </w:tc>
        <w:tc>
          <w:tcPr>
            <w:tcW w:w="7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r>
      <w:tr>
        <w:trPr>
          <w:trHeight w:val="149"/>
        </w:trPr>
        <w:tc>
          <w:tcPr>
            <w:tcW w:w="4180" w:type="dxa"/>
            <w:vAlign w:val="bottom"/>
            <w:shd w:val="clear" w:color="auto" w:fill="CCEEFF"/>
          </w:tcPr>
          <w:p>
            <w:pPr>
              <w:spacing w:after="0"/>
              <w:rPr>
                <w:sz w:val="12"/>
                <w:szCs w:val="12"/>
                <w:color w:val="auto"/>
              </w:rPr>
            </w:pPr>
          </w:p>
        </w:tc>
        <w:tc>
          <w:tcPr>
            <w:tcW w:w="198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color w:val="auto"/>
              </w:rPr>
              <w:t>Drugs)</w:t>
            </w:r>
          </w:p>
        </w:tc>
        <w:tc>
          <w:tcPr>
            <w:tcW w:w="82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Tranche B</w:t>
            </w:r>
          </w:p>
        </w:tc>
        <w:tc>
          <w:tcPr>
            <w:tcW w:w="4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r>
      <w:tr>
        <w:trPr>
          <w:trHeight w:val="159"/>
        </w:trPr>
        <w:tc>
          <w:tcPr>
            <w:tcW w:w="4180" w:type="dxa"/>
            <w:vAlign w:val="bottom"/>
            <w:shd w:val="clear" w:color="auto" w:fill="CCEEFF"/>
          </w:tcPr>
          <w:p>
            <w:pPr>
              <w:spacing w:after="0"/>
              <w:rPr>
                <w:sz w:val="13"/>
                <w:szCs w:val="13"/>
                <w:color w:val="auto"/>
              </w:rPr>
            </w:pPr>
          </w:p>
        </w:tc>
        <w:tc>
          <w:tcPr>
            <w:tcW w:w="1980" w:type="dxa"/>
            <w:vAlign w:val="bottom"/>
            <w:shd w:val="clear" w:color="auto" w:fill="CCEEFF"/>
          </w:tcPr>
          <w:p>
            <w:pPr>
              <w:spacing w:after="0"/>
              <w:rPr>
                <w:sz w:val="13"/>
                <w:szCs w:val="13"/>
                <w:color w:val="auto"/>
              </w:rPr>
            </w:pPr>
          </w:p>
        </w:tc>
        <w:tc>
          <w:tcPr>
            <w:tcW w:w="820" w:type="dxa"/>
            <w:vAlign w:val="bottom"/>
            <w:shd w:val="clear" w:color="auto" w:fill="CCEEFF"/>
          </w:tcPr>
          <w:p>
            <w:pPr>
              <w:ind w:left="60"/>
              <w:spacing w:after="0" w:line="159" w:lineRule="exact"/>
              <w:rPr>
                <w:sz w:val="20"/>
                <w:szCs w:val="20"/>
                <w:color w:val="auto"/>
              </w:rPr>
            </w:pPr>
            <w:r>
              <w:rPr>
                <w:rFonts w:ascii="Arial" w:cs="Arial" w:eastAsia="Arial" w:hAnsi="Arial"/>
                <w:sz w:val="14"/>
                <w:szCs w:val="14"/>
                <w:color w:val="auto"/>
              </w:rPr>
              <w:t>Term Loan</w:t>
            </w:r>
          </w:p>
        </w:tc>
        <w:tc>
          <w:tcPr>
            <w:tcW w:w="48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3.25%</w:t>
            </w:r>
          </w:p>
        </w:tc>
        <w:tc>
          <w:tcPr>
            <w:tcW w:w="7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3/4/2019</w:t>
            </w:r>
          </w:p>
        </w:tc>
        <w:tc>
          <w:tcPr>
            <w:tcW w:w="1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112"/>
              <w:spacing w:after="0" w:line="159" w:lineRule="exact"/>
              <w:rPr>
                <w:sz w:val="20"/>
                <w:szCs w:val="20"/>
                <w:color w:val="auto"/>
              </w:rPr>
            </w:pPr>
            <w:r>
              <w:rPr>
                <w:rFonts w:ascii="Arial" w:cs="Arial" w:eastAsia="Arial" w:hAnsi="Arial"/>
                <w:sz w:val="14"/>
                <w:szCs w:val="14"/>
                <w:color w:val="auto"/>
                <w:w w:val="83"/>
              </w:rPr>
              <w:t>4,724,136</w:t>
            </w:r>
          </w:p>
        </w:tc>
        <w:tc>
          <w:tcPr>
            <w:tcW w:w="900" w:type="dxa"/>
            <w:vAlign w:val="bottom"/>
            <w:shd w:val="clear" w:color="auto" w:fill="CCEEFF"/>
          </w:tcPr>
          <w:p>
            <w:pPr>
              <w:jc w:val="right"/>
              <w:ind w:right="112"/>
              <w:spacing w:after="0" w:line="159" w:lineRule="exact"/>
              <w:rPr>
                <w:sz w:val="20"/>
                <w:szCs w:val="20"/>
                <w:color w:val="auto"/>
              </w:rPr>
            </w:pPr>
            <w:r>
              <w:rPr>
                <w:rFonts w:ascii="Arial" w:cs="Arial" w:eastAsia="Arial" w:hAnsi="Arial"/>
                <w:sz w:val="14"/>
                <w:szCs w:val="14"/>
                <w:color w:val="auto"/>
              </w:rPr>
              <w:t>4,709,712</w:t>
            </w:r>
          </w:p>
        </w:tc>
        <w:tc>
          <w:tcPr>
            <w:tcW w:w="8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4,649,353</w:t>
            </w:r>
          </w:p>
        </w:tc>
      </w:tr>
      <w:tr>
        <w:trPr>
          <w:trHeight w:val="138"/>
        </w:trPr>
        <w:tc>
          <w:tcPr>
            <w:tcW w:w="4180" w:type="dxa"/>
            <w:vAlign w:val="bottom"/>
          </w:tcPr>
          <w:p>
            <w:pPr>
              <w:spacing w:after="0" w:line="138" w:lineRule="exact"/>
              <w:rPr>
                <w:sz w:val="20"/>
                <w:szCs w:val="20"/>
                <w:color w:val="auto"/>
              </w:rPr>
            </w:pPr>
            <w:r>
              <w:rPr>
                <w:rFonts w:ascii="Arial" w:cs="Arial" w:eastAsia="Arial" w:hAnsi="Arial"/>
                <w:sz w:val="14"/>
                <w:szCs w:val="14"/>
                <w:color w:val="auto"/>
              </w:rPr>
              <w:t>Global Tel*Link Corporation</w:t>
            </w:r>
          </w:p>
        </w:tc>
        <w:tc>
          <w:tcPr>
            <w:tcW w:w="1980" w:type="dxa"/>
            <w:vAlign w:val="bottom"/>
          </w:tcPr>
          <w:p>
            <w:pPr>
              <w:ind w:left="340"/>
              <w:spacing w:after="0" w:line="138" w:lineRule="exact"/>
              <w:rPr>
                <w:sz w:val="20"/>
                <w:szCs w:val="20"/>
                <w:color w:val="auto"/>
              </w:rPr>
            </w:pPr>
            <w:r>
              <w:rPr>
                <w:rFonts w:ascii="Arial" w:cs="Arial" w:eastAsia="Arial" w:hAnsi="Arial"/>
                <w:sz w:val="14"/>
                <w:szCs w:val="14"/>
                <w:color w:val="auto"/>
              </w:rPr>
              <w:t>Services: Business</w:t>
            </w:r>
          </w:p>
        </w:tc>
        <w:tc>
          <w:tcPr>
            <w:tcW w:w="820" w:type="dxa"/>
            <w:vAlign w:val="bottom"/>
          </w:tcPr>
          <w:p>
            <w:pPr>
              <w:ind w:left="60"/>
              <w:spacing w:after="0" w:line="138" w:lineRule="exact"/>
              <w:rPr>
                <w:sz w:val="20"/>
                <w:szCs w:val="20"/>
                <w:color w:val="auto"/>
              </w:rPr>
            </w:pPr>
            <w:r>
              <w:rPr>
                <w:rFonts w:ascii="Arial" w:cs="Arial" w:eastAsia="Arial" w:hAnsi="Arial"/>
                <w:sz w:val="14"/>
                <w:szCs w:val="14"/>
                <w:color w:val="auto"/>
              </w:rPr>
              <w:t>Term Loan</w:t>
            </w:r>
          </w:p>
        </w:tc>
        <w:tc>
          <w:tcPr>
            <w:tcW w:w="480" w:type="dxa"/>
            <w:vAlign w:val="bottom"/>
          </w:tcPr>
          <w:p>
            <w:pPr>
              <w:ind w:left="60"/>
              <w:spacing w:after="0" w:line="138" w:lineRule="exact"/>
              <w:rPr>
                <w:sz w:val="20"/>
                <w:szCs w:val="20"/>
                <w:color w:val="auto"/>
              </w:rPr>
            </w:pPr>
            <w:r>
              <w:rPr>
                <w:rFonts w:ascii="Arial" w:cs="Arial" w:eastAsia="Arial" w:hAnsi="Arial"/>
                <w:sz w:val="14"/>
                <w:szCs w:val="14"/>
                <w:color w:val="auto"/>
              </w:rPr>
              <w:t>Loan</w:t>
            </w: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59"/>
        </w:trPr>
        <w:tc>
          <w:tcPr>
            <w:tcW w:w="418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820" w:type="dxa"/>
            <w:vAlign w:val="bottom"/>
          </w:tcPr>
          <w:p>
            <w:pPr>
              <w:ind w:left="60"/>
              <w:spacing w:after="0" w:line="159" w:lineRule="exact"/>
              <w:rPr>
                <w:sz w:val="20"/>
                <w:szCs w:val="20"/>
                <w:color w:val="auto"/>
              </w:rPr>
            </w:pPr>
            <w:r>
              <w:rPr>
                <w:rFonts w:ascii="Arial" w:cs="Arial" w:eastAsia="Arial" w:hAnsi="Arial"/>
                <w:sz w:val="14"/>
                <w:szCs w:val="14"/>
                <w:color w:val="auto"/>
              </w:rPr>
              <w:t>(First Lien)</w:t>
            </w:r>
          </w:p>
        </w:tc>
        <w:tc>
          <w:tcPr>
            <w:tcW w:w="480" w:type="dxa"/>
            <w:vAlign w:val="bottom"/>
          </w:tcPr>
          <w:p>
            <w:pPr>
              <w:spacing w:after="0"/>
              <w:rPr>
                <w:sz w:val="13"/>
                <w:szCs w:val="13"/>
                <w:color w:val="auto"/>
              </w:rPr>
            </w:pPr>
          </w:p>
        </w:tc>
        <w:tc>
          <w:tcPr>
            <w:tcW w:w="720" w:type="dxa"/>
            <w:vAlign w:val="bottom"/>
          </w:tcPr>
          <w:p>
            <w:pPr>
              <w:jc w:val="right"/>
              <w:spacing w:after="0" w:line="159" w:lineRule="exact"/>
              <w:rPr>
                <w:sz w:val="20"/>
                <w:szCs w:val="20"/>
                <w:color w:val="auto"/>
              </w:rPr>
            </w:pPr>
            <w:r>
              <w:rPr>
                <w:rFonts w:ascii="Arial" w:cs="Arial" w:eastAsia="Arial" w:hAnsi="Arial"/>
                <w:sz w:val="14"/>
                <w:szCs w:val="14"/>
                <w:color w:val="auto"/>
              </w:rPr>
              <w:t>5.00%</w:t>
            </w:r>
          </w:p>
        </w:tc>
        <w:tc>
          <w:tcPr>
            <w:tcW w:w="700" w:type="dxa"/>
            <w:vAlign w:val="bottom"/>
          </w:tcPr>
          <w:p>
            <w:pPr>
              <w:jc w:val="right"/>
              <w:spacing w:after="0" w:line="159" w:lineRule="exact"/>
              <w:rPr>
                <w:sz w:val="20"/>
                <w:szCs w:val="20"/>
                <w:color w:val="auto"/>
              </w:rPr>
            </w:pPr>
            <w:r>
              <w:rPr>
                <w:rFonts w:ascii="Arial" w:cs="Arial" w:eastAsia="Arial" w:hAnsi="Arial"/>
                <w:sz w:val="14"/>
                <w:szCs w:val="14"/>
                <w:color w:val="auto"/>
              </w:rPr>
              <w:t>5/26/2020</w:t>
            </w:r>
          </w:p>
        </w:tc>
        <w:tc>
          <w:tcPr>
            <w:tcW w:w="12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112"/>
              <w:spacing w:after="0" w:line="159" w:lineRule="exact"/>
              <w:rPr>
                <w:sz w:val="20"/>
                <w:szCs w:val="20"/>
                <w:color w:val="auto"/>
              </w:rPr>
            </w:pPr>
            <w:r>
              <w:rPr>
                <w:rFonts w:ascii="Arial" w:cs="Arial" w:eastAsia="Arial" w:hAnsi="Arial"/>
                <w:sz w:val="14"/>
                <w:szCs w:val="14"/>
                <w:color w:val="auto"/>
                <w:w w:val="83"/>
              </w:rPr>
              <w:t>2,755,515</w:t>
            </w:r>
          </w:p>
        </w:tc>
        <w:tc>
          <w:tcPr>
            <w:tcW w:w="900" w:type="dxa"/>
            <w:vAlign w:val="bottom"/>
          </w:tcPr>
          <w:p>
            <w:pPr>
              <w:jc w:val="right"/>
              <w:ind w:right="112"/>
              <w:spacing w:after="0" w:line="159" w:lineRule="exact"/>
              <w:rPr>
                <w:sz w:val="20"/>
                <w:szCs w:val="20"/>
                <w:color w:val="auto"/>
              </w:rPr>
            </w:pPr>
            <w:r>
              <w:rPr>
                <w:rFonts w:ascii="Arial" w:cs="Arial" w:eastAsia="Arial" w:hAnsi="Arial"/>
                <w:sz w:val="14"/>
                <w:szCs w:val="14"/>
                <w:color w:val="auto"/>
              </w:rPr>
              <w:t>2,747,025</w:t>
            </w:r>
          </w:p>
        </w:tc>
        <w:tc>
          <w:tcPr>
            <w:tcW w:w="800" w:type="dxa"/>
            <w:vAlign w:val="bottom"/>
          </w:tcPr>
          <w:p>
            <w:pPr>
              <w:jc w:val="right"/>
              <w:spacing w:after="0" w:line="159" w:lineRule="exact"/>
              <w:rPr>
                <w:sz w:val="20"/>
                <w:szCs w:val="20"/>
                <w:color w:val="auto"/>
              </w:rPr>
            </w:pPr>
            <w:r>
              <w:rPr>
                <w:rFonts w:ascii="Arial" w:cs="Arial" w:eastAsia="Arial" w:hAnsi="Arial"/>
                <w:sz w:val="14"/>
                <w:szCs w:val="14"/>
                <w:color w:val="auto"/>
              </w:rPr>
              <w:t>2,719,914</w:t>
            </w:r>
          </w:p>
        </w:tc>
      </w:tr>
      <w:tr>
        <w:trPr>
          <w:trHeight w:val="138"/>
        </w:trPr>
        <w:tc>
          <w:tcPr>
            <w:tcW w:w="418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Goodyear Tire &amp; Rubber Company, The</w:t>
            </w:r>
          </w:p>
        </w:tc>
        <w:tc>
          <w:tcPr>
            <w:tcW w:w="1980" w:type="dxa"/>
            <w:vAlign w:val="bottom"/>
            <w:shd w:val="clear" w:color="auto" w:fill="CCEEFF"/>
          </w:tcPr>
          <w:p>
            <w:pPr>
              <w:ind w:left="340"/>
              <w:spacing w:after="0" w:line="138" w:lineRule="exact"/>
              <w:rPr>
                <w:sz w:val="20"/>
                <w:szCs w:val="20"/>
                <w:color w:val="auto"/>
              </w:rPr>
            </w:pPr>
            <w:r>
              <w:rPr>
                <w:rFonts w:ascii="Arial" w:cs="Arial" w:eastAsia="Arial" w:hAnsi="Arial"/>
                <w:sz w:val="14"/>
                <w:szCs w:val="14"/>
                <w:color w:val="auto"/>
              </w:rPr>
              <w:t>Chemicals/Plastics</w:t>
            </w:r>
          </w:p>
        </w:tc>
        <w:tc>
          <w:tcPr>
            <w:tcW w:w="820" w:type="dxa"/>
            <w:vAlign w:val="bottom"/>
            <w:shd w:val="clear" w:color="auto" w:fill="CCEEFF"/>
          </w:tcPr>
          <w:p>
            <w:pPr>
              <w:ind w:left="60"/>
              <w:spacing w:after="0" w:line="138" w:lineRule="exact"/>
              <w:rPr>
                <w:sz w:val="20"/>
                <w:szCs w:val="20"/>
                <w:color w:val="auto"/>
              </w:rPr>
            </w:pPr>
            <w:r>
              <w:rPr>
                <w:rFonts w:ascii="Arial" w:cs="Arial" w:eastAsia="Arial" w:hAnsi="Arial"/>
                <w:sz w:val="14"/>
                <w:szCs w:val="14"/>
                <w:color w:val="auto"/>
              </w:rPr>
              <w:t>Loan</w:t>
            </w:r>
          </w:p>
        </w:tc>
        <w:tc>
          <w:tcPr>
            <w:tcW w:w="480" w:type="dxa"/>
            <w:vAlign w:val="bottom"/>
            <w:shd w:val="clear" w:color="auto" w:fill="CCEEFF"/>
          </w:tcPr>
          <w:p>
            <w:pPr>
              <w:ind w:left="60"/>
              <w:spacing w:after="0" w:line="138" w:lineRule="exact"/>
              <w:rPr>
                <w:sz w:val="20"/>
                <w:szCs w:val="20"/>
                <w:color w:val="auto"/>
              </w:rPr>
            </w:pPr>
            <w:r>
              <w:rPr>
                <w:rFonts w:ascii="Arial" w:cs="Arial" w:eastAsia="Arial" w:hAnsi="Arial"/>
                <w:sz w:val="14"/>
                <w:szCs w:val="14"/>
                <w:color w:val="auto"/>
              </w:rPr>
              <w:t>Loan</w:t>
            </w:r>
          </w:p>
        </w:tc>
        <w:tc>
          <w:tcPr>
            <w:tcW w:w="7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r>
      <w:tr>
        <w:trPr>
          <w:trHeight w:val="149"/>
        </w:trPr>
        <w:tc>
          <w:tcPr>
            <w:tcW w:w="4180" w:type="dxa"/>
            <w:vAlign w:val="bottom"/>
            <w:shd w:val="clear" w:color="auto" w:fill="CCEEFF"/>
          </w:tcPr>
          <w:p>
            <w:pPr>
              <w:spacing w:after="0"/>
              <w:rPr>
                <w:sz w:val="12"/>
                <w:szCs w:val="12"/>
                <w:color w:val="auto"/>
              </w:rPr>
            </w:pPr>
          </w:p>
        </w:tc>
        <w:tc>
          <w:tcPr>
            <w:tcW w:w="1980" w:type="dxa"/>
            <w:vAlign w:val="bottom"/>
            <w:shd w:val="clear" w:color="auto" w:fill="CCEEFF"/>
          </w:tcPr>
          <w:p>
            <w:pPr>
              <w:spacing w:after="0"/>
              <w:rPr>
                <w:sz w:val="12"/>
                <w:szCs w:val="12"/>
                <w:color w:val="auto"/>
              </w:rPr>
            </w:pPr>
          </w:p>
        </w:tc>
        <w:tc>
          <w:tcPr>
            <w:tcW w:w="82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(Second</w:t>
            </w:r>
          </w:p>
        </w:tc>
        <w:tc>
          <w:tcPr>
            <w:tcW w:w="4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r>
      <w:tr>
        <w:trPr>
          <w:trHeight w:val="159"/>
        </w:trPr>
        <w:tc>
          <w:tcPr>
            <w:tcW w:w="4180" w:type="dxa"/>
            <w:vAlign w:val="bottom"/>
            <w:shd w:val="clear" w:color="auto" w:fill="CCEEFF"/>
          </w:tcPr>
          <w:p>
            <w:pPr>
              <w:spacing w:after="0"/>
              <w:rPr>
                <w:sz w:val="13"/>
                <w:szCs w:val="13"/>
                <w:color w:val="auto"/>
              </w:rPr>
            </w:pPr>
          </w:p>
        </w:tc>
        <w:tc>
          <w:tcPr>
            <w:tcW w:w="1980" w:type="dxa"/>
            <w:vAlign w:val="bottom"/>
            <w:shd w:val="clear" w:color="auto" w:fill="CCEEFF"/>
          </w:tcPr>
          <w:p>
            <w:pPr>
              <w:spacing w:after="0"/>
              <w:rPr>
                <w:sz w:val="13"/>
                <w:szCs w:val="13"/>
                <w:color w:val="auto"/>
              </w:rPr>
            </w:pPr>
          </w:p>
        </w:tc>
        <w:tc>
          <w:tcPr>
            <w:tcW w:w="820" w:type="dxa"/>
            <w:vAlign w:val="bottom"/>
            <w:shd w:val="clear" w:color="auto" w:fill="CCEEFF"/>
          </w:tcPr>
          <w:p>
            <w:pPr>
              <w:ind w:left="60"/>
              <w:spacing w:after="0" w:line="159" w:lineRule="exact"/>
              <w:rPr>
                <w:sz w:val="20"/>
                <w:szCs w:val="20"/>
                <w:color w:val="auto"/>
              </w:rPr>
            </w:pPr>
            <w:r>
              <w:rPr>
                <w:rFonts w:ascii="Arial" w:cs="Arial" w:eastAsia="Arial" w:hAnsi="Arial"/>
                <w:sz w:val="14"/>
                <w:szCs w:val="14"/>
                <w:color w:val="auto"/>
              </w:rPr>
              <w:t>Lien)</w:t>
            </w:r>
          </w:p>
        </w:tc>
        <w:tc>
          <w:tcPr>
            <w:tcW w:w="48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4.75%</w:t>
            </w:r>
          </w:p>
        </w:tc>
        <w:tc>
          <w:tcPr>
            <w:tcW w:w="7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4/30/2019</w:t>
            </w:r>
          </w:p>
        </w:tc>
        <w:tc>
          <w:tcPr>
            <w:tcW w:w="1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112"/>
              <w:spacing w:after="0" w:line="159" w:lineRule="exact"/>
              <w:rPr>
                <w:sz w:val="20"/>
                <w:szCs w:val="20"/>
                <w:color w:val="auto"/>
              </w:rPr>
            </w:pPr>
            <w:r>
              <w:rPr>
                <w:rFonts w:ascii="Arial" w:cs="Arial" w:eastAsia="Arial" w:hAnsi="Arial"/>
                <w:sz w:val="14"/>
                <w:szCs w:val="14"/>
                <w:color w:val="auto"/>
                <w:w w:val="83"/>
              </w:rPr>
              <w:t>3,333,333</w:t>
            </w:r>
          </w:p>
        </w:tc>
        <w:tc>
          <w:tcPr>
            <w:tcW w:w="900" w:type="dxa"/>
            <w:vAlign w:val="bottom"/>
            <w:shd w:val="clear" w:color="auto" w:fill="CCEEFF"/>
          </w:tcPr>
          <w:p>
            <w:pPr>
              <w:jc w:val="right"/>
              <w:ind w:right="112"/>
              <w:spacing w:after="0" w:line="159" w:lineRule="exact"/>
              <w:rPr>
                <w:sz w:val="20"/>
                <w:szCs w:val="20"/>
                <w:color w:val="auto"/>
              </w:rPr>
            </w:pPr>
            <w:r>
              <w:rPr>
                <w:rFonts w:ascii="Arial" w:cs="Arial" w:eastAsia="Arial" w:hAnsi="Arial"/>
                <w:sz w:val="14"/>
                <w:szCs w:val="14"/>
                <w:color w:val="auto"/>
              </w:rPr>
              <w:t>3,296,753</w:t>
            </w:r>
          </w:p>
        </w:tc>
        <w:tc>
          <w:tcPr>
            <w:tcW w:w="8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3,347,933</w:t>
            </w:r>
          </w:p>
        </w:tc>
      </w:tr>
      <w:tr>
        <w:trPr>
          <w:trHeight w:val="138"/>
        </w:trPr>
        <w:tc>
          <w:tcPr>
            <w:tcW w:w="4180" w:type="dxa"/>
            <w:vAlign w:val="bottom"/>
          </w:tcPr>
          <w:p>
            <w:pPr>
              <w:spacing w:after="0" w:line="138" w:lineRule="exact"/>
              <w:rPr>
                <w:sz w:val="20"/>
                <w:szCs w:val="20"/>
                <w:color w:val="auto"/>
              </w:rPr>
            </w:pPr>
            <w:r>
              <w:rPr>
                <w:rFonts w:ascii="Arial" w:cs="Arial" w:eastAsia="Arial" w:hAnsi="Arial"/>
                <w:sz w:val="14"/>
                <w:szCs w:val="14"/>
                <w:color w:val="auto"/>
              </w:rPr>
              <w:t>Grosvenor Capital Management Holdings, LP</w:t>
            </w:r>
          </w:p>
        </w:tc>
        <w:tc>
          <w:tcPr>
            <w:tcW w:w="1980" w:type="dxa"/>
            <w:vAlign w:val="bottom"/>
          </w:tcPr>
          <w:p>
            <w:pPr>
              <w:ind w:left="340"/>
              <w:spacing w:after="0" w:line="138" w:lineRule="exact"/>
              <w:rPr>
                <w:sz w:val="20"/>
                <w:szCs w:val="20"/>
                <w:color w:val="auto"/>
              </w:rPr>
            </w:pPr>
            <w:r>
              <w:rPr>
                <w:rFonts w:ascii="Arial" w:cs="Arial" w:eastAsia="Arial" w:hAnsi="Arial"/>
                <w:sz w:val="14"/>
                <w:szCs w:val="14"/>
                <w:color w:val="auto"/>
                <w:w w:val="93"/>
              </w:rPr>
              <w:t>Brokers/Dealers/Investment</w:t>
            </w:r>
          </w:p>
        </w:tc>
        <w:tc>
          <w:tcPr>
            <w:tcW w:w="820" w:type="dxa"/>
            <w:vAlign w:val="bottom"/>
          </w:tcPr>
          <w:p>
            <w:pPr>
              <w:ind w:left="60"/>
              <w:spacing w:after="0" w:line="138" w:lineRule="exact"/>
              <w:rPr>
                <w:sz w:val="20"/>
                <w:szCs w:val="20"/>
                <w:color w:val="auto"/>
              </w:rPr>
            </w:pPr>
            <w:r>
              <w:rPr>
                <w:rFonts w:ascii="Arial" w:cs="Arial" w:eastAsia="Arial" w:hAnsi="Arial"/>
                <w:sz w:val="14"/>
                <w:szCs w:val="14"/>
                <w:color w:val="auto"/>
              </w:rPr>
              <w:t>Initial Term</w:t>
            </w:r>
          </w:p>
        </w:tc>
        <w:tc>
          <w:tcPr>
            <w:tcW w:w="480" w:type="dxa"/>
            <w:vAlign w:val="bottom"/>
          </w:tcPr>
          <w:p>
            <w:pPr>
              <w:ind w:left="60"/>
              <w:spacing w:after="0" w:line="138" w:lineRule="exact"/>
              <w:rPr>
                <w:sz w:val="20"/>
                <w:szCs w:val="20"/>
                <w:color w:val="auto"/>
              </w:rPr>
            </w:pPr>
            <w:r>
              <w:rPr>
                <w:rFonts w:ascii="Arial" w:cs="Arial" w:eastAsia="Arial" w:hAnsi="Arial"/>
                <w:sz w:val="14"/>
                <w:szCs w:val="14"/>
                <w:color w:val="auto"/>
              </w:rPr>
              <w:t>Loan</w:t>
            </w: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59"/>
        </w:trPr>
        <w:tc>
          <w:tcPr>
            <w:tcW w:w="4180" w:type="dxa"/>
            <w:vAlign w:val="bottom"/>
          </w:tcPr>
          <w:p>
            <w:pPr>
              <w:spacing w:after="0"/>
              <w:rPr>
                <w:sz w:val="13"/>
                <w:szCs w:val="13"/>
                <w:color w:val="auto"/>
              </w:rPr>
            </w:pPr>
          </w:p>
        </w:tc>
        <w:tc>
          <w:tcPr>
            <w:tcW w:w="1980" w:type="dxa"/>
            <w:vAlign w:val="bottom"/>
          </w:tcPr>
          <w:p>
            <w:pPr>
              <w:ind w:left="340"/>
              <w:spacing w:after="0" w:line="159" w:lineRule="exact"/>
              <w:rPr>
                <w:sz w:val="20"/>
                <w:szCs w:val="20"/>
                <w:color w:val="auto"/>
              </w:rPr>
            </w:pPr>
            <w:r>
              <w:rPr>
                <w:rFonts w:ascii="Arial" w:cs="Arial" w:eastAsia="Arial" w:hAnsi="Arial"/>
                <w:sz w:val="14"/>
                <w:szCs w:val="14"/>
                <w:color w:val="auto"/>
              </w:rPr>
              <w:t>Houses</w:t>
            </w:r>
          </w:p>
        </w:tc>
        <w:tc>
          <w:tcPr>
            <w:tcW w:w="820" w:type="dxa"/>
            <w:vAlign w:val="bottom"/>
          </w:tcPr>
          <w:p>
            <w:pPr>
              <w:ind w:left="60"/>
              <w:spacing w:after="0" w:line="159" w:lineRule="exact"/>
              <w:rPr>
                <w:sz w:val="20"/>
                <w:szCs w:val="20"/>
                <w:color w:val="auto"/>
              </w:rPr>
            </w:pPr>
            <w:r>
              <w:rPr>
                <w:rFonts w:ascii="Arial" w:cs="Arial" w:eastAsia="Arial" w:hAnsi="Arial"/>
                <w:sz w:val="14"/>
                <w:szCs w:val="14"/>
                <w:color w:val="auto"/>
              </w:rPr>
              <w:t>Loan</w:t>
            </w:r>
          </w:p>
        </w:tc>
        <w:tc>
          <w:tcPr>
            <w:tcW w:w="480" w:type="dxa"/>
            <w:vAlign w:val="bottom"/>
          </w:tcPr>
          <w:p>
            <w:pPr>
              <w:spacing w:after="0"/>
              <w:rPr>
                <w:sz w:val="13"/>
                <w:szCs w:val="13"/>
                <w:color w:val="auto"/>
              </w:rPr>
            </w:pPr>
          </w:p>
        </w:tc>
        <w:tc>
          <w:tcPr>
            <w:tcW w:w="720" w:type="dxa"/>
            <w:vAlign w:val="bottom"/>
          </w:tcPr>
          <w:p>
            <w:pPr>
              <w:jc w:val="right"/>
              <w:spacing w:after="0" w:line="159" w:lineRule="exact"/>
              <w:rPr>
                <w:sz w:val="20"/>
                <w:szCs w:val="20"/>
                <w:color w:val="auto"/>
              </w:rPr>
            </w:pPr>
            <w:r>
              <w:rPr>
                <w:rFonts w:ascii="Arial" w:cs="Arial" w:eastAsia="Arial" w:hAnsi="Arial"/>
                <w:sz w:val="14"/>
                <w:szCs w:val="14"/>
                <w:color w:val="auto"/>
              </w:rPr>
              <w:t>3.75%</w:t>
            </w:r>
          </w:p>
        </w:tc>
        <w:tc>
          <w:tcPr>
            <w:tcW w:w="700" w:type="dxa"/>
            <w:vAlign w:val="bottom"/>
          </w:tcPr>
          <w:p>
            <w:pPr>
              <w:jc w:val="right"/>
              <w:spacing w:after="0" w:line="159" w:lineRule="exact"/>
              <w:rPr>
                <w:sz w:val="20"/>
                <w:szCs w:val="20"/>
                <w:color w:val="auto"/>
              </w:rPr>
            </w:pPr>
            <w:r>
              <w:rPr>
                <w:rFonts w:ascii="Arial" w:cs="Arial" w:eastAsia="Arial" w:hAnsi="Arial"/>
                <w:sz w:val="14"/>
                <w:szCs w:val="14"/>
                <w:color w:val="auto"/>
              </w:rPr>
              <w:t>1/4/2021</w:t>
            </w:r>
          </w:p>
        </w:tc>
        <w:tc>
          <w:tcPr>
            <w:tcW w:w="12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112"/>
              <w:spacing w:after="0" w:line="159" w:lineRule="exact"/>
              <w:rPr>
                <w:sz w:val="20"/>
                <w:szCs w:val="20"/>
                <w:color w:val="auto"/>
              </w:rPr>
            </w:pPr>
            <w:r>
              <w:rPr>
                <w:rFonts w:ascii="Arial" w:cs="Arial" w:eastAsia="Arial" w:hAnsi="Arial"/>
                <w:sz w:val="14"/>
                <w:szCs w:val="14"/>
                <w:color w:val="auto"/>
                <w:w w:val="83"/>
              </w:rPr>
              <w:t>3,395,892</w:t>
            </w:r>
          </w:p>
        </w:tc>
        <w:tc>
          <w:tcPr>
            <w:tcW w:w="900" w:type="dxa"/>
            <w:vAlign w:val="bottom"/>
          </w:tcPr>
          <w:p>
            <w:pPr>
              <w:jc w:val="right"/>
              <w:ind w:right="112"/>
              <w:spacing w:after="0" w:line="159" w:lineRule="exact"/>
              <w:rPr>
                <w:sz w:val="20"/>
                <w:szCs w:val="20"/>
                <w:color w:val="auto"/>
              </w:rPr>
            </w:pPr>
            <w:r>
              <w:rPr>
                <w:rFonts w:ascii="Arial" w:cs="Arial" w:eastAsia="Arial" w:hAnsi="Arial"/>
                <w:sz w:val="14"/>
                <w:szCs w:val="14"/>
                <w:color w:val="auto"/>
              </w:rPr>
              <w:t>3,381,240</w:t>
            </w:r>
          </w:p>
        </w:tc>
        <w:tc>
          <w:tcPr>
            <w:tcW w:w="800" w:type="dxa"/>
            <w:vAlign w:val="bottom"/>
          </w:tcPr>
          <w:p>
            <w:pPr>
              <w:jc w:val="right"/>
              <w:spacing w:after="0" w:line="159" w:lineRule="exact"/>
              <w:rPr>
                <w:sz w:val="20"/>
                <w:szCs w:val="20"/>
                <w:color w:val="auto"/>
              </w:rPr>
            </w:pPr>
            <w:r>
              <w:rPr>
                <w:rFonts w:ascii="Arial" w:cs="Arial" w:eastAsia="Arial" w:hAnsi="Arial"/>
                <w:sz w:val="14"/>
                <w:szCs w:val="14"/>
                <w:color w:val="auto"/>
              </w:rPr>
              <w:t>3,353,443</w:t>
            </w:r>
          </w:p>
        </w:tc>
      </w:tr>
      <w:tr>
        <w:trPr>
          <w:trHeight w:val="138"/>
        </w:trPr>
        <w:tc>
          <w:tcPr>
            <w:tcW w:w="418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GTCR Valor Companies, Inc.</w:t>
            </w:r>
          </w:p>
        </w:tc>
        <w:tc>
          <w:tcPr>
            <w:tcW w:w="1980" w:type="dxa"/>
            <w:vAlign w:val="bottom"/>
            <w:shd w:val="clear" w:color="auto" w:fill="CCEEFF"/>
          </w:tcPr>
          <w:p>
            <w:pPr>
              <w:ind w:left="340"/>
              <w:spacing w:after="0" w:line="138" w:lineRule="exact"/>
              <w:rPr>
                <w:sz w:val="20"/>
                <w:szCs w:val="20"/>
                <w:color w:val="auto"/>
              </w:rPr>
            </w:pPr>
            <w:r>
              <w:rPr>
                <w:rFonts w:ascii="Arial" w:cs="Arial" w:eastAsia="Arial" w:hAnsi="Arial"/>
                <w:sz w:val="14"/>
                <w:szCs w:val="14"/>
                <w:color w:val="auto"/>
              </w:rPr>
              <w:t>Services: Business</w:t>
            </w:r>
          </w:p>
        </w:tc>
        <w:tc>
          <w:tcPr>
            <w:tcW w:w="820" w:type="dxa"/>
            <w:vAlign w:val="bottom"/>
            <w:shd w:val="clear" w:color="auto" w:fill="CCEEFF"/>
          </w:tcPr>
          <w:p>
            <w:pPr>
              <w:ind w:left="60"/>
              <w:spacing w:after="0" w:line="138" w:lineRule="exact"/>
              <w:rPr>
                <w:sz w:val="20"/>
                <w:szCs w:val="20"/>
                <w:color w:val="auto"/>
              </w:rPr>
            </w:pPr>
            <w:r>
              <w:rPr>
                <w:rFonts w:ascii="Arial" w:cs="Arial" w:eastAsia="Arial" w:hAnsi="Arial"/>
                <w:sz w:val="14"/>
                <w:szCs w:val="14"/>
                <w:color w:val="auto"/>
              </w:rPr>
              <w:t>Term Loan</w:t>
            </w:r>
          </w:p>
        </w:tc>
        <w:tc>
          <w:tcPr>
            <w:tcW w:w="480" w:type="dxa"/>
            <w:vAlign w:val="bottom"/>
            <w:shd w:val="clear" w:color="auto" w:fill="CCEEFF"/>
          </w:tcPr>
          <w:p>
            <w:pPr>
              <w:ind w:left="60"/>
              <w:spacing w:after="0" w:line="138" w:lineRule="exact"/>
              <w:rPr>
                <w:sz w:val="20"/>
                <w:szCs w:val="20"/>
                <w:color w:val="auto"/>
              </w:rPr>
            </w:pPr>
            <w:r>
              <w:rPr>
                <w:rFonts w:ascii="Arial" w:cs="Arial" w:eastAsia="Arial" w:hAnsi="Arial"/>
                <w:sz w:val="14"/>
                <w:szCs w:val="14"/>
                <w:color w:val="auto"/>
              </w:rPr>
              <w:t>Loan</w:t>
            </w:r>
          </w:p>
        </w:tc>
        <w:tc>
          <w:tcPr>
            <w:tcW w:w="7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r>
      <w:tr>
        <w:trPr>
          <w:trHeight w:val="159"/>
        </w:trPr>
        <w:tc>
          <w:tcPr>
            <w:tcW w:w="4180" w:type="dxa"/>
            <w:vAlign w:val="bottom"/>
            <w:shd w:val="clear" w:color="auto" w:fill="CCEEFF"/>
          </w:tcPr>
          <w:p>
            <w:pPr>
              <w:spacing w:after="0"/>
              <w:rPr>
                <w:sz w:val="13"/>
                <w:szCs w:val="13"/>
                <w:color w:val="auto"/>
              </w:rPr>
            </w:pPr>
          </w:p>
        </w:tc>
        <w:tc>
          <w:tcPr>
            <w:tcW w:w="1980" w:type="dxa"/>
            <w:vAlign w:val="bottom"/>
            <w:shd w:val="clear" w:color="auto" w:fill="CCEEFF"/>
          </w:tcPr>
          <w:p>
            <w:pPr>
              <w:spacing w:after="0"/>
              <w:rPr>
                <w:sz w:val="13"/>
                <w:szCs w:val="13"/>
                <w:color w:val="auto"/>
              </w:rPr>
            </w:pPr>
          </w:p>
        </w:tc>
        <w:tc>
          <w:tcPr>
            <w:tcW w:w="820" w:type="dxa"/>
            <w:vAlign w:val="bottom"/>
            <w:shd w:val="clear" w:color="auto" w:fill="CCEEFF"/>
          </w:tcPr>
          <w:p>
            <w:pPr>
              <w:ind w:left="60"/>
              <w:spacing w:after="0" w:line="159" w:lineRule="exact"/>
              <w:rPr>
                <w:sz w:val="20"/>
                <w:szCs w:val="20"/>
                <w:color w:val="auto"/>
              </w:rPr>
            </w:pPr>
            <w:r>
              <w:rPr>
                <w:rFonts w:ascii="Arial" w:cs="Arial" w:eastAsia="Arial" w:hAnsi="Arial"/>
                <w:sz w:val="14"/>
                <w:szCs w:val="14"/>
                <w:color w:val="auto"/>
              </w:rPr>
              <w:t>(First Lien)</w:t>
            </w:r>
          </w:p>
        </w:tc>
        <w:tc>
          <w:tcPr>
            <w:tcW w:w="48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6.00%</w:t>
            </w:r>
          </w:p>
        </w:tc>
        <w:tc>
          <w:tcPr>
            <w:tcW w:w="7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6/1/2021</w:t>
            </w:r>
          </w:p>
        </w:tc>
        <w:tc>
          <w:tcPr>
            <w:tcW w:w="1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112"/>
              <w:spacing w:after="0" w:line="159" w:lineRule="exact"/>
              <w:rPr>
                <w:sz w:val="20"/>
                <w:szCs w:val="20"/>
                <w:color w:val="auto"/>
              </w:rPr>
            </w:pPr>
            <w:r>
              <w:rPr>
                <w:rFonts w:ascii="Arial" w:cs="Arial" w:eastAsia="Arial" w:hAnsi="Arial"/>
                <w:sz w:val="14"/>
                <w:szCs w:val="14"/>
                <w:color w:val="auto"/>
                <w:w w:val="83"/>
              </w:rPr>
              <w:t>1,995,000</w:t>
            </w:r>
          </w:p>
        </w:tc>
        <w:tc>
          <w:tcPr>
            <w:tcW w:w="900" w:type="dxa"/>
            <w:vAlign w:val="bottom"/>
            <w:shd w:val="clear" w:color="auto" w:fill="CCEEFF"/>
          </w:tcPr>
          <w:p>
            <w:pPr>
              <w:jc w:val="right"/>
              <w:ind w:right="112"/>
              <w:spacing w:after="0" w:line="159" w:lineRule="exact"/>
              <w:rPr>
                <w:sz w:val="20"/>
                <w:szCs w:val="20"/>
                <w:color w:val="auto"/>
              </w:rPr>
            </w:pPr>
            <w:r>
              <w:rPr>
                <w:rFonts w:ascii="Arial" w:cs="Arial" w:eastAsia="Arial" w:hAnsi="Arial"/>
                <w:sz w:val="14"/>
                <w:szCs w:val="14"/>
                <w:color w:val="auto"/>
              </w:rPr>
              <w:t>1,981,582</w:t>
            </w:r>
          </w:p>
        </w:tc>
        <w:tc>
          <w:tcPr>
            <w:tcW w:w="8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1,965,075</w:t>
            </w:r>
          </w:p>
        </w:tc>
      </w:tr>
      <w:tr>
        <w:trPr>
          <w:trHeight w:val="138"/>
        </w:trPr>
        <w:tc>
          <w:tcPr>
            <w:tcW w:w="4180" w:type="dxa"/>
            <w:vAlign w:val="bottom"/>
          </w:tcPr>
          <w:p>
            <w:pPr>
              <w:spacing w:after="0" w:line="138" w:lineRule="exact"/>
              <w:rPr>
                <w:sz w:val="20"/>
                <w:szCs w:val="20"/>
                <w:color w:val="auto"/>
              </w:rPr>
            </w:pPr>
            <w:r>
              <w:rPr>
                <w:rFonts w:ascii="Arial" w:cs="Arial" w:eastAsia="Arial" w:hAnsi="Arial"/>
                <w:sz w:val="14"/>
                <w:szCs w:val="14"/>
                <w:color w:val="auto"/>
              </w:rPr>
              <w:t>Harland Clarke Holdings Corp. (fka Clarke American Corp.)</w:t>
            </w:r>
          </w:p>
        </w:tc>
        <w:tc>
          <w:tcPr>
            <w:tcW w:w="1980" w:type="dxa"/>
            <w:vAlign w:val="bottom"/>
          </w:tcPr>
          <w:p>
            <w:pPr>
              <w:ind w:left="340"/>
              <w:spacing w:after="0" w:line="138" w:lineRule="exact"/>
              <w:rPr>
                <w:sz w:val="20"/>
                <w:szCs w:val="20"/>
                <w:color w:val="auto"/>
              </w:rPr>
            </w:pPr>
            <w:r>
              <w:rPr>
                <w:rFonts w:ascii="Arial" w:cs="Arial" w:eastAsia="Arial" w:hAnsi="Arial"/>
                <w:sz w:val="14"/>
                <w:szCs w:val="14"/>
                <w:color w:val="auto"/>
              </w:rPr>
              <w:t>Publishing</w:t>
            </w:r>
          </w:p>
        </w:tc>
        <w:tc>
          <w:tcPr>
            <w:tcW w:w="820" w:type="dxa"/>
            <w:vAlign w:val="bottom"/>
          </w:tcPr>
          <w:p>
            <w:pPr>
              <w:ind w:left="60"/>
              <w:spacing w:after="0" w:line="138" w:lineRule="exact"/>
              <w:rPr>
                <w:sz w:val="20"/>
                <w:szCs w:val="20"/>
                <w:color w:val="auto"/>
              </w:rPr>
            </w:pPr>
            <w:r>
              <w:rPr>
                <w:rFonts w:ascii="Arial" w:cs="Arial" w:eastAsia="Arial" w:hAnsi="Arial"/>
                <w:sz w:val="14"/>
                <w:szCs w:val="14"/>
                <w:color w:val="auto"/>
                <w:w w:val="96"/>
              </w:rPr>
              <w:t>Tranche B-4</w:t>
            </w:r>
          </w:p>
        </w:tc>
        <w:tc>
          <w:tcPr>
            <w:tcW w:w="480" w:type="dxa"/>
            <w:vAlign w:val="bottom"/>
          </w:tcPr>
          <w:p>
            <w:pPr>
              <w:ind w:left="60"/>
              <w:spacing w:after="0" w:line="138" w:lineRule="exact"/>
              <w:rPr>
                <w:sz w:val="20"/>
                <w:szCs w:val="20"/>
                <w:color w:val="auto"/>
              </w:rPr>
            </w:pPr>
            <w:r>
              <w:rPr>
                <w:rFonts w:ascii="Arial" w:cs="Arial" w:eastAsia="Arial" w:hAnsi="Arial"/>
                <w:sz w:val="14"/>
                <w:szCs w:val="14"/>
                <w:color w:val="auto"/>
              </w:rPr>
              <w:t>Loan</w:t>
            </w: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59"/>
        </w:trPr>
        <w:tc>
          <w:tcPr>
            <w:tcW w:w="418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820" w:type="dxa"/>
            <w:vAlign w:val="bottom"/>
          </w:tcPr>
          <w:p>
            <w:pPr>
              <w:ind w:left="60"/>
              <w:spacing w:after="0" w:line="159" w:lineRule="exact"/>
              <w:rPr>
                <w:sz w:val="20"/>
                <w:szCs w:val="20"/>
                <w:color w:val="auto"/>
              </w:rPr>
            </w:pPr>
            <w:r>
              <w:rPr>
                <w:rFonts w:ascii="Arial" w:cs="Arial" w:eastAsia="Arial" w:hAnsi="Arial"/>
                <w:sz w:val="14"/>
                <w:szCs w:val="14"/>
                <w:color w:val="auto"/>
              </w:rPr>
              <w:t>Term Loan</w:t>
            </w:r>
          </w:p>
        </w:tc>
        <w:tc>
          <w:tcPr>
            <w:tcW w:w="480" w:type="dxa"/>
            <w:vAlign w:val="bottom"/>
          </w:tcPr>
          <w:p>
            <w:pPr>
              <w:spacing w:after="0"/>
              <w:rPr>
                <w:sz w:val="13"/>
                <w:szCs w:val="13"/>
                <w:color w:val="auto"/>
              </w:rPr>
            </w:pPr>
          </w:p>
        </w:tc>
        <w:tc>
          <w:tcPr>
            <w:tcW w:w="720" w:type="dxa"/>
            <w:vAlign w:val="bottom"/>
          </w:tcPr>
          <w:p>
            <w:pPr>
              <w:jc w:val="right"/>
              <w:spacing w:after="0" w:line="159" w:lineRule="exact"/>
              <w:rPr>
                <w:sz w:val="20"/>
                <w:szCs w:val="20"/>
                <w:color w:val="auto"/>
              </w:rPr>
            </w:pPr>
            <w:r>
              <w:rPr>
                <w:rFonts w:ascii="Arial" w:cs="Arial" w:eastAsia="Arial" w:hAnsi="Arial"/>
                <w:sz w:val="14"/>
                <w:szCs w:val="14"/>
                <w:color w:val="auto"/>
              </w:rPr>
              <w:t>6.00%</w:t>
            </w:r>
          </w:p>
        </w:tc>
        <w:tc>
          <w:tcPr>
            <w:tcW w:w="700" w:type="dxa"/>
            <w:vAlign w:val="bottom"/>
          </w:tcPr>
          <w:p>
            <w:pPr>
              <w:jc w:val="right"/>
              <w:spacing w:after="0" w:line="159" w:lineRule="exact"/>
              <w:rPr>
                <w:sz w:val="20"/>
                <w:szCs w:val="20"/>
                <w:color w:val="auto"/>
              </w:rPr>
            </w:pPr>
            <w:r>
              <w:rPr>
                <w:rFonts w:ascii="Arial" w:cs="Arial" w:eastAsia="Arial" w:hAnsi="Arial"/>
                <w:sz w:val="14"/>
                <w:szCs w:val="14"/>
                <w:color w:val="auto"/>
              </w:rPr>
              <w:t>8/2/2019</w:t>
            </w:r>
          </w:p>
        </w:tc>
        <w:tc>
          <w:tcPr>
            <w:tcW w:w="12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112"/>
              <w:spacing w:after="0" w:line="159" w:lineRule="exact"/>
              <w:rPr>
                <w:sz w:val="20"/>
                <w:szCs w:val="20"/>
                <w:color w:val="auto"/>
              </w:rPr>
            </w:pPr>
            <w:r>
              <w:rPr>
                <w:rFonts w:ascii="Arial" w:cs="Arial" w:eastAsia="Arial" w:hAnsi="Arial"/>
                <w:sz w:val="14"/>
                <w:szCs w:val="14"/>
                <w:color w:val="auto"/>
              </w:rPr>
              <w:t>487,500</w:t>
            </w:r>
          </w:p>
        </w:tc>
        <w:tc>
          <w:tcPr>
            <w:tcW w:w="900" w:type="dxa"/>
            <w:vAlign w:val="bottom"/>
          </w:tcPr>
          <w:p>
            <w:pPr>
              <w:jc w:val="right"/>
              <w:ind w:right="112"/>
              <w:spacing w:after="0" w:line="159" w:lineRule="exact"/>
              <w:rPr>
                <w:sz w:val="20"/>
                <w:szCs w:val="20"/>
                <w:color w:val="auto"/>
              </w:rPr>
            </w:pPr>
            <w:r>
              <w:rPr>
                <w:rFonts w:ascii="Arial" w:cs="Arial" w:eastAsia="Arial" w:hAnsi="Arial"/>
                <w:sz w:val="14"/>
                <w:szCs w:val="14"/>
                <w:color w:val="auto"/>
              </w:rPr>
              <w:t>485,460</w:t>
            </w:r>
          </w:p>
        </w:tc>
        <w:tc>
          <w:tcPr>
            <w:tcW w:w="800" w:type="dxa"/>
            <w:vAlign w:val="bottom"/>
          </w:tcPr>
          <w:p>
            <w:pPr>
              <w:jc w:val="right"/>
              <w:spacing w:after="0" w:line="159" w:lineRule="exact"/>
              <w:rPr>
                <w:sz w:val="20"/>
                <w:szCs w:val="20"/>
                <w:color w:val="auto"/>
              </w:rPr>
            </w:pPr>
            <w:r>
              <w:rPr>
                <w:rFonts w:ascii="Arial" w:cs="Arial" w:eastAsia="Arial" w:hAnsi="Arial"/>
                <w:sz w:val="14"/>
                <w:szCs w:val="14"/>
                <w:color w:val="auto"/>
              </w:rPr>
              <w:t>488,963</w:t>
            </w:r>
          </w:p>
        </w:tc>
      </w:tr>
      <w:tr>
        <w:trPr>
          <w:trHeight w:val="138"/>
        </w:trPr>
        <w:tc>
          <w:tcPr>
            <w:tcW w:w="418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HCA Inc.</w:t>
            </w:r>
          </w:p>
        </w:tc>
        <w:tc>
          <w:tcPr>
            <w:tcW w:w="1980" w:type="dxa"/>
            <w:vAlign w:val="bottom"/>
            <w:shd w:val="clear" w:color="auto" w:fill="CCEEFF"/>
          </w:tcPr>
          <w:p>
            <w:pPr>
              <w:ind w:left="340"/>
              <w:spacing w:after="0" w:line="138" w:lineRule="exact"/>
              <w:rPr>
                <w:sz w:val="20"/>
                <w:szCs w:val="20"/>
                <w:color w:val="auto"/>
              </w:rPr>
            </w:pPr>
            <w:r>
              <w:rPr>
                <w:rFonts w:ascii="Arial" w:cs="Arial" w:eastAsia="Arial" w:hAnsi="Arial"/>
                <w:sz w:val="14"/>
                <w:szCs w:val="14"/>
                <w:color w:val="auto"/>
              </w:rPr>
              <w:t>Healthcare &amp;</w:t>
            </w:r>
          </w:p>
        </w:tc>
        <w:tc>
          <w:tcPr>
            <w:tcW w:w="820" w:type="dxa"/>
            <w:vAlign w:val="bottom"/>
            <w:shd w:val="clear" w:color="auto" w:fill="CCEEFF"/>
          </w:tcPr>
          <w:p>
            <w:pPr>
              <w:ind w:left="60"/>
              <w:spacing w:after="0" w:line="138" w:lineRule="exact"/>
              <w:rPr>
                <w:sz w:val="20"/>
                <w:szCs w:val="20"/>
                <w:color w:val="auto"/>
              </w:rPr>
            </w:pPr>
            <w:r>
              <w:rPr>
                <w:rFonts w:ascii="Arial" w:cs="Arial" w:eastAsia="Arial" w:hAnsi="Arial"/>
                <w:sz w:val="14"/>
                <w:szCs w:val="14"/>
                <w:color w:val="auto"/>
                <w:w w:val="96"/>
              </w:rPr>
              <w:t>Tranche B-4</w:t>
            </w:r>
          </w:p>
        </w:tc>
        <w:tc>
          <w:tcPr>
            <w:tcW w:w="480" w:type="dxa"/>
            <w:vAlign w:val="bottom"/>
            <w:shd w:val="clear" w:color="auto" w:fill="CCEEFF"/>
          </w:tcPr>
          <w:p>
            <w:pPr>
              <w:ind w:left="60"/>
              <w:spacing w:after="0" w:line="138" w:lineRule="exact"/>
              <w:rPr>
                <w:sz w:val="20"/>
                <w:szCs w:val="20"/>
                <w:color w:val="auto"/>
              </w:rPr>
            </w:pPr>
            <w:r>
              <w:rPr>
                <w:rFonts w:ascii="Arial" w:cs="Arial" w:eastAsia="Arial" w:hAnsi="Arial"/>
                <w:sz w:val="14"/>
                <w:szCs w:val="14"/>
                <w:color w:val="auto"/>
              </w:rPr>
              <w:t>Loan</w:t>
            </w:r>
          </w:p>
        </w:tc>
        <w:tc>
          <w:tcPr>
            <w:tcW w:w="7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r>
      <w:tr>
        <w:trPr>
          <w:trHeight w:val="159"/>
        </w:trPr>
        <w:tc>
          <w:tcPr>
            <w:tcW w:w="4180" w:type="dxa"/>
            <w:vAlign w:val="bottom"/>
            <w:shd w:val="clear" w:color="auto" w:fill="CCEEFF"/>
          </w:tcPr>
          <w:p>
            <w:pPr>
              <w:spacing w:after="0"/>
              <w:rPr>
                <w:sz w:val="13"/>
                <w:szCs w:val="13"/>
                <w:color w:val="auto"/>
              </w:rPr>
            </w:pPr>
          </w:p>
        </w:tc>
        <w:tc>
          <w:tcPr>
            <w:tcW w:w="1980" w:type="dxa"/>
            <w:vAlign w:val="bottom"/>
            <w:shd w:val="clear" w:color="auto" w:fill="CCEEFF"/>
          </w:tcPr>
          <w:p>
            <w:pPr>
              <w:ind w:left="340"/>
              <w:spacing w:after="0" w:line="159" w:lineRule="exact"/>
              <w:rPr>
                <w:sz w:val="20"/>
                <w:szCs w:val="20"/>
                <w:color w:val="auto"/>
              </w:rPr>
            </w:pPr>
            <w:r>
              <w:rPr>
                <w:rFonts w:ascii="Arial" w:cs="Arial" w:eastAsia="Arial" w:hAnsi="Arial"/>
                <w:sz w:val="14"/>
                <w:szCs w:val="14"/>
                <w:color w:val="auto"/>
              </w:rPr>
              <w:t>Pharmaceuticals</w:t>
            </w:r>
          </w:p>
        </w:tc>
        <w:tc>
          <w:tcPr>
            <w:tcW w:w="820" w:type="dxa"/>
            <w:vAlign w:val="bottom"/>
            <w:shd w:val="clear" w:color="auto" w:fill="CCEEFF"/>
          </w:tcPr>
          <w:p>
            <w:pPr>
              <w:ind w:left="60"/>
              <w:spacing w:after="0" w:line="159" w:lineRule="exact"/>
              <w:rPr>
                <w:sz w:val="20"/>
                <w:szCs w:val="20"/>
                <w:color w:val="auto"/>
              </w:rPr>
            </w:pPr>
            <w:r>
              <w:rPr>
                <w:rFonts w:ascii="Arial" w:cs="Arial" w:eastAsia="Arial" w:hAnsi="Arial"/>
                <w:sz w:val="14"/>
                <w:szCs w:val="14"/>
                <w:color w:val="auto"/>
              </w:rPr>
              <w:t>Term Loan</w:t>
            </w:r>
          </w:p>
        </w:tc>
        <w:tc>
          <w:tcPr>
            <w:tcW w:w="48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2.99%</w:t>
            </w:r>
          </w:p>
        </w:tc>
        <w:tc>
          <w:tcPr>
            <w:tcW w:w="7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5/1/2018</w:t>
            </w:r>
          </w:p>
        </w:tc>
        <w:tc>
          <w:tcPr>
            <w:tcW w:w="1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112"/>
              <w:spacing w:after="0" w:line="159" w:lineRule="exact"/>
              <w:rPr>
                <w:sz w:val="20"/>
                <w:szCs w:val="20"/>
                <w:color w:val="auto"/>
              </w:rPr>
            </w:pPr>
            <w:r>
              <w:rPr>
                <w:rFonts w:ascii="Arial" w:cs="Arial" w:eastAsia="Arial" w:hAnsi="Arial"/>
                <w:sz w:val="14"/>
                <w:szCs w:val="14"/>
                <w:color w:val="auto"/>
                <w:w w:val="83"/>
              </w:rPr>
              <w:t>5,663,006</w:t>
            </w:r>
          </w:p>
        </w:tc>
        <w:tc>
          <w:tcPr>
            <w:tcW w:w="900" w:type="dxa"/>
            <w:vAlign w:val="bottom"/>
            <w:shd w:val="clear" w:color="auto" w:fill="CCEEFF"/>
          </w:tcPr>
          <w:p>
            <w:pPr>
              <w:jc w:val="right"/>
              <w:ind w:right="112"/>
              <w:spacing w:after="0" w:line="159" w:lineRule="exact"/>
              <w:rPr>
                <w:sz w:val="20"/>
                <w:szCs w:val="20"/>
                <w:color w:val="auto"/>
              </w:rPr>
            </w:pPr>
            <w:r>
              <w:rPr>
                <w:rFonts w:ascii="Arial" w:cs="Arial" w:eastAsia="Arial" w:hAnsi="Arial"/>
                <w:sz w:val="14"/>
                <w:szCs w:val="14"/>
                <w:color w:val="auto"/>
              </w:rPr>
              <w:t>5,409,534</w:t>
            </w:r>
          </w:p>
        </w:tc>
        <w:tc>
          <w:tcPr>
            <w:tcW w:w="8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5,658,872</w:t>
            </w:r>
          </w:p>
        </w:tc>
      </w:tr>
      <w:tr>
        <w:trPr>
          <w:trHeight w:val="138"/>
        </w:trPr>
        <w:tc>
          <w:tcPr>
            <w:tcW w:w="4180" w:type="dxa"/>
            <w:vAlign w:val="bottom"/>
          </w:tcPr>
          <w:p>
            <w:pPr>
              <w:spacing w:after="0" w:line="138" w:lineRule="exact"/>
              <w:rPr>
                <w:sz w:val="20"/>
                <w:szCs w:val="20"/>
                <w:color w:val="auto"/>
              </w:rPr>
            </w:pPr>
            <w:r>
              <w:rPr>
                <w:rFonts w:ascii="Arial" w:cs="Arial" w:eastAsia="Arial" w:hAnsi="Arial"/>
                <w:sz w:val="14"/>
                <w:szCs w:val="14"/>
                <w:color w:val="auto"/>
              </w:rPr>
              <w:t>Hertz Corporation, The</w:t>
            </w:r>
          </w:p>
        </w:tc>
        <w:tc>
          <w:tcPr>
            <w:tcW w:w="1980" w:type="dxa"/>
            <w:vAlign w:val="bottom"/>
          </w:tcPr>
          <w:p>
            <w:pPr>
              <w:ind w:left="340"/>
              <w:spacing w:after="0" w:line="138" w:lineRule="exact"/>
              <w:rPr>
                <w:sz w:val="20"/>
                <w:szCs w:val="20"/>
                <w:color w:val="auto"/>
              </w:rPr>
            </w:pPr>
            <w:r>
              <w:rPr>
                <w:rFonts w:ascii="Arial" w:cs="Arial" w:eastAsia="Arial" w:hAnsi="Arial"/>
                <w:sz w:val="14"/>
                <w:szCs w:val="14"/>
                <w:color w:val="auto"/>
              </w:rPr>
              <w:t>Automotive</w:t>
            </w:r>
          </w:p>
        </w:tc>
        <w:tc>
          <w:tcPr>
            <w:tcW w:w="820" w:type="dxa"/>
            <w:vAlign w:val="bottom"/>
          </w:tcPr>
          <w:p>
            <w:pPr>
              <w:ind w:left="60"/>
              <w:spacing w:after="0" w:line="138" w:lineRule="exact"/>
              <w:rPr>
                <w:sz w:val="20"/>
                <w:szCs w:val="20"/>
                <w:color w:val="auto"/>
              </w:rPr>
            </w:pPr>
            <w:r>
              <w:rPr>
                <w:rFonts w:ascii="Arial" w:cs="Arial" w:eastAsia="Arial" w:hAnsi="Arial"/>
                <w:sz w:val="14"/>
                <w:szCs w:val="14"/>
                <w:color w:val="auto"/>
                <w:w w:val="96"/>
              </w:rPr>
              <w:t>Tranche B-1</w:t>
            </w:r>
          </w:p>
        </w:tc>
        <w:tc>
          <w:tcPr>
            <w:tcW w:w="480" w:type="dxa"/>
            <w:vAlign w:val="bottom"/>
          </w:tcPr>
          <w:p>
            <w:pPr>
              <w:ind w:left="60"/>
              <w:spacing w:after="0" w:line="138" w:lineRule="exact"/>
              <w:rPr>
                <w:sz w:val="20"/>
                <w:szCs w:val="20"/>
                <w:color w:val="auto"/>
              </w:rPr>
            </w:pPr>
            <w:r>
              <w:rPr>
                <w:rFonts w:ascii="Arial" w:cs="Arial" w:eastAsia="Arial" w:hAnsi="Arial"/>
                <w:sz w:val="14"/>
                <w:szCs w:val="14"/>
                <w:color w:val="auto"/>
              </w:rPr>
              <w:t>Loan</w:t>
            </w: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59"/>
        </w:trPr>
        <w:tc>
          <w:tcPr>
            <w:tcW w:w="418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820" w:type="dxa"/>
            <w:vAlign w:val="bottom"/>
          </w:tcPr>
          <w:p>
            <w:pPr>
              <w:ind w:left="60"/>
              <w:spacing w:after="0" w:line="159" w:lineRule="exact"/>
              <w:rPr>
                <w:sz w:val="20"/>
                <w:szCs w:val="20"/>
                <w:color w:val="auto"/>
              </w:rPr>
            </w:pPr>
            <w:r>
              <w:rPr>
                <w:rFonts w:ascii="Arial" w:cs="Arial" w:eastAsia="Arial" w:hAnsi="Arial"/>
                <w:sz w:val="14"/>
                <w:szCs w:val="14"/>
                <w:color w:val="auto"/>
              </w:rPr>
              <w:t>Term Loan</w:t>
            </w:r>
          </w:p>
        </w:tc>
        <w:tc>
          <w:tcPr>
            <w:tcW w:w="480" w:type="dxa"/>
            <w:vAlign w:val="bottom"/>
          </w:tcPr>
          <w:p>
            <w:pPr>
              <w:spacing w:after="0"/>
              <w:rPr>
                <w:sz w:val="13"/>
                <w:szCs w:val="13"/>
                <w:color w:val="auto"/>
              </w:rPr>
            </w:pPr>
          </w:p>
        </w:tc>
        <w:tc>
          <w:tcPr>
            <w:tcW w:w="720" w:type="dxa"/>
            <w:vAlign w:val="bottom"/>
          </w:tcPr>
          <w:p>
            <w:pPr>
              <w:jc w:val="right"/>
              <w:spacing w:after="0" w:line="159" w:lineRule="exact"/>
              <w:rPr>
                <w:sz w:val="20"/>
                <w:szCs w:val="20"/>
                <w:color w:val="auto"/>
              </w:rPr>
            </w:pPr>
            <w:r>
              <w:rPr>
                <w:rFonts w:ascii="Arial" w:cs="Arial" w:eastAsia="Arial" w:hAnsi="Arial"/>
                <w:sz w:val="14"/>
                <w:szCs w:val="14"/>
                <w:color w:val="auto"/>
              </w:rPr>
              <w:t>4.00%</w:t>
            </w:r>
          </w:p>
        </w:tc>
        <w:tc>
          <w:tcPr>
            <w:tcW w:w="700" w:type="dxa"/>
            <w:vAlign w:val="bottom"/>
          </w:tcPr>
          <w:p>
            <w:pPr>
              <w:jc w:val="right"/>
              <w:spacing w:after="0" w:line="159" w:lineRule="exact"/>
              <w:rPr>
                <w:sz w:val="20"/>
                <w:szCs w:val="20"/>
                <w:color w:val="auto"/>
              </w:rPr>
            </w:pPr>
            <w:r>
              <w:rPr>
                <w:rFonts w:ascii="Arial" w:cs="Arial" w:eastAsia="Arial" w:hAnsi="Arial"/>
                <w:sz w:val="14"/>
                <w:szCs w:val="14"/>
                <w:color w:val="auto"/>
              </w:rPr>
              <w:t>3/12/2018</w:t>
            </w:r>
          </w:p>
        </w:tc>
        <w:tc>
          <w:tcPr>
            <w:tcW w:w="12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112"/>
              <w:spacing w:after="0" w:line="159" w:lineRule="exact"/>
              <w:rPr>
                <w:sz w:val="20"/>
                <w:szCs w:val="20"/>
                <w:color w:val="auto"/>
              </w:rPr>
            </w:pPr>
            <w:r>
              <w:rPr>
                <w:rFonts w:ascii="Arial" w:cs="Arial" w:eastAsia="Arial" w:hAnsi="Arial"/>
                <w:sz w:val="14"/>
                <w:szCs w:val="14"/>
                <w:color w:val="auto"/>
                <w:w w:val="83"/>
              </w:rPr>
              <w:t>2,940,000</w:t>
            </w:r>
          </w:p>
        </w:tc>
        <w:tc>
          <w:tcPr>
            <w:tcW w:w="900" w:type="dxa"/>
            <w:vAlign w:val="bottom"/>
          </w:tcPr>
          <w:p>
            <w:pPr>
              <w:jc w:val="right"/>
              <w:ind w:right="112"/>
              <w:spacing w:after="0" w:line="159" w:lineRule="exact"/>
              <w:rPr>
                <w:sz w:val="20"/>
                <w:szCs w:val="20"/>
                <w:color w:val="auto"/>
              </w:rPr>
            </w:pPr>
            <w:r>
              <w:rPr>
                <w:rFonts w:ascii="Arial" w:cs="Arial" w:eastAsia="Arial" w:hAnsi="Arial"/>
                <w:sz w:val="14"/>
                <w:szCs w:val="14"/>
                <w:color w:val="auto"/>
              </w:rPr>
              <w:t>2,975,234</w:t>
            </w:r>
          </w:p>
        </w:tc>
        <w:tc>
          <w:tcPr>
            <w:tcW w:w="800" w:type="dxa"/>
            <w:vAlign w:val="bottom"/>
          </w:tcPr>
          <w:p>
            <w:pPr>
              <w:jc w:val="right"/>
              <w:spacing w:after="0" w:line="159" w:lineRule="exact"/>
              <w:rPr>
                <w:sz w:val="20"/>
                <w:szCs w:val="20"/>
                <w:color w:val="auto"/>
              </w:rPr>
            </w:pPr>
            <w:r>
              <w:rPr>
                <w:rFonts w:ascii="Arial" w:cs="Arial" w:eastAsia="Arial" w:hAnsi="Arial"/>
                <w:sz w:val="14"/>
                <w:szCs w:val="14"/>
                <w:color w:val="auto"/>
              </w:rPr>
              <w:t>2,927,152</w:t>
            </w:r>
          </w:p>
        </w:tc>
      </w:tr>
      <w:tr>
        <w:trPr>
          <w:trHeight w:val="149"/>
        </w:trPr>
        <w:tc>
          <w:tcPr>
            <w:tcW w:w="4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Hoffmaster Group, Inc.</w:t>
            </w:r>
          </w:p>
        </w:tc>
        <w:tc>
          <w:tcPr>
            <w:tcW w:w="198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color w:val="auto"/>
                <w:w w:val="97"/>
              </w:rPr>
              <w:t>Containers/Glass Products</w:t>
            </w:r>
          </w:p>
        </w:tc>
        <w:tc>
          <w:tcPr>
            <w:tcW w:w="82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Term Loan</w:t>
            </w:r>
          </w:p>
        </w:tc>
        <w:tc>
          <w:tcPr>
            <w:tcW w:w="48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Loan</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5.25%</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5/8/2020</w:t>
            </w: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w w:val="83"/>
              </w:rPr>
              <w:t>1,990,000</w:t>
            </w:r>
          </w:p>
        </w:tc>
        <w:tc>
          <w:tcPr>
            <w:tcW w:w="90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1,972,040</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1,999,950</w:t>
            </w:r>
          </w:p>
        </w:tc>
      </w:tr>
      <w:tr>
        <w:trPr>
          <w:trHeight w:val="138"/>
        </w:trPr>
        <w:tc>
          <w:tcPr>
            <w:tcW w:w="4180" w:type="dxa"/>
            <w:vAlign w:val="bottom"/>
          </w:tcPr>
          <w:p>
            <w:pPr>
              <w:spacing w:after="0" w:line="138" w:lineRule="exact"/>
              <w:rPr>
                <w:sz w:val="20"/>
                <w:szCs w:val="20"/>
                <w:color w:val="auto"/>
              </w:rPr>
            </w:pPr>
            <w:r>
              <w:rPr>
                <w:rFonts w:ascii="Arial" w:cs="Arial" w:eastAsia="Arial" w:hAnsi="Arial"/>
                <w:sz w:val="14"/>
                <w:szCs w:val="14"/>
                <w:color w:val="auto"/>
              </w:rPr>
              <w:t>Huntsman International LLC</w:t>
            </w:r>
          </w:p>
        </w:tc>
        <w:tc>
          <w:tcPr>
            <w:tcW w:w="1980" w:type="dxa"/>
            <w:vAlign w:val="bottom"/>
          </w:tcPr>
          <w:p>
            <w:pPr>
              <w:ind w:left="340"/>
              <w:spacing w:after="0" w:line="138" w:lineRule="exact"/>
              <w:rPr>
                <w:sz w:val="20"/>
                <w:szCs w:val="20"/>
                <w:color w:val="auto"/>
              </w:rPr>
            </w:pPr>
            <w:r>
              <w:rPr>
                <w:rFonts w:ascii="Arial" w:cs="Arial" w:eastAsia="Arial" w:hAnsi="Arial"/>
                <w:sz w:val="14"/>
                <w:szCs w:val="14"/>
                <w:color w:val="auto"/>
              </w:rPr>
              <w:t>Chemicals/Plastics</w:t>
            </w:r>
          </w:p>
        </w:tc>
        <w:tc>
          <w:tcPr>
            <w:tcW w:w="820" w:type="dxa"/>
            <w:vAlign w:val="bottom"/>
          </w:tcPr>
          <w:p>
            <w:pPr>
              <w:ind w:left="60"/>
              <w:spacing w:after="0" w:line="138" w:lineRule="exact"/>
              <w:rPr>
                <w:sz w:val="20"/>
                <w:szCs w:val="20"/>
                <w:color w:val="auto"/>
              </w:rPr>
            </w:pPr>
            <w:r>
              <w:rPr>
                <w:rFonts w:ascii="Arial" w:cs="Arial" w:eastAsia="Arial" w:hAnsi="Arial"/>
                <w:sz w:val="14"/>
                <w:szCs w:val="14"/>
                <w:color w:val="auto"/>
              </w:rPr>
              <w:t>Extended</w:t>
            </w:r>
          </w:p>
        </w:tc>
        <w:tc>
          <w:tcPr>
            <w:tcW w:w="480" w:type="dxa"/>
            <w:vAlign w:val="bottom"/>
          </w:tcPr>
          <w:p>
            <w:pPr>
              <w:ind w:left="60"/>
              <w:spacing w:after="0" w:line="138" w:lineRule="exact"/>
              <w:rPr>
                <w:sz w:val="20"/>
                <w:szCs w:val="20"/>
                <w:color w:val="auto"/>
              </w:rPr>
            </w:pPr>
            <w:r>
              <w:rPr>
                <w:rFonts w:ascii="Arial" w:cs="Arial" w:eastAsia="Arial" w:hAnsi="Arial"/>
                <w:sz w:val="14"/>
                <w:szCs w:val="14"/>
                <w:color w:val="auto"/>
              </w:rPr>
              <w:t>Loan</w:t>
            </w: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49"/>
        </w:trPr>
        <w:tc>
          <w:tcPr>
            <w:tcW w:w="418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820" w:type="dxa"/>
            <w:vAlign w:val="bottom"/>
          </w:tcPr>
          <w:p>
            <w:pPr>
              <w:ind w:left="60"/>
              <w:spacing w:after="0" w:line="149" w:lineRule="exact"/>
              <w:rPr>
                <w:sz w:val="20"/>
                <w:szCs w:val="20"/>
                <w:color w:val="auto"/>
              </w:rPr>
            </w:pPr>
            <w:r>
              <w:rPr>
                <w:rFonts w:ascii="Arial" w:cs="Arial" w:eastAsia="Arial" w:hAnsi="Arial"/>
                <w:sz w:val="14"/>
                <w:szCs w:val="14"/>
                <w:color w:val="auto"/>
              </w:rPr>
              <w:t>Term B</w:t>
            </w:r>
          </w:p>
        </w:tc>
        <w:tc>
          <w:tcPr>
            <w:tcW w:w="4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59"/>
        </w:trPr>
        <w:tc>
          <w:tcPr>
            <w:tcW w:w="418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820" w:type="dxa"/>
            <w:vAlign w:val="bottom"/>
          </w:tcPr>
          <w:p>
            <w:pPr>
              <w:ind w:left="60"/>
              <w:spacing w:after="0" w:line="159" w:lineRule="exact"/>
              <w:rPr>
                <w:sz w:val="20"/>
                <w:szCs w:val="20"/>
                <w:color w:val="auto"/>
              </w:rPr>
            </w:pPr>
            <w:r>
              <w:rPr>
                <w:rFonts w:ascii="Arial" w:cs="Arial" w:eastAsia="Arial" w:hAnsi="Arial"/>
                <w:sz w:val="14"/>
                <w:szCs w:val="14"/>
                <w:color w:val="auto"/>
              </w:rPr>
              <w:t>Loan</w:t>
            </w:r>
          </w:p>
        </w:tc>
        <w:tc>
          <w:tcPr>
            <w:tcW w:w="480" w:type="dxa"/>
            <w:vAlign w:val="bottom"/>
          </w:tcPr>
          <w:p>
            <w:pPr>
              <w:spacing w:after="0"/>
              <w:rPr>
                <w:sz w:val="13"/>
                <w:szCs w:val="13"/>
                <w:color w:val="auto"/>
              </w:rPr>
            </w:pPr>
          </w:p>
        </w:tc>
        <w:tc>
          <w:tcPr>
            <w:tcW w:w="720" w:type="dxa"/>
            <w:vAlign w:val="bottom"/>
          </w:tcPr>
          <w:p>
            <w:pPr>
              <w:jc w:val="right"/>
              <w:spacing w:after="0" w:line="159" w:lineRule="exact"/>
              <w:rPr>
                <w:sz w:val="20"/>
                <w:szCs w:val="20"/>
                <w:color w:val="auto"/>
              </w:rPr>
            </w:pPr>
            <w:r>
              <w:rPr>
                <w:rFonts w:ascii="Arial" w:cs="Arial" w:eastAsia="Arial" w:hAnsi="Arial"/>
                <w:sz w:val="14"/>
                <w:szCs w:val="14"/>
                <w:color w:val="auto"/>
              </w:rPr>
              <w:t>2.69%</w:t>
            </w:r>
          </w:p>
        </w:tc>
        <w:tc>
          <w:tcPr>
            <w:tcW w:w="700" w:type="dxa"/>
            <w:vAlign w:val="bottom"/>
          </w:tcPr>
          <w:p>
            <w:pPr>
              <w:jc w:val="right"/>
              <w:spacing w:after="0" w:line="159" w:lineRule="exact"/>
              <w:rPr>
                <w:sz w:val="20"/>
                <w:szCs w:val="20"/>
                <w:color w:val="auto"/>
              </w:rPr>
            </w:pPr>
            <w:r>
              <w:rPr>
                <w:rFonts w:ascii="Arial" w:cs="Arial" w:eastAsia="Arial" w:hAnsi="Arial"/>
                <w:sz w:val="14"/>
                <w:szCs w:val="14"/>
                <w:color w:val="auto"/>
              </w:rPr>
              <w:t>4/19/2017</w:t>
            </w:r>
          </w:p>
        </w:tc>
        <w:tc>
          <w:tcPr>
            <w:tcW w:w="12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112"/>
              <w:spacing w:after="0" w:line="159" w:lineRule="exact"/>
              <w:rPr>
                <w:sz w:val="20"/>
                <w:szCs w:val="20"/>
                <w:color w:val="auto"/>
              </w:rPr>
            </w:pPr>
            <w:r>
              <w:rPr>
                <w:rFonts w:ascii="Arial" w:cs="Arial" w:eastAsia="Arial" w:hAnsi="Arial"/>
                <w:sz w:val="14"/>
                <w:szCs w:val="14"/>
                <w:color w:val="auto"/>
                <w:w w:val="83"/>
              </w:rPr>
              <w:t>3,880,270</w:t>
            </w:r>
          </w:p>
        </w:tc>
        <w:tc>
          <w:tcPr>
            <w:tcW w:w="900" w:type="dxa"/>
            <w:vAlign w:val="bottom"/>
          </w:tcPr>
          <w:p>
            <w:pPr>
              <w:jc w:val="right"/>
              <w:ind w:right="112"/>
              <w:spacing w:after="0" w:line="159" w:lineRule="exact"/>
              <w:rPr>
                <w:sz w:val="20"/>
                <w:szCs w:val="20"/>
                <w:color w:val="auto"/>
              </w:rPr>
            </w:pPr>
            <w:r>
              <w:rPr>
                <w:rFonts w:ascii="Arial" w:cs="Arial" w:eastAsia="Arial" w:hAnsi="Arial"/>
                <w:sz w:val="14"/>
                <w:szCs w:val="14"/>
                <w:color w:val="auto"/>
              </w:rPr>
              <w:t>3,866,113</w:t>
            </w:r>
          </w:p>
        </w:tc>
        <w:tc>
          <w:tcPr>
            <w:tcW w:w="800" w:type="dxa"/>
            <w:vAlign w:val="bottom"/>
          </w:tcPr>
          <w:p>
            <w:pPr>
              <w:jc w:val="right"/>
              <w:spacing w:after="0" w:line="159" w:lineRule="exact"/>
              <w:rPr>
                <w:sz w:val="20"/>
                <w:szCs w:val="20"/>
                <w:color w:val="auto"/>
              </w:rPr>
            </w:pPr>
            <w:r>
              <w:rPr>
                <w:rFonts w:ascii="Arial" w:cs="Arial" w:eastAsia="Arial" w:hAnsi="Arial"/>
                <w:sz w:val="14"/>
                <w:szCs w:val="14"/>
                <w:color w:val="auto"/>
              </w:rPr>
              <w:t>3,872,199</w:t>
            </w:r>
          </w:p>
        </w:tc>
      </w:tr>
      <w:tr>
        <w:trPr>
          <w:trHeight w:val="172"/>
        </w:trPr>
        <w:tc>
          <w:tcPr>
            <w:tcW w:w="4180" w:type="dxa"/>
            <w:vAlign w:val="bottom"/>
            <w:shd w:val="clear" w:color="auto" w:fill="CCEEFF"/>
          </w:tcPr>
          <w:p>
            <w:pPr>
              <w:spacing w:after="0"/>
              <w:rPr>
                <w:sz w:val="20"/>
                <w:szCs w:val="20"/>
                <w:color w:val="auto"/>
              </w:rPr>
            </w:pPr>
            <w:r>
              <w:rPr>
                <w:rFonts w:ascii="Arial" w:cs="Arial" w:eastAsia="Arial" w:hAnsi="Arial"/>
                <w:sz w:val="14"/>
                <w:szCs w:val="14"/>
                <w:color w:val="auto"/>
              </w:rPr>
              <w:t>Husky Injection</w:t>
            </w:r>
          </w:p>
        </w:tc>
        <w:tc>
          <w:tcPr>
            <w:tcW w:w="1980" w:type="dxa"/>
            <w:vAlign w:val="bottom"/>
            <w:shd w:val="clear" w:color="auto" w:fill="CCEEFF"/>
          </w:tcPr>
          <w:p>
            <w:pPr>
              <w:ind w:left="340"/>
              <w:spacing w:after="0"/>
              <w:rPr>
                <w:sz w:val="20"/>
                <w:szCs w:val="20"/>
                <w:color w:val="auto"/>
              </w:rPr>
            </w:pPr>
            <w:r>
              <w:rPr>
                <w:rFonts w:ascii="Arial" w:cs="Arial" w:eastAsia="Arial" w:hAnsi="Arial"/>
                <w:sz w:val="14"/>
                <w:szCs w:val="14"/>
                <w:color w:val="auto"/>
              </w:rPr>
              <w:t>Services: Business</w:t>
            </w:r>
          </w:p>
        </w:tc>
        <w:tc>
          <w:tcPr>
            <w:tcW w:w="820" w:type="dxa"/>
            <w:vAlign w:val="bottom"/>
            <w:shd w:val="clear" w:color="auto" w:fill="CCEEFF"/>
          </w:tcPr>
          <w:p>
            <w:pPr>
              <w:ind w:left="60"/>
              <w:spacing w:after="0"/>
              <w:rPr>
                <w:sz w:val="20"/>
                <w:szCs w:val="20"/>
                <w:color w:val="auto"/>
              </w:rPr>
            </w:pPr>
            <w:r>
              <w:rPr>
                <w:rFonts w:ascii="Arial" w:cs="Arial" w:eastAsia="Arial" w:hAnsi="Arial"/>
                <w:sz w:val="14"/>
                <w:szCs w:val="14"/>
                <w:color w:val="auto"/>
              </w:rPr>
              <w:t>Term Loan</w:t>
            </w:r>
          </w:p>
        </w:tc>
        <w:tc>
          <w:tcPr>
            <w:tcW w:w="480" w:type="dxa"/>
            <w:vAlign w:val="bottom"/>
            <w:shd w:val="clear" w:color="auto" w:fill="CCEEFF"/>
          </w:tcPr>
          <w:p>
            <w:pPr>
              <w:ind w:left="60"/>
              <w:spacing w:after="0"/>
              <w:rPr>
                <w:sz w:val="20"/>
                <w:szCs w:val="20"/>
                <w:color w:val="auto"/>
              </w:rPr>
            </w:pPr>
            <w:r>
              <w:rPr>
                <w:rFonts w:ascii="Arial" w:cs="Arial" w:eastAsia="Arial" w:hAnsi="Arial"/>
                <w:sz w:val="14"/>
                <w:szCs w:val="14"/>
                <w:color w:val="auto"/>
              </w:rPr>
              <w:t>Loan</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4.25%</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6/30/2021</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112"/>
              <w:spacing w:after="0"/>
              <w:rPr>
                <w:sz w:val="20"/>
                <w:szCs w:val="20"/>
                <w:color w:val="auto"/>
              </w:rPr>
            </w:pPr>
            <w:r>
              <w:rPr>
                <w:rFonts w:ascii="Arial" w:cs="Arial" w:eastAsia="Arial" w:hAnsi="Arial"/>
                <w:sz w:val="14"/>
                <w:szCs w:val="14"/>
                <w:color w:val="auto"/>
              </w:rPr>
              <w:t>498,099</w:t>
            </w:r>
          </w:p>
        </w:tc>
        <w:tc>
          <w:tcPr>
            <w:tcW w:w="900" w:type="dxa"/>
            <w:vAlign w:val="bottom"/>
            <w:shd w:val="clear" w:color="auto" w:fill="CCEEFF"/>
          </w:tcPr>
          <w:p>
            <w:pPr>
              <w:jc w:val="right"/>
              <w:ind w:right="112"/>
              <w:spacing w:after="0"/>
              <w:rPr>
                <w:sz w:val="20"/>
                <w:szCs w:val="20"/>
                <w:color w:val="auto"/>
              </w:rPr>
            </w:pPr>
            <w:r>
              <w:rPr>
                <w:rFonts w:ascii="Arial" w:cs="Arial" w:eastAsia="Arial" w:hAnsi="Arial"/>
                <w:sz w:val="14"/>
                <w:szCs w:val="14"/>
                <w:color w:val="auto"/>
              </w:rPr>
              <w:t>495,886</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495,818</w:t>
            </w:r>
          </w:p>
        </w:tc>
      </w:tr>
      <w:tr>
        <w:trPr>
          <w:trHeight w:val="46"/>
        </w:trPr>
        <w:tc>
          <w:tcPr>
            <w:tcW w:w="4180" w:type="dxa"/>
            <w:vAlign w:val="bottom"/>
            <w:shd w:val="clear" w:color="auto" w:fill="CCEEFF"/>
          </w:tcPr>
          <w:p>
            <w:pPr>
              <w:spacing w:after="0"/>
              <w:rPr>
                <w:sz w:val="4"/>
                <w:szCs w:val="4"/>
                <w:color w:val="auto"/>
              </w:rPr>
            </w:pPr>
          </w:p>
        </w:tc>
        <w:tc>
          <w:tcPr>
            <w:tcW w:w="1980" w:type="dxa"/>
            <w:vAlign w:val="bottom"/>
            <w:shd w:val="clear" w:color="auto" w:fill="CCEEFF"/>
          </w:tcPr>
          <w:p>
            <w:pPr>
              <w:spacing w:after="0"/>
              <w:rPr>
                <w:sz w:val="4"/>
                <w:szCs w:val="4"/>
                <w:color w:val="auto"/>
              </w:rPr>
            </w:pPr>
          </w:p>
        </w:tc>
        <w:tc>
          <w:tcPr>
            <w:tcW w:w="820" w:type="dxa"/>
            <w:vAlign w:val="bottom"/>
            <w:shd w:val="clear" w:color="auto" w:fill="CCEEFF"/>
          </w:tcPr>
          <w:p>
            <w:pPr>
              <w:spacing w:after="0"/>
              <w:rPr>
                <w:sz w:val="4"/>
                <w:szCs w:val="4"/>
                <w:color w:val="auto"/>
              </w:rPr>
            </w:pPr>
          </w:p>
        </w:tc>
        <w:tc>
          <w:tcPr>
            <w:tcW w:w="480" w:type="dxa"/>
            <w:vAlign w:val="bottom"/>
            <w:shd w:val="clear" w:color="auto" w:fill="CCEEFF"/>
          </w:tcPr>
          <w:p>
            <w:pPr>
              <w:spacing w:after="0"/>
              <w:rPr>
                <w:sz w:val="4"/>
                <w:szCs w:val="4"/>
                <w:color w:val="auto"/>
              </w:rPr>
            </w:pPr>
          </w:p>
        </w:tc>
        <w:tc>
          <w:tcPr>
            <w:tcW w:w="720" w:type="dxa"/>
            <w:vAlign w:val="bottom"/>
            <w:shd w:val="clear" w:color="auto" w:fill="CCEEFF"/>
          </w:tcPr>
          <w:p>
            <w:pPr>
              <w:spacing w:after="0"/>
              <w:rPr>
                <w:sz w:val="4"/>
                <w:szCs w:val="4"/>
                <w:color w:val="auto"/>
              </w:rPr>
            </w:pPr>
          </w:p>
        </w:tc>
        <w:tc>
          <w:tcPr>
            <w:tcW w:w="70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720" w:type="dxa"/>
            <w:vAlign w:val="bottom"/>
            <w:shd w:val="clear" w:color="auto" w:fill="CCEEFF"/>
          </w:tcPr>
          <w:p>
            <w:pPr>
              <w:spacing w:after="0"/>
              <w:rPr>
                <w:sz w:val="4"/>
                <w:szCs w:val="4"/>
                <w:color w:val="auto"/>
              </w:rPr>
            </w:pPr>
          </w:p>
        </w:tc>
        <w:tc>
          <w:tcPr>
            <w:tcW w:w="900" w:type="dxa"/>
            <w:vAlign w:val="bottom"/>
            <w:shd w:val="clear" w:color="auto" w:fill="CCEEFF"/>
          </w:tcPr>
          <w:p>
            <w:pPr>
              <w:spacing w:after="0"/>
              <w:rPr>
                <w:sz w:val="4"/>
                <w:szCs w:val="4"/>
                <w:color w:val="auto"/>
              </w:rPr>
            </w:pPr>
          </w:p>
        </w:tc>
        <w:tc>
          <w:tcPr>
            <w:tcW w:w="800" w:type="dxa"/>
            <w:vAlign w:val="bottom"/>
            <w:shd w:val="clear" w:color="auto" w:fill="CCEEFF"/>
          </w:tcPr>
          <w:p>
            <w:pPr>
              <w:spacing w:after="0"/>
              <w:rPr>
                <w:sz w:val="4"/>
                <w:szCs w:val="4"/>
                <w:color w:val="auto"/>
              </w:rPr>
            </w:pPr>
          </w:p>
        </w:tc>
      </w:tr>
    </w:tbl>
    <w:p>
      <w:pPr>
        <w:sectPr>
          <w:pgSz w:w="11900" w:h="16900" w:orient="portrait"/>
          <w:cols w:equalWidth="0" w:num="1">
            <w:col w:w="11420"/>
          </w:cols>
          <w:pgMar w:left="240" w:top="127" w:right="239" w:bottom="0" w:gutter="0" w:footer="0" w:header="0"/>
        </w:sectPr>
      </w:pPr>
    </w:p>
    <w:bookmarkStart w:id="29" w:name="page30"/>
    <w:bookmarkEnd w:id="29"/>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80" w:type="dxa"/>
            <w:vAlign w:val="bottom"/>
            <w:shd w:val="clear" w:color="auto" w:fill="CCEEFF"/>
          </w:tcPr>
          <w:p>
            <w:pPr>
              <w:spacing w:after="0"/>
              <w:rPr>
                <w:sz w:val="14"/>
                <w:szCs w:val="14"/>
                <w:color w:val="auto"/>
              </w:rPr>
            </w:pPr>
          </w:p>
        </w:tc>
        <w:tc>
          <w:tcPr>
            <w:tcW w:w="2020" w:type="dxa"/>
            <w:vAlign w:val="bottom"/>
            <w:shd w:val="clear" w:color="auto" w:fill="CCEEFF"/>
          </w:tcPr>
          <w:p>
            <w:pPr>
              <w:spacing w:after="0"/>
              <w:rPr>
                <w:sz w:val="14"/>
                <w:szCs w:val="14"/>
                <w:color w:val="auto"/>
              </w:rPr>
            </w:pPr>
          </w:p>
        </w:tc>
        <w:tc>
          <w:tcPr>
            <w:tcW w:w="8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B</w:t>
            </w:r>
          </w:p>
        </w:tc>
        <w:tc>
          <w:tcPr>
            <w:tcW w:w="5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r>
      <w:tr>
        <w:trPr>
          <w:trHeight w:val="138"/>
        </w:trPr>
        <w:tc>
          <w:tcPr>
            <w:tcW w:w="4080" w:type="dxa"/>
            <w:vAlign w:val="bottom"/>
          </w:tcPr>
          <w:p>
            <w:pPr>
              <w:spacing w:after="0" w:line="138" w:lineRule="exact"/>
              <w:rPr>
                <w:sz w:val="20"/>
                <w:szCs w:val="20"/>
                <w:color w:val="auto"/>
              </w:rPr>
            </w:pPr>
            <w:r>
              <w:rPr>
                <w:rFonts w:ascii="Arial" w:cs="Arial" w:eastAsia="Arial" w:hAnsi="Arial"/>
                <w:sz w:val="14"/>
                <w:szCs w:val="14"/>
                <w:color w:val="auto"/>
              </w:rPr>
              <w:t>Ikaria, Inc.</w:t>
            </w:r>
          </w:p>
        </w:tc>
        <w:tc>
          <w:tcPr>
            <w:tcW w:w="2020" w:type="dxa"/>
            <w:vAlign w:val="bottom"/>
          </w:tcPr>
          <w:p>
            <w:pPr>
              <w:ind w:left="440"/>
              <w:spacing w:after="0" w:line="138" w:lineRule="exact"/>
              <w:rPr>
                <w:sz w:val="20"/>
                <w:szCs w:val="20"/>
                <w:color w:val="auto"/>
              </w:rPr>
            </w:pPr>
            <w:r>
              <w:rPr>
                <w:rFonts w:ascii="Arial" w:cs="Arial" w:eastAsia="Arial" w:hAnsi="Arial"/>
                <w:sz w:val="14"/>
                <w:szCs w:val="14"/>
                <w:color w:val="auto"/>
              </w:rPr>
              <w:t>Healthcare &amp;</w:t>
            </w:r>
          </w:p>
        </w:tc>
        <w:tc>
          <w:tcPr>
            <w:tcW w:w="880" w:type="dxa"/>
            <w:vAlign w:val="bottom"/>
          </w:tcPr>
          <w:p>
            <w:pPr>
              <w:ind w:left="120"/>
              <w:spacing w:after="0" w:line="138" w:lineRule="exact"/>
              <w:rPr>
                <w:sz w:val="20"/>
                <w:szCs w:val="20"/>
                <w:color w:val="auto"/>
              </w:rPr>
            </w:pPr>
            <w:r>
              <w:rPr>
                <w:rFonts w:ascii="Arial" w:cs="Arial" w:eastAsia="Arial" w:hAnsi="Arial"/>
                <w:sz w:val="14"/>
                <w:szCs w:val="14"/>
                <w:color w:val="auto"/>
              </w:rPr>
              <w:t>Initial Term</w:t>
            </w:r>
          </w:p>
        </w:tc>
        <w:tc>
          <w:tcPr>
            <w:tcW w:w="560" w:type="dxa"/>
            <w:vAlign w:val="bottom"/>
          </w:tcPr>
          <w:p>
            <w:pPr>
              <w:ind w:left="60"/>
              <w:spacing w:after="0" w:line="138" w:lineRule="exact"/>
              <w:rPr>
                <w:sz w:val="20"/>
                <w:szCs w:val="20"/>
                <w:color w:val="auto"/>
              </w:rPr>
            </w:pPr>
            <w:r>
              <w:rPr>
                <w:rFonts w:ascii="Arial" w:cs="Arial" w:eastAsia="Arial" w:hAnsi="Arial"/>
                <w:sz w:val="14"/>
                <w:szCs w:val="14"/>
                <w:color w:val="auto"/>
              </w:rPr>
              <w:t>Loan</w:t>
            </w: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49"/>
        </w:trPr>
        <w:tc>
          <w:tcPr>
            <w:tcW w:w="4080" w:type="dxa"/>
            <w:vAlign w:val="bottom"/>
          </w:tcPr>
          <w:p>
            <w:pPr>
              <w:spacing w:after="0"/>
              <w:rPr>
                <w:sz w:val="12"/>
                <w:szCs w:val="12"/>
                <w:color w:val="auto"/>
              </w:rPr>
            </w:pPr>
          </w:p>
        </w:tc>
        <w:tc>
          <w:tcPr>
            <w:tcW w:w="2020" w:type="dxa"/>
            <w:vAlign w:val="bottom"/>
          </w:tcPr>
          <w:p>
            <w:pPr>
              <w:ind w:left="440"/>
              <w:spacing w:after="0" w:line="149" w:lineRule="exact"/>
              <w:rPr>
                <w:sz w:val="20"/>
                <w:szCs w:val="20"/>
                <w:color w:val="auto"/>
              </w:rPr>
            </w:pPr>
            <w:r>
              <w:rPr>
                <w:rFonts w:ascii="Arial" w:cs="Arial" w:eastAsia="Arial" w:hAnsi="Arial"/>
                <w:sz w:val="14"/>
                <w:szCs w:val="14"/>
                <w:color w:val="auto"/>
              </w:rPr>
              <w:t>Pharmaceuticals</w:t>
            </w:r>
          </w:p>
        </w:tc>
        <w:tc>
          <w:tcPr>
            <w:tcW w:w="880" w:type="dxa"/>
            <w:vAlign w:val="bottom"/>
          </w:tcPr>
          <w:p>
            <w:pPr>
              <w:ind w:left="120"/>
              <w:spacing w:after="0" w:line="149" w:lineRule="exact"/>
              <w:rPr>
                <w:sz w:val="20"/>
                <w:szCs w:val="20"/>
                <w:color w:val="auto"/>
              </w:rPr>
            </w:pPr>
            <w:r>
              <w:rPr>
                <w:rFonts w:ascii="Arial" w:cs="Arial" w:eastAsia="Arial" w:hAnsi="Arial"/>
                <w:sz w:val="14"/>
                <w:szCs w:val="14"/>
                <w:color w:val="auto"/>
              </w:rPr>
              <w:t>Loan (First</w:t>
            </w:r>
          </w:p>
        </w:tc>
        <w:tc>
          <w:tcPr>
            <w:tcW w:w="5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59"/>
        </w:trPr>
        <w:tc>
          <w:tcPr>
            <w:tcW w:w="408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880" w:type="dxa"/>
            <w:vAlign w:val="bottom"/>
          </w:tcPr>
          <w:p>
            <w:pPr>
              <w:ind w:left="120"/>
              <w:spacing w:after="0" w:line="159" w:lineRule="exact"/>
              <w:rPr>
                <w:sz w:val="20"/>
                <w:szCs w:val="20"/>
                <w:color w:val="auto"/>
              </w:rPr>
            </w:pPr>
            <w:r>
              <w:rPr>
                <w:rFonts w:ascii="Arial" w:cs="Arial" w:eastAsia="Arial" w:hAnsi="Arial"/>
                <w:sz w:val="14"/>
                <w:szCs w:val="14"/>
                <w:color w:val="auto"/>
              </w:rPr>
              <w:t>Lien)</w:t>
            </w:r>
          </w:p>
        </w:tc>
        <w:tc>
          <w:tcPr>
            <w:tcW w:w="560" w:type="dxa"/>
            <w:vAlign w:val="bottom"/>
          </w:tcPr>
          <w:p>
            <w:pPr>
              <w:spacing w:after="0"/>
              <w:rPr>
                <w:sz w:val="13"/>
                <w:szCs w:val="13"/>
                <w:color w:val="auto"/>
              </w:rPr>
            </w:pPr>
          </w:p>
        </w:tc>
        <w:tc>
          <w:tcPr>
            <w:tcW w:w="640" w:type="dxa"/>
            <w:vAlign w:val="bottom"/>
          </w:tcPr>
          <w:p>
            <w:pPr>
              <w:jc w:val="right"/>
              <w:spacing w:after="0" w:line="159" w:lineRule="exact"/>
              <w:rPr>
                <w:sz w:val="20"/>
                <w:szCs w:val="20"/>
                <w:color w:val="auto"/>
              </w:rPr>
            </w:pPr>
            <w:r>
              <w:rPr>
                <w:rFonts w:ascii="Arial" w:cs="Arial" w:eastAsia="Arial" w:hAnsi="Arial"/>
                <w:sz w:val="14"/>
                <w:szCs w:val="14"/>
                <w:color w:val="auto"/>
              </w:rPr>
              <w:t>5.00%</w:t>
            </w:r>
          </w:p>
        </w:tc>
        <w:tc>
          <w:tcPr>
            <w:tcW w:w="700" w:type="dxa"/>
            <w:vAlign w:val="bottom"/>
          </w:tcPr>
          <w:p>
            <w:pPr>
              <w:jc w:val="right"/>
              <w:spacing w:after="0" w:line="159" w:lineRule="exact"/>
              <w:rPr>
                <w:sz w:val="20"/>
                <w:szCs w:val="20"/>
                <w:color w:val="auto"/>
              </w:rPr>
            </w:pPr>
            <w:r>
              <w:rPr>
                <w:rFonts w:ascii="Arial" w:cs="Arial" w:eastAsia="Arial" w:hAnsi="Arial"/>
                <w:sz w:val="14"/>
                <w:szCs w:val="14"/>
                <w:color w:val="auto"/>
              </w:rPr>
              <w:t>2/12/2021</w:t>
            </w:r>
          </w:p>
        </w:tc>
        <w:tc>
          <w:tcPr>
            <w:tcW w:w="12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112"/>
              <w:spacing w:after="0" w:line="159" w:lineRule="exact"/>
              <w:rPr>
                <w:sz w:val="20"/>
                <w:szCs w:val="20"/>
                <w:color w:val="auto"/>
              </w:rPr>
            </w:pPr>
            <w:r>
              <w:rPr>
                <w:rFonts w:ascii="Arial" w:cs="Arial" w:eastAsia="Arial" w:hAnsi="Arial"/>
                <w:sz w:val="14"/>
                <w:szCs w:val="14"/>
                <w:color w:val="auto"/>
              </w:rPr>
              <w:t>435,702</w:t>
            </w:r>
          </w:p>
        </w:tc>
        <w:tc>
          <w:tcPr>
            <w:tcW w:w="900" w:type="dxa"/>
            <w:vAlign w:val="bottom"/>
          </w:tcPr>
          <w:p>
            <w:pPr>
              <w:jc w:val="right"/>
              <w:ind w:right="112"/>
              <w:spacing w:after="0" w:line="159" w:lineRule="exact"/>
              <w:rPr>
                <w:sz w:val="20"/>
                <w:szCs w:val="20"/>
                <w:color w:val="auto"/>
              </w:rPr>
            </w:pPr>
            <w:r>
              <w:rPr>
                <w:rFonts w:ascii="Arial" w:cs="Arial" w:eastAsia="Arial" w:hAnsi="Arial"/>
                <w:sz w:val="14"/>
                <w:szCs w:val="14"/>
                <w:color w:val="auto"/>
              </w:rPr>
              <w:t>433,809</w:t>
            </w:r>
          </w:p>
        </w:tc>
        <w:tc>
          <w:tcPr>
            <w:tcW w:w="800" w:type="dxa"/>
            <w:vAlign w:val="bottom"/>
          </w:tcPr>
          <w:p>
            <w:pPr>
              <w:jc w:val="right"/>
              <w:spacing w:after="0" w:line="159" w:lineRule="exact"/>
              <w:rPr>
                <w:sz w:val="20"/>
                <w:szCs w:val="20"/>
                <w:color w:val="auto"/>
              </w:rPr>
            </w:pPr>
            <w:r>
              <w:rPr>
                <w:rFonts w:ascii="Arial" w:cs="Arial" w:eastAsia="Arial" w:hAnsi="Arial"/>
                <w:sz w:val="14"/>
                <w:szCs w:val="14"/>
                <w:color w:val="auto"/>
              </w:rPr>
              <w:t>434,251</w:t>
            </w:r>
          </w:p>
        </w:tc>
      </w:tr>
      <w:tr>
        <w:trPr>
          <w:trHeight w:val="138"/>
        </w:trPr>
        <w:tc>
          <w:tcPr>
            <w:tcW w:w="408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Infor (US), Inc. (fka Lawson Software Inc.)</w:t>
            </w:r>
          </w:p>
        </w:tc>
        <w:tc>
          <w:tcPr>
            <w:tcW w:w="2020" w:type="dxa"/>
            <w:vAlign w:val="bottom"/>
            <w:shd w:val="clear" w:color="auto" w:fill="CCEEFF"/>
          </w:tcPr>
          <w:p>
            <w:pPr>
              <w:ind w:left="440"/>
              <w:spacing w:after="0" w:line="138" w:lineRule="exact"/>
              <w:rPr>
                <w:sz w:val="20"/>
                <w:szCs w:val="20"/>
                <w:color w:val="auto"/>
              </w:rPr>
            </w:pPr>
            <w:r>
              <w:rPr>
                <w:rFonts w:ascii="Arial" w:cs="Arial" w:eastAsia="Arial" w:hAnsi="Arial"/>
                <w:sz w:val="14"/>
                <w:szCs w:val="14"/>
                <w:color w:val="auto"/>
              </w:rPr>
              <w:t>Services: Business</w:t>
            </w:r>
          </w:p>
        </w:tc>
        <w:tc>
          <w:tcPr>
            <w:tcW w:w="880" w:type="dxa"/>
            <w:vAlign w:val="bottom"/>
            <w:shd w:val="clear" w:color="auto" w:fill="CCEEFF"/>
          </w:tcPr>
          <w:p>
            <w:pPr>
              <w:ind w:left="120"/>
              <w:spacing w:after="0" w:line="138" w:lineRule="exact"/>
              <w:rPr>
                <w:sz w:val="20"/>
                <w:szCs w:val="20"/>
                <w:color w:val="auto"/>
              </w:rPr>
            </w:pPr>
            <w:r>
              <w:rPr>
                <w:rFonts w:ascii="Arial" w:cs="Arial" w:eastAsia="Arial" w:hAnsi="Arial"/>
                <w:sz w:val="14"/>
                <w:szCs w:val="14"/>
                <w:color w:val="auto"/>
                <w:w w:val="96"/>
              </w:rPr>
              <w:t>Tranche B-5</w:t>
            </w:r>
          </w:p>
        </w:tc>
        <w:tc>
          <w:tcPr>
            <w:tcW w:w="560" w:type="dxa"/>
            <w:vAlign w:val="bottom"/>
            <w:shd w:val="clear" w:color="auto" w:fill="CCEEFF"/>
          </w:tcPr>
          <w:p>
            <w:pPr>
              <w:ind w:left="60"/>
              <w:spacing w:after="0" w:line="138" w:lineRule="exact"/>
              <w:rPr>
                <w:sz w:val="20"/>
                <w:szCs w:val="20"/>
                <w:color w:val="auto"/>
              </w:rPr>
            </w:pPr>
            <w:r>
              <w:rPr>
                <w:rFonts w:ascii="Arial" w:cs="Arial" w:eastAsia="Arial" w:hAnsi="Arial"/>
                <w:sz w:val="14"/>
                <w:szCs w:val="14"/>
                <w:color w:val="auto"/>
              </w:rPr>
              <w:t>Loan</w:t>
            </w:r>
          </w:p>
        </w:tc>
        <w:tc>
          <w:tcPr>
            <w:tcW w:w="6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r>
      <w:tr>
        <w:trPr>
          <w:trHeight w:val="159"/>
        </w:trPr>
        <w:tc>
          <w:tcPr>
            <w:tcW w:w="4080" w:type="dxa"/>
            <w:vAlign w:val="bottom"/>
            <w:shd w:val="clear" w:color="auto" w:fill="CCEEFF"/>
          </w:tcPr>
          <w:p>
            <w:pPr>
              <w:spacing w:after="0"/>
              <w:rPr>
                <w:sz w:val="13"/>
                <w:szCs w:val="13"/>
                <w:color w:val="auto"/>
              </w:rPr>
            </w:pPr>
          </w:p>
        </w:tc>
        <w:tc>
          <w:tcPr>
            <w:tcW w:w="2020" w:type="dxa"/>
            <w:vAlign w:val="bottom"/>
            <w:shd w:val="clear" w:color="auto" w:fill="CCEEFF"/>
          </w:tcPr>
          <w:p>
            <w:pPr>
              <w:spacing w:after="0"/>
              <w:rPr>
                <w:sz w:val="13"/>
                <w:szCs w:val="13"/>
                <w:color w:val="auto"/>
              </w:rPr>
            </w:pPr>
          </w:p>
        </w:tc>
        <w:tc>
          <w:tcPr>
            <w:tcW w:w="880" w:type="dxa"/>
            <w:vAlign w:val="bottom"/>
            <w:shd w:val="clear" w:color="auto" w:fill="CCEEFF"/>
          </w:tcPr>
          <w:p>
            <w:pPr>
              <w:ind w:left="120"/>
              <w:spacing w:after="0" w:line="159" w:lineRule="exact"/>
              <w:rPr>
                <w:sz w:val="20"/>
                <w:szCs w:val="20"/>
                <w:color w:val="auto"/>
              </w:rPr>
            </w:pPr>
            <w:r>
              <w:rPr>
                <w:rFonts w:ascii="Arial" w:cs="Arial" w:eastAsia="Arial" w:hAnsi="Arial"/>
                <w:sz w:val="14"/>
                <w:szCs w:val="14"/>
                <w:color w:val="auto"/>
              </w:rPr>
              <w:t>Term Loan</w:t>
            </w:r>
          </w:p>
        </w:tc>
        <w:tc>
          <w:tcPr>
            <w:tcW w:w="56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3.75%</w:t>
            </w:r>
          </w:p>
        </w:tc>
        <w:tc>
          <w:tcPr>
            <w:tcW w:w="7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6/3/2020</w:t>
            </w:r>
          </w:p>
        </w:tc>
        <w:tc>
          <w:tcPr>
            <w:tcW w:w="1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112"/>
              <w:spacing w:after="0" w:line="159" w:lineRule="exact"/>
              <w:rPr>
                <w:sz w:val="20"/>
                <w:szCs w:val="20"/>
                <w:color w:val="auto"/>
              </w:rPr>
            </w:pPr>
            <w:r>
              <w:rPr>
                <w:rFonts w:ascii="Arial" w:cs="Arial" w:eastAsia="Arial" w:hAnsi="Arial"/>
                <w:sz w:val="14"/>
                <w:szCs w:val="14"/>
                <w:color w:val="auto"/>
                <w:w w:val="83"/>
              </w:rPr>
              <w:t>2,211,036</w:t>
            </w:r>
          </w:p>
        </w:tc>
        <w:tc>
          <w:tcPr>
            <w:tcW w:w="900" w:type="dxa"/>
            <w:vAlign w:val="bottom"/>
            <w:shd w:val="clear" w:color="auto" w:fill="CCEEFF"/>
          </w:tcPr>
          <w:p>
            <w:pPr>
              <w:jc w:val="right"/>
              <w:ind w:right="112"/>
              <w:spacing w:after="0" w:line="159" w:lineRule="exact"/>
              <w:rPr>
                <w:sz w:val="20"/>
                <w:szCs w:val="20"/>
                <w:color w:val="auto"/>
              </w:rPr>
            </w:pPr>
            <w:r>
              <w:rPr>
                <w:rFonts w:ascii="Arial" w:cs="Arial" w:eastAsia="Arial" w:hAnsi="Arial"/>
                <w:sz w:val="14"/>
                <w:szCs w:val="14"/>
                <w:color w:val="auto"/>
              </w:rPr>
              <w:t>2,194,068</w:t>
            </w:r>
          </w:p>
        </w:tc>
        <w:tc>
          <w:tcPr>
            <w:tcW w:w="8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2,190,650</w:t>
            </w:r>
          </w:p>
        </w:tc>
      </w:tr>
      <w:tr>
        <w:trPr>
          <w:trHeight w:val="149"/>
        </w:trPr>
        <w:tc>
          <w:tcPr>
            <w:tcW w:w="4080" w:type="dxa"/>
            <w:vAlign w:val="bottom"/>
          </w:tcPr>
          <w:p>
            <w:pPr>
              <w:spacing w:after="0" w:line="149" w:lineRule="exact"/>
              <w:rPr>
                <w:sz w:val="20"/>
                <w:szCs w:val="20"/>
                <w:color w:val="auto"/>
              </w:rPr>
            </w:pPr>
            <w:r>
              <w:rPr>
                <w:rFonts w:ascii="Arial" w:cs="Arial" w:eastAsia="Arial" w:hAnsi="Arial"/>
                <w:sz w:val="14"/>
                <w:szCs w:val="14"/>
                <w:color w:val="auto"/>
              </w:rPr>
              <w:t>Insight Global</w:t>
            </w:r>
          </w:p>
        </w:tc>
        <w:tc>
          <w:tcPr>
            <w:tcW w:w="2020" w:type="dxa"/>
            <w:vAlign w:val="bottom"/>
          </w:tcPr>
          <w:p>
            <w:pPr>
              <w:ind w:left="440"/>
              <w:spacing w:after="0" w:line="149" w:lineRule="exact"/>
              <w:rPr>
                <w:sz w:val="20"/>
                <w:szCs w:val="20"/>
                <w:color w:val="auto"/>
              </w:rPr>
            </w:pPr>
            <w:r>
              <w:rPr>
                <w:rFonts w:ascii="Arial" w:cs="Arial" w:eastAsia="Arial" w:hAnsi="Arial"/>
                <w:sz w:val="14"/>
                <w:szCs w:val="14"/>
                <w:color w:val="auto"/>
              </w:rPr>
              <w:t>Services: Business</w:t>
            </w:r>
          </w:p>
        </w:tc>
        <w:tc>
          <w:tcPr>
            <w:tcW w:w="880" w:type="dxa"/>
            <w:vAlign w:val="bottom"/>
          </w:tcPr>
          <w:p>
            <w:pPr>
              <w:ind w:left="120"/>
              <w:spacing w:after="0" w:line="149" w:lineRule="exact"/>
              <w:rPr>
                <w:sz w:val="20"/>
                <w:szCs w:val="20"/>
                <w:color w:val="auto"/>
              </w:rPr>
            </w:pPr>
            <w:r>
              <w:rPr>
                <w:rFonts w:ascii="Arial" w:cs="Arial" w:eastAsia="Arial" w:hAnsi="Arial"/>
                <w:sz w:val="14"/>
                <w:szCs w:val="14"/>
                <w:color w:val="auto"/>
              </w:rPr>
              <w:t>Term Loan</w:t>
            </w:r>
          </w:p>
        </w:tc>
        <w:tc>
          <w:tcPr>
            <w:tcW w:w="560" w:type="dxa"/>
            <w:vAlign w:val="bottom"/>
          </w:tcPr>
          <w:p>
            <w:pPr>
              <w:ind w:left="60"/>
              <w:spacing w:after="0" w:line="149" w:lineRule="exact"/>
              <w:rPr>
                <w:sz w:val="20"/>
                <w:szCs w:val="20"/>
                <w:color w:val="auto"/>
              </w:rPr>
            </w:pPr>
            <w:r>
              <w:rPr>
                <w:rFonts w:ascii="Arial" w:cs="Arial" w:eastAsia="Arial" w:hAnsi="Arial"/>
                <w:sz w:val="14"/>
                <w:szCs w:val="14"/>
                <w:color w:val="auto"/>
              </w:rPr>
              <w:t>Loan</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6.00%</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w w:val="91"/>
              </w:rPr>
              <w:t>10/29/2021</w:t>
            </w:r>
          </w:p>
        </w:tc>
        <w:tc>
          <w:tcPr>
            <w:tcW w:w="1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112"/>
              <w:spacing w:after="0" w:line="149" w:lineRule="exact"/>
              <w:rPr>
                <w:sz w:val="20"/>
                <w:szCs w:val="20"/>
                <w:color w:val="auto"/>
              </w:rPr>
            </w:pPr>
            <w:r>
              <w:rPr>
                <w:rFonts w:ascii="Arial" w:cs="Arial" w:eastAsia="Arial" w:hAnsi="Arial"/>
                <w:sz w:val="14"/>
                <w:szCs w:val="14"/>
                <w:color w:val="auto"/>
                <w:w w:val="83"/>
              </w:rPr>
              <w:t>2,000,000</w:t>
            </w:r>
          </w:p>
        </w:tc>
        <w:tc>
          <w:tcPr>
            <w:tcW w:w="90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1,990,539</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1,993,760</w:t>
            </w:r>
          </w:p>
        </w:tc>
      </w:tr>
      <w:tr>
        <w:trPr>
          <w:trHeight w:val="138"/>
        </w:trPr>
        <w:tc>
          <w:tcPr>
            <w:tcW w:w="408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J. Crew Group, Inc.</w:t>
            </w:r>
          </w:p>
        </w:tc>
        <w:tc>
          <w:tcPr>
            <w:tcW w:w="2020" w:type="dxa"/>
            <w:vAlign w:val="bottom"/>
            <w:shd w:val="clear" w:color="auto" w:fill="CCEEFF"/>
          </w:tcPr>
          <w:p>
            <w:pPr>
              <w:ind w:left="440"/>
              <w:spacing w:after="0" w:line="138" w:lineRule="exact"/>
              <w:rPr>
                <w:sz w:val="20"/>
                <w:szCs w:val="20"/>
                <w:color w:val="auto"/>
              </w:rPr>
            </w:pPr>
            <w:r>
              <w:rPr>
                <w:rFonts w:ascii="Arial" w:cs="Arial" w:eastAsia="Arial" w:hAnsi="Arial"/>
                <w:sz w:val="14"/>
                <w:szCs w:val="14"/>
                <w:color w:val="auto"/>
                <w:w w:val="91"/>
              </w:rPr>
              <w:t>Retailers (Except Food and</w:t>
            </w:r>
          </w:p>
        </w:tc>
        <w:tc>
          <w:tcPr>
            <w:tcW w:w="880" w:type="dxa"/>
            <w:vAlign w:val="bottom"/>
            <w:shd w:val="clear" w:color="auto" w:fill="CCEEFF"/>
          </w:tcPr>
          <w:p>
            <w:pPr>
              <w:ind w:left="120"/>
              <w:spacing w:after="0" w:line="138" w:lineRule="exact"/>
              <w:rPr>
                <w:sz w:val="20"/>
                <w:szCs w:val="20"/>
                <w:color w:val="auto"/>
              </w:rPr>
            </w:pPr>
            <w:r>
              <w:rPr>
                <w:rFonts w:ascii="Arial" w:cs="Arial" w:eastAsia="Arial" w:hAnsi="Arial"/>
                <w:sz w:val="14"/>
                <w:szCs w:val="14"/>
                <w:color w:val="auto"/>
              </w:rPr>
              <w:t>Term B-1</w:t>
            </w:r>
          </w:p>
        </w:tc>
        <w:tc>
          <w:tcPr>
            <w:tcW w:w="560" w:type="dxa"/>
            <w:vAlign w:val="bottom"/>
            <w:shd w:val="clear" w:color="auto" w:fill="CCEEFF"/>
          </w:tcPr>
          <w:p>
            <w:pPr>
              <w:ind w:left="60"/>
              <w:spacing w:after="0" w:line="138" w:lineRule="exact"/>
              <w:rPr>
                <w:sz w:val="20"/>
                <w:szCs w:val="20"/>
                <w:color w:val="auto"/>
              </w:rPr>
            </w:pPr>
            <w:r>
              <w:rPr>
                <w:rFonts w:ascii="Arial" w:cs="Arial" w:eastAsia="Arial" w:hAnsi="Arial"/>
                <w:sz w:val="14"/>
                <w:szCs w:val="14"/>
                <w:color w:val="auto"/>
              </w:rPr>
              <w:t>Loan</w:t>
            </w:r>
          </w:p>
        </w:tc>
        <w:tc>
          <w:tcPr>
            <w:tcW w:w="6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r>
      <w:tr>
        <w:trPr>
          <w:trHeight w:val="149"/>
        </w:trPr>
        <w:tc>
          <w:tcPr>
            <w:tcW w:w="4080" w:type="dxa"/>
            <w:vAlign w:val="bottom"/>
            <w:shd w:val="clear" w:color="auto" w:fill="CCEEFF"/>
          </w:tcPr>
          <w:p>
            <w:pPr>
              <w:spacing w:after="0"/>
              <w:rPr>
                <w:sz w:val="12"/>
                <w:szCs w:val="12"/>
                <w:color w:val="auto"/>
              </w:rPr>
            </w:pPr>
          </w:p>
        </w:tc>
        <w:tc>
          <w:tcPr>
            <w:tcW w:w="202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Drugs)</w:t>
            </w:r>
          </w:p>
        </w:tc>
        <w:tc>
          <w:tcPr>
            <w:tcW w:w="88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w w:val="92"/>
              </w:rPr>
              <w:t>Loan Retired</w:t>
            </w:r>
          </w:p>
        </w:tc>
        <w:tc>
          <w:tcPr>
            <w:tcW w:w="5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r>
      <w:tr>
        <w:trPr>
          <w:trHeight w:val="159"/>
        </w:trPr>
        <w:tc>
          <w:tcPr>
            <w:tcW w:w="4080" w:type="dxa"/>
            <w:vAlign w:val="bottom"/>
            <w:shd w:val="clear" w:color="auto" w:fill="CCEEFF"/>
          </w:tcPr>
          <w:p>
            <w:pPr>
              <w:spacing w:after="0"/>
              <w:rPr>
                <w:sz w:val="13"/>
                <w:szCs w:val="13"/>
                <w:color w:val="auto"/>
              </w:rPr>
            </w:pPr>
          </w:p>
        </w:tc>
        <w:tc>
          <w:tcPr>
            <w:tcW w:w="2020" w:type="dxa"/>
            <w:vAlign w:val="bottom"/>
            <w:shd w:val="clear" w:color="auto" w:fill="CCEEFF"/>
          </w:tcPr>
          <w:p>
            <w:pPr>
              <w:spacing w:after="0"/>
              <w:rPr>
                <w:sz w:val="13"/>
                <w:szCs w:val="13"/>
                <w:color w:val="auto"/>
              </w:rPr>
            </w:pPr>
          </w:p>
        </w:tc>
        <w:tc>
          <w:tcPr>
            <w:tcW w:w="880" w:type="dxa"/>
            <w:vAlign w:val="bottom"/>
            <w:shd w:val="clear" w:color="auto" w:fill="CCEEFF"/>
          </w:tcPr>
          <w:p>
            <w:pPr>
              <w:ind w:left="120"/>
              <w:spacing w:after="0" w:line="159" w:lineRule="exact"/>
              <w:rPr>
                <w:sz w:val="20"/>
                <w:szCs w:val="20"/>
                <w:color w:val="auto"/>
              </w:rPr>
            </w:pPr>
            <w:r>
              <w:rPr>
                <w:rFonts w:ascii="Arial" w:cs="Arial" w:eastAsia="Arial" w:hAnsi="Arial"/>
                <w:sz w:val="14"/>
                <w:szCs w:val="14"/>
                <w:color w:val="auto"/>
              </w:rPr>
              <w:t>03/05/2014</w:t>
            </w:r>
          </w:p>
        </w:tc>
        <w:tc>
          <w:tcPr>
            <w:tcW w:w="56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4.00%</w:t>
            </w:r>
          </w:p>
        </w:tc>
        <w:tc>
          <w:tcPr>
            <w:tcW w:w="7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3/5/2021</w:t>
            </w:r>
          </w:p>
        </w:tc>
        <w:tc>
          <w:tcPr>
            <w:tcW w:w="1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112"/>
              <w:spacing w:after="0" w:line="159" w:lineRule="exact"/>
              <w:rPr>
                <w:sz w:val="20"/>
                <w:szCs w:val="20"/>
                <w:color w:val="auto"/>
              </w:rPr>
            </w:pPr>
            <w:r>
              <w:rPr>
                <w:rFonts w:ascii="Arial" w:cs="Arial" w:eastAsia="Arial" w:hAnsi="Arial"/>
                <w:sz w:val="14"/>
                <w:szCs w:val="14"/>
                <w:color w:val="auto"/>
              </w:rPr>
              <w:t>965,206</w:t>
            </w:r>
          </w:p>
        </w:tc>
        <w:tc>
          <w:tcPr>
            <w:tcW w:w="900" w:type="dxa"/>
            <w:vAlign w:val="bottom"/>
            <w:shd w:val="clear" w:color="auto" w:fill="CCEEFF"/>
          </w:tcPr>
          <w:p>
            <w:pPr>
              <w:jc w:val="right"/>
              <w:ind w:right="112"/>
              <w:spacing w:after="0" w:line="159" w:lineRule="exact"/>
              <w:rPr>
                <w:sz w:val="20"/>
                <w:szCs w:val="20"/>
                <w:color w:val="auto"/>
              </w:rPr>
            </w:pPr>
            <w:r>
              <w:rPr>
                <w:rFonts w:ascii="Arial" w:cs="Arial" w:eastAsia="Arial" w:hAnsi="Arial"/>
                <w:sz w:val="14"/>
                <w:szCs w:val="14"/>
                <w:color w:val="auto"/>
              </w:rPr>
              <w:t>965,206</w:t>
            </w:r>
          </w:p>
        </w:tc>
        <w:tc>
          <w:tcPr>
            <w:tcW w:w="8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906,493</w:t>
            </w:r>
          </w:p>
        </w:tc>
      </w:tr>
      <w:tr>
        <w:trPr>
          <w:trHeight w:val="138"/>
        </w:trPr>
        <w:tc>
          <w:tcPr>
            <w:tcW w:w="4080" w:type="dxa"/>
            <w:vAlign w:val="bottom"/>
          </w:tcPr>
          <w:p>
            <w:pPr>
              <w:spacing w:after="0" w:line="138" w:lineRule="exact"/>
              <w:rPr>
                <w:sz w:val="20"/>
                <w:szCs w:val="20"/>
                <w:color w:val="auto"/>
              </w:rPr>
            </w:pPr>
            <w:r>
              <w:rPr>
                <w:rFonts w:ascii="Arial" w:cs="Arial" w:eastAsia="Arial" w:hAnsi="Arial"/>
                <w:sz w:val="14"/>
                <w:szCs w:val="14"/>
                <w:color w:val="auto"/>
              </w:rPr>
              <w:t>Jazz Acquisition, Inc</w:t>
            </w:r>
          </w:p>
        </w:tc>
        <w:tc>
          <w:tcPr>
            <w:tcW w:w="2020" w:type="dxa"/>
            <w:vAlign w:val="bottom"/>
          </w:tcPr>
          <w:p>
            <w:pPr>
              <w:ind w:left="440"/>
              <w:spacing w:after="0" w:line="138" w:lineRule="exact"/>
              <w:rPr>
                <w:sz w:val="20"/>
                <w:szCs w:val="20"/>
                <w:color w:val="auto"/>
              </w:rPr>
            </w:pPr>
            <w:r>
              <w:rPr>
                <w:rFonts w:ascii="Arial" w:cs="Arial" w:eastAsia="Arial" w:hAnsi="Arial"/>
                <w:sz w:val="14"/>
                <w:szCs w:val="14"/>
                <w:color w:val="auto"/>
              </w:rPr>
              <w:t>Aerospace and Defense</w:t>
            </w:r>
          </w:p>
        </w:tc>
        <w:tc>
          <w:tcPr>
            <w:tcW w:w="880" w:type="dxa"/>
            <w:vAlign w:val="bottom"/>
          </w:tcPr>
          <w:p>
            <w:pPr>
              <w:ind w:left="120"/>
              <w:spacing w:after="0" w:line="138" w:lineRule="exact"/>
              <w:rPr>
                <w:sz w:val="20"/>
                <w:szCs w:val="20"/>
                <w:color w:val="auto"/>
              </w:rPr>
            </w:pPr>
            <w:r>
              <w:rPr>
                <w:rFonts w:ascii="Arial" w:cs="Arial" w:eastAsia="Arial" w:hAnsi="Arial"/>
                <w:sz w:val="14"/>
                <w:szCs w:val="14"/>
                <w:color w:val="auto"/>
              </w:rPr>
              <w:t>First Lien</w:t>
            </w:r>
          </w:p>
        </w:tc>
        <w:tc>
          <w:tcPr>
            <w:tcW w:w="560" w:type="dxa"/>
            <w:vAlign w:val="bottom"/>
          </w:tcPr>
          <w:p>
            <w:pPr>
              <w:ind w:left="60"/>
              <w:spacing w:after="0" w:line="138" w:lineRule="exact"/>
              <w:rPr>
                <w:sz w:val="20"/>
                <w:szCs w:val="20"/>
                <w:color w:val="auto"/>
              </w:rPr>
            </w:pPr>
            <w:r>
              <w:rPr>
                <w:rFonts w:ascii="Arial" w:cs="Arial" w:eastAsia="Arial" w:hAnsi="Arial"/>
                <w:sz w:val="14"/>
                <w:szCs w:val="14"/>
                <w:color w:val="auto"/>
              </w:rPr>
              <w:t>Loan</w:t>
            </w: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59"/>
        </w:trPr>
        <w:tc>
          <w:tcPr>
            <w:tcW w:w="408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880" w:type="dxa"/>
            <w:vAlign w:val="bottom"/>
          </w:tcPr>
          <w:p>
            <w:pPr>
              <w:ind w:left="120"/>
              <w:spacing w:after="0" w:line="159" w:lineRule="exact"/>
              <w:rPr>
                <w:sz w:val="20"/>
                <w:szCs w:val="20"/>
                <w:color w:val="auto"/>
              </w:rPr>
            </w:pPr>
            <w:r>
              <w:rPr>
                <w:rFonts w:ascii="Arial" w:cs="Arial" w:eastAsia="Arial" w:hAnsi="Arial"/>
                <w:sz w:val="14"/>
                <w:szCs w:val="14"/>
                <w:color w:val="auto"/>
              </w:rPr>
              <w:t>6/14</w:t>
            </w:r>
          </w:p>
        </w:tc>
        <w:tc>
          <w:tcPr>
            <w:tcW w:w="560" w:type="dxa"/>
            <w:vAlign w:val="bottom"/>
          </w:tcPr>
          <w:p>
            <w:pPr>
              <w:spacing w:after="0"/>
              <w:rPr>
                <w:sz w:val="13"/>
                <w:szCs w:val="13"/>
                <w:color w:val="auto"/>
              </w:rPr>
            </w:pPr>
          </w:p>
        </w:tc>
        <w:tc>
          <w:tcPr>
            <w:tcW w:w="640" w:type="dxa"/>
            <w:vAlign w:val="bottom"/>
          </w:tcPr>
          <w:p>
            <w:pPr>
              <w:jc w:val="right"/>
              <w:spacing w:after="0" w:line="159" w:lineRule="exact"/>
              <w:rPr>
                <w:sz w:val="20"/>
                <w:szCs w:val="20"/>
                <w:color w:val="auto"/>
              </w:rPr>
            </w:pPr>
            <w:r>
              <w:rPr>
                <w:rFonts w:ascii="Arial" w:cs="Arial" w:eastAsia="Arial" w:hAnsi="Arial"/>
                <w:sz w:val="14"/>
                <w:szCs w:val="14"/>
                <w:color w:val="auto"/>
              </w:rPr>
              <w:t>4.50%</w:t>
            </w:r>
          </w:p>
        </w:tc>
        <w:tc>
          <w:tcPr>
            <w:tcW w:w="700" w:type="dxa"/>
            <w:vAlign w:val="bottom"/>
          </w:tcPr>
          <w:p>
            <w:pPr>
              <w:jc w:val="right"/>
              <w:spacing w:after="0" w:line="159" w:lineRule="exact"/>
              <w:rPr>
                <w:sz w:val="20"/>
                <w:szCs w:val="20"/>
                <w:color w:val="auto"/>
              </w:rPr>
            </w:pPr>
            <w:r>
              <w:rPr>
                <w:rFonts w:ascii="Arial" w:cs="Arial" w:eastAsia="Arial" w:hAnsi="Arial"/>
                <w:sz w:val="14"/>
                <w:szCs w:val="14"/>
                <w:color w:val="auto"/>
              </w:rPr>
              <w:t>6/19/2021</w:t>
            </w:r>
          </w:p>
        </w:tc>
        <w:tc>
          <w:tcPr>
            <w:tcW w:w="12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112"/>
              <w:spacing w:after="0" w:line="159" w:lineRule="exact"/>
              <w:rPr>
                <w:sz w:val="20"/>
                <w:szCs w:val="20"/>
                <w:color w:val="auto"/>
              </w:rPr>
            </w:pPr>
            <w:r>
              <w:rPr>
                <w:rFonts w:ascii="Arial" w:cs="Arial" w:eastAsia="Arial" w:hAnsi="Arial"/>
                <w:sz w:val="14"/>
                <w:szCs w:val="14"/>
                <w:color w:val="auto"/>
              </w:rPr>
              <w:t>497,576</w:t>
            </w:r>
          </w:p>
        </w:tc>
        <w:tc>
          <w:tcPr>
            <w:tcW w:w="900" w:type="dxa"/>
            <w:vAlign w:val="bottom"/>
          </w:tcPr>
          <w:p>
            <w:pPr>
              <w:jc w:val="right"/>
              <w:ind w:right="112"/>
              <w:spacing w:after="0" w:line="159" w:lineRule="exact"/>
              <w:rPr>
                <w:sz w:val="20"/>
                <w:szCs w:val="20"/>
                <w:color w:val="auto"/>
              </w:rPr>
            </w:pPr>
            <w:r>
              <w:rPr>
                <w:rFonts w:ascii="Arial" w:cs="Arial" w:eastAsia="Arial" w:hAnsi="Arial"/>
                <w:sz w:val="14"/>
                <w:szCs w:val="14"/>
                <w:color w:val="auto"/>
              </w:rPr>
              <w:t>496,332</w:t>
            </w:r>
          </w:p>
        </w:tc>
        <w:tc>
          <w:tcPr>
            <w:tcW w:w="800" w:type="dxa"/>
            <w:vAlign w:val="bottom"/>
          </w:tcPr>
          <w:p>
            <w:pPr>
              <w:jc w:val="right"/>
              <w:spacing w:after="0" w:line="159" w:lineRule="exact"/>
              <w:rPr>
                <w:sz w:val="20"/>
                <w:szCs w:val="20"/>
                <w:color w:val="auto"/>
              </w:rPr>
            </w:pPr>
            <w:r>
              <w:rPr>
                <w:rFonts w:ascii="Arial" w:cs="Arial" w:eastAsia="Arial" w:hAnsi="Arial"/>
                <w:sz w:val="14"/>
                <w:szCs w:val="14"/>
                <w:color w:val="auto"/>
              </w:rPr>
              <w:t>492,913</w:t>
            </w:r>
          </w:p>
        </w:tc>
      </w:tr>
      <w:tr>
        <w:trPr>
          <w:trHeight w:val="138"/>
        </w:trPr>
        <w:tc>
          <w:tcPr>
            <w:tcW w:w="408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Kinetic Concepts, Inc.</w:t>
            </w:r>
          </w:p>
        </w:tc>
        <w:tc>
          <w:tcPr>
            <w:tcW w:w="2020" w:type="dxa"/>
            <w:vAlign w:val="bottom"/>
            <w:shd w:val="clear" w:color="auto" w:fill="CCEEFF"/>
          </w:tcPr>
          <w:p>
            <w:pPr>
              <w:ind w:left="440"/>
              <w:spacing w:after="0" w:line="138" w:lineRule="exact"/>
              <w:rPr>
                <w:sz w:val="20"/>
                <w:szCs w:val="20"/>
                <w:color w:val="auto"/>
              </w:rPr>
            </w:pPr>
            <w:r>
              <w:rPr>
                <w:rFonts w:ascii="Arial" w:cs="Arial" w:eastAsia="Arial" w:hAnsi="Arial"/>
                <w:sz w:val="14"/>
                <w:szCs w:val="14"/>
                <w:color w:val="auto"/>
              </w:rPr>
              <w:t>Healthcare &amp;</w:t>
            </w:r>
          </w:p>
        </w:tc>
        <w:tc>
          <w:tcPr>
            <w:tcW w:w="880" w:type="dxa"/>
            <w:vAlign w:val="bottom"/>
            <w:shd w:val="clear" w:color="auto" w:fill="CCEEFF"/>
          </w:tcPr>
          <w:p>
            <w:pPr>
              <w:ind w:left="120"/>
              <w:spacing w:after="0" w:line="138" w:lineRule="exact"/>
              <w:rPr>
                <w:sz w:val="20"/>
                <w:szCs w:val="20"/>
                <w:color w:val="auto"/>
              </w:rPr>
            </w:pPr>
            <w:r>
              <w:rPr>
                <w:rFonts w:ascii="Arial" w:cs="Arial" w:eastAsia="Arial" w:hAnsi="Arial"/>
                <w:sz w:val="14"/>
                <w:szCs w:val="14"/>
                <w:color w:val="auto"/>
              </w:rPr>
              <w:t>Dollar Term</w:t>
            </w:r>
          </w:p>
        </w:tc>
        <w:tc>
          <w:tcPr>
            <w:tcW w:w="560" w:type="dxa"/>
            <w:vAlign w:val="bottom"/>
            <w:shd w:val="clear" w:color="auto" w:fill="CCEEFF"/>
          </w:tcPr>
          <w:p>
            <w:pPr>
              <w:ind w:left="60"/>
              <w:spacing w:after="0" w:line="138" w:lineRule="exact"/>
              <w:rPr>
                <w:sz w:val="20"/>
                <w:szCs w:val="20"/>
                <w:color w:val="auto"/>
              </w:rPr>
            </w:pPr>
            <w:r>
              <w:rPr>
                <w:rFonts w:ascii="Arial" w:cs="Arial" w:eastAsia="Arial" w:hAnsi="Arial"/>
                <w:sz w:val="14"/>
                <w:szCs w:val="14"/>
                <w:color w:val="auto"/>
              </w:rPr>
              <w:t>Loan</w:t>
            </w:r>
          </w:p>
        </w:tc>
        <w:tc>
          <w:tcPr>
            <w:tcW w:w="6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r>
      <w:tr>
        <w:trPr>
          <w:trHeight w:val="159"/>
        </w:trPr>
        <w:tc>
          <w:tcPr>
            <w:tcW w:w="4080" w:type="dxa"/>
            <w:vAlign w:val="bottom"/>
            <w:shd w:val="clear" w:color="auto" w:fill="CCEEFF"/>
          </w:tcPr>
          <w:p>
            <w:pPr>
              <w:spacing w:after="0"/>
              <w:rPr>
                <w:sz w:val="13"/>
                <w:szCs w:val="13"/>
                <w:color w:val="auto"/>
              </w:rPr>
            </w:pPr>
          </w:p>
        </w:tc>
        <w:tc>
          <w:tcPr>
            <w:tcW w:w="2020" w:type="dxa"/>
            <w:vAlign w:val="bottom"/>
            <w:shd w:val="clear" w:color="auto" w:fill="CCEEFF"/>
          </w:tcPr>
          <w:p>
            <w:pPr>
              <w:ind w:left="440"/>
              <w:spacing w:after="0" w:line="159" w:lineRule="exact"/>
              <w:rPr>
                <w:sz w:val="20"/>
                <w:szCs w:val="20"/>
                <w:color w:val="auto"/>
              </w:rPr>
            </w:pPr>
            <w:r>
              <w:rPr>
                <w:rFonts w:ascii="Arial" w:cs="Arial" w:eastAsia="Arial" w:hAnsi="Arial"/>
                <w:sz w:val="14"/>
                <w:szCs w:val="14"/>
                <w:color w:val="auto"/>
              </w:rPr>
              <w:t>Pharmaceuticals</w:t>
            </w:r>
          </w:p>
        </w:tc>
        <w:tc>
          <w:tcPr>
            <w:tcW w:w="880" w:type="dxa"/>
            <w:vAlign w:val="bottom"/>
            <w:shd w:val="clear" w:color="auto" w:fill="CCEEFF"/>
          </w:tcPr>
          <w:p>
            <w:pPr>
              <w:ind w:left="120"/>
              <w:spacing w:after="0" w:line="159" w:lineRule="exact"/>
              <w:rPr>
                <w:sz w:val="20"/>
                <w:szCs w:val="20"/>
                <w:color w:val="auto"/>
              </w:rPr>
            </w:pPr>
            <w:r>
              <w:rPr>
                <w:rFonts w:ascii="Arial" w:cs="Arial" w:eastAsia="Arial" w:hAnsi="Arial"/>
                <w:sz w:val="14"/>
                <w:szCs w:val="14"/>
                <w:color w:val="auto"/>
              </w:rPr>
              <w:t>D-1 Loan</w:t>
            </w:r>
          </w:p>
        </w:tc>
        <w:tc>
          <w:tcPr>
            <w:tcW w:w="56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4.00%</w:t>
            </w:r>
          </w:p>
        </w:tc>
        <w:tc>
          <w:tcPr>
            <w:tcW w:w="7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5/4/2018</w:t>
            </w:r>
          </w:p>
        </w:tc>
        <w:tc>
          <w:tcPr>
            <w:tcW w:w="1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112"/>
              <w:spacing w:after="0" w:line="159" w:lineRule="exact"/>
              <w:rPr>
                <w:sz w:val="20"/>
                <w:szCs w:val="20"/>
                <w:color w:val="auto"/>
              </w:rPr>
            </w:pPr>
            <w:r>
              <w:rPr>
                <w:rFonts w:ascii="Arial" w:cs="Arial" w:eastAsia="Arial" w:hAnsi="Arial"/>
                <w:sz w:val="14"/>
                <w:szCs w:val="14"/>
                <w:color w:val="auto"/>
                <w:w w:val="83"/>
              </w:rPr>
              <w:t>2,477,613</w:t>
            </w:r>
          </w:p>
        </w:tc>
        <w:tc>
          <w:tcPr>
            <w:tcW w:w="900" w:type="dxa"/>
            <w:vAlign w:val="bottom"/>
            <w:shd w:val="clear" w:color="auto" w:fill="CCEEFF"/>
          </w:tcPr>
          <w:p>
            <w:pPr>
              <w:jc w:val="right"/>
              <w:ind w:right="112"/>
              <w:spacing w:after="0" w:line="159" w:lineRule="exact"/>
              <w:rPr>
                <w:sz w:val="20"/>
                <w:szCs w:val="20"/>
                <w:color w:val="auto"/>
              </w:rPr>
            </w:pPr>
            <w:r>
              <w:rPr>
                <w:rFonts w:ascii="Arial" w:cs="Arial" w:eastAsia="Arial" w:hAnsi="Arial"/>
                <w:sz w:val="14"/>
                <w:szCs w:val="14"/>
                <w:color w:val="auto"/>
              </w:rPr>
              <w:t>2,453,687</w:t>
            </w:r>
          </w:p>
        </w:tc>
        <w:tc>
          <w:tcPr>
            <w:tcW w:w="8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2,477,167</w:t>
            </w:r>
          </w:p>
        </w:tc>
      </w:tr>
      <w:tr>
        <w:trPr>
          <w:trHeight w:val="149"/>
        </w:trPr>
        <w:tc>
          <w:tcPr>
            <w:tcW w:w="4080" w:type="dxa"/>
            <w:vAlign w:val="bottom"/>
          </w:tcPr>
          <w:p>
            <w:pPr>
              <w:spacing w:after="0" w:line="149" w:lineRule="exact"/>
              <w:rPr>
                <w:sz w:val="20"/>
                <w:szCs w:val="20"/>
                <w:color w:val="auto"/>
              </w:rPr>
            </w:pPr>
            <w:r>
              <w:rPr>
                <w:rFonts w:ascii="Arial" w:cs="Arial" w:eastAsia="Arial" w:hAnsi="Arial"/>
                <w:sz w:val="14"/>
                <w:szCs w:val="14"/>
                <w:color w:val="auto"/>
              </w:rPr>
              <w:t>Koosharem, LLC</w:t>
            </w:r>
          </w:p>
        </w:tc>
        <w:tc>
          <w:tcPr>
            <w:tcW w:w="2020" w:type="dxa"/>
            <w:vAlign w:val="bottom"/>
          </w:tcPr>
          <w:p>
            <w:pPr>
              <w:ind w:left="440"/>
              <w:spacing w:after="0" w:line="149" w:lineRule="exact"/>
              <w:rPr>
                <w:sz w:val="20"/>
                <w:szCs w:val="20"/>
                <w:color w:val="auto"/>
              </w:rPr>
            </w:pPr>
            <w:r>
              <w:rPr>
                <w:rFonts w:ascii="Arial" w:cs="Arial" w:eastAsia="Arial" w:hAnsi="Arial"/>
                <w:sz w:val="14"/>
                <w:szCs w:val="14"/>
                <w:color w:val="auto"/>
              </w:rPr>
              <w:t>Services: Business</w:t>
            </w:r>
          </w:p>
        </w:tc>
        <w:tc>
          <w:tcPr>
            <w:tcW w:w="880" w:type="dxa"/>
            <w:vAlign w:val="bottom"/>
          </w:tcPr>
          <w:p>
            <w:pPr>
              <w:ind w:left="120"/>
              <w:spacing w:after="0" w:line="149" w:lineRule="exact"/>
              <w:rPr>
                <w:sz w:val="20"/>
                <w:szCs w:val="20"/>
                <w:color w:val="auto"/>
              </w:rPr>
            </w:pPr>
            <w:r>
              <w:rPr>
                <w:rFonts w:ascii="Arial" w:cs="Arial" w:eastAsia="Arial" w:hAnsi="Arial"/>
                <w:sz w:val="14"/>
                <w:szCs w:val="14"/>
                <w:color w:val="auto"/>
              </w:rPr>
              <w:t>Term Loan</w:t>
            </w:r>
          </w:p>
        </w:tc>
        <w:tc>
          <w:tcPr>
            <w:tcW w:w="560" w:type="dxa"/>
            <w:vAlign w:val="bottom"/>
          </w:tcPr>
          <w:p>
            <w:pPr>
              <w:ind w:left="60"/>
              <w:spacing w:after="0" w:line="149" w:lineRule="exact"/>
              <w:rPr>
                <w:sz w:val="20"/>
                <w:szCs w:val="20"/>
                <w:color w:val="auto"/>
              </w:rPr>
            </w:pPr>
            <w:r>
              <w:rPr>
                <w:rFonts w:ascii="Arial" w:cs="Arial" w:eastAsia="Arial" w:hAnsi="Arial"/>
                <w:sz w:val="14"/>
                <w:szCs w:val="14"/>
                <w:color w:val="auto"/>
              </w:rPr>
              <w:t>Loan</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7.50%</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5/15/2020</w:t>
            </w:r>
          </w:p>
        </w:tc>
        <w:tc>
          <w:tcPr>
            <w:tcW w:w="1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112"/>
              <w:spacing w:after="0" w:line="149" w:lineRule="exact"/>
              <w:rPr>
                <w:sz w:val="20"/>
                <w:szCs w:val="20"/>
                <w:color w:val="auto"/>
              </w:rPr>
            </w:pPr>
            <w:r>
              <w:rPr>
                <w:rFonts w:ascii="Arial" w:cs="Arial" w:eastAsia="Arial" w:hAnsi="Arial"/>
                <w:sz w:val="14"/>
                <w:szCs w:val="14"/>
                <w:color w:val="auto"/>
                <w:w w:val="83"/>
              </w:rPr>
              <w:t>2,995,000</w:t>
            </w:r>
          </w:p>
        </w:tc>
        <w:tc>
          <w:tcPr>
            <w:tcW w:w="90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2,968,450</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2,961,306</w:t>
            </w:r>
          </w:p>
        </w:tc>
      </w:tr>
      <w:tr>
        <w:trPr>
          <w:trHeight w:val="138"/>
        </w:trPr>
        <w:tc>
          <w:tcPr>
            <w:tcW w:w="408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La Quinta Holdings, Inc.</w:t>
            </w:r>
          </w:p>
        </w:tc>
        <w:tc>
          <w:tcPr>
            <w:tcW w:w="2020" w:type="dxa"/>
            <w:vAlign w:val="bottom"/>
            <w:shd w:val="clear" w:color="auto" w:fill="CCEEFF"/>
          </w:tcPr>
          <w:p>
            <w:pPr>
              <w:ind w:left="440"/>
              <w:spacing w:after="0" w:line="138" w:lineRule="exact"/>
              <w:rPr>
                <w:sz w:val="20"/>
                <w:szCs w:val="20"/>
                <w:color w:val="auto"/>
              </w:rPr>
            </w:pPr>
            <w:r>
              <w:rPr>
                <w:rFonts w:ascii="Arial" w:cs="Arial" w:eastAsia="Arial" w:hAnsi="Arial"/>
                <w:sz w:val="14"/>
                <w:szCs w:val="14"/>
                <w:color w:val="auto"/>
              </w:rPr>
              <w:t>Lodging &amp; Casinos</w:t>
            </w:r>
          </w:p>
        </w:tc>
        <w:tc>
          <w:tcPr>
            <w:tcW w:w="880" w:type="dxa"/>
            <w:vAlign w:val="bottom"/>
            <w:shd w:val="clear" w:color="auto" w:fill="CCEEFF"/>
          </w:tcPr>
          <w:p>
            <w:pPr>
              <w:ind w:left="120"/>
              <w:spacing w:after="0" w:line="138" w:lineRule="exact"/>
              <w:rPr>
                <w:sz w:val="20"/>
                <w:szCs w:val="20"/>
                <w:color w:val="auto"/>
              </w:rPr>
            </w:pPr>
            <w:r>
              <w:rPr>
                <w:rFonts w:ascii="Arial" w:cs="Arial" w:eastAsia="Arial" w:hAnsi="Arial"/>
                <w:sz w:val="14"/>
                <w:szCs w:val="14"/>
                <w:color w:val="auto"/>
              </w:rPr>
              <w:t>Term Loan</w:t>
            </w:r>
          </w:p>
        </w:tc>
        <w:tc>
          <w:tcPr>
            <w:tcW w:w="560" w:type="dxa"/>
            <w:vAlign w:val="bottom"/>
            <w:shd w:val="clear" w:color="auto" w:fill="CCEEFF"/>
          </w:tcPr>
          <w:p>
            <w:pPr>
              <w:ind w:left="60"/>
              <w:spacing w:after="0" w:line="138" w:lineRule="exact"/>
              <w:rPr>
                <w:sz w:val="20"/>
                <w:szCs w:val="20"/>
                <w:color w:val="auto"/>
              </w:rPr>
            </w:pPr>
            <w:r>
              <w:rPr>
                <w:rFonts w:ascii="Arial" w:cs="Arial" w:eastAsia="Arial" w:hAnsi="Arial"/>
                <w:sz w:val="14"/>
                <w:szCs w:val="14"/>
                <w:color w:val="auto"/>
              </w:rPr>
              <w:t>Loan</w:t>
            </w:r>
          </w:p>
        </w:tc>
        <w:tc>
          <w:tcPr>
            <w:tcW w:w="6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r>
      <w:tr>
        <w:trPr>
          <w:trHeight w:val="159"/>
        </w:trPr>
        <w:tc>
          <w:tcPr>
            <w:tcW w:w="4080" w:type="dxa"/>
            <w:vAlign w:val="bottom"/>
            <w:shd w:val="clear" w:color="auto" w:fill="CCEEFF"/>
          </w:tcPr>
          <w:p>
            <w:pPr>
              <w:spacing w:after="0"/>
              <w:rPr>
                <w:sz w:val="13"/>
                <w:szCs w:val="13"/>
                <w:color w:val="auto"/>
              </w:rPr>
            </w:pPr>
          </w:p>
        </w:tc>
        <w:tc>
          <w:tcPr>
            <w:tcW w:w="2020" w:type="dxa"/>
            <w:vAlign w:val="bottom"/>
            <w:shd w:val="clear" w:color="auto" w:fill="CCEEFF"/>
          </w:tcPr>
          <w:p>
            <w:pPr>
              <w:spacing w:after="0"/>
              <w:rPr>
                <w:sz w:val="13"/>
                <w:szCs w:val="13"/>
                <w:color w:val="auto"/>
              </w:rPr>
            </w:pPr>
          </w:p>
        </w:tc>
        <w:tc>
          <w:tcPr>
            <w:tcW w:w="880" w:type="dxa"/>
            <w:vAlign w:val="bottom"/>
            <w:shd w:val="clear" w:color="auto" w:fill="CCEEFF"/>
          </w:tcPr>
          <w:p>
            <w:pPr>
              <w:ind w:left="120"/>
              <w:spacing w:after="0" w:line="159" w:lineRule="exact"/>
              <w:rPr>
                <w:sz w:val="20"/>
                <w:szCs w:val="20"/>
                <w:color w:val="auto"/>
              </w:rPr>
            </w:pPr>
            <w:r>
              <w:rPr>
                <w:rFonts w:ascii="Arial" w:cs="Arial" w:eastAsia="Arial" w:hAnsi="Arial"/>
                <w:sz w:val="14"/>
                <w:szCs w:val="14"/>
                <w:color w:val="auto"/>
              </w:rPr>
              <w:t>(First Lien)</w:t>
            </w:r>
          </w:p>
        </w:tc>
        <w:tc>
          <w:tcPr>
            <w:tcW w:w="56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4.00%</w:t>
            </w:r>
          </w:p>
        </w:tc>
        <w:tc>
          <w:tcPr>
            <w:tcW w:w="7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4/14/2021</w:t>
            </w:r>
          </w:p>
        </w:tc>
        <w:tc>
          <w:tcPr>
            <w:tcW w:w="1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112"/>
              <w:spacing w:after="0" w:line="159" w:lineRule="exact"/>
              <w:rPr>
                <w:sz w:val="20"/>
                <w:szCs w:val="20"/>
                <w:color w:val="auto"/>
              </w:rPr>
            </w:pPr>
            <w:r>
              <w:rPr>
                <w:rFonts w:ascii="Arial" w:cs="Arial" w:eastAsia="Arial" w:hAnsi="Arial"/>
                <w:sz w:val="14"/>
                <w:szCs w:val="14"/>
                <w:color w:val="auto"/>
              </w:rPr>
              <w:t>451,283</w:t>
            </w:r>
          </w:p>
        </w:tc>
        <w:tc>
          <w:tcPr>
            <w:tcW w:w="900" w:type="dxa"/>
            <w:vAlign w:val="bottom"/>
            <w:shd w:val="clear" w:color="auto" w:fill="CCEEFF"/>
          </w:tcPr>
          <w:p>
            <w:pPr>
              <w:jc w:val="right"/>
              <w:ind w:right="112"/>
              <w:spacing w:after="0" w:line="159" w:lineRule="exact"/>
              <w:rPr>
                <w:sz w:val="20"/>
                <w:szCs w:val="20"/>
                <w:color w:val="auto"/>
              </w:rPr>
            </w:pPr>
            <w:r>
              <w:rPr>
                <w:rFonts w:ascii="Arial" w:cs="Arial" w:eastAsia="Arial" w:hAnsi="Arial"/>
                <w:sz w:val="14"/>
                <w:szCs w:val="14"/>
                <w:color w:val="auto"/>
              </w:rPr>
              <w:t>449,626</w:t>
            </w:r>
          </w:p>
        </w:tc>
        <w:tc>
          <w:tcPr>
            <w:tcW w:w="8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450,719</w:t>
            </w:r>
          </w:p>
        </w:tc>
      </w:tr>
      <w:tr>
        <w:trPr>
          <w:trHeight w:val="138"/>
        </w:trPr>
        <w:tc>
          <w:tcPr>
            <w:tcW w:w="4080" w:type="dxa"/>
            <w:vAlign w:val="bottom"/>
          </w:tcPr>
          <w:p>
            <w:pPr>
              <w:spacing w:after="0" w:line="138" w:lineRule="exact"/>
              <w:rPr>
                <w:sz w:val="20"/>
                <w:szCs w:val="20"/>
                <w:color w:val="auto"/>
              </w:rPr>
            </w:pPr>
            <w:r>
              <w:rPr>
                <w:rFonts w:ascii="Arial" w:cs="Arial" w:eastAsia="Arial" w:hAnsi="Arial"/>
                <w:sz w:val="14"/>
                <w:szCs w:val="14"/>
                <w:color w:val="auto"/>
              </w:rPr>
              <w:t>Level 3 Financing, Inc.</w:t>
            </w:r>
          </w:p>
        </w:tc>
        <w:tc>
          <w:tcPr>
            <w:tcW w:w="2020" w:type="dxa"/>
            <w:vAlign w:val="bottom"/>
          </w:tcPr>
          <w:p>
            <w:pPr>
              <w:ind w:left="440"/>
              <w:spacing w:after="0" w:line="138" w:lineRule="exact"/>
              <w:rPr>
                <w:sz w:val="20"/>
                <w:szCs w:val="20"/>
                <w:color w:val="auto"/>
              </w:rPr>
            </w:pPr>
            <w:r>
              <w:rPr>
                <w:rFonts w:ascii="Arial" w:cs="Arial" w:eastAsia="Arial" w:hAnsi="Arial"/>
                <w:sz w:val="14"/>
                <w:szCs w:val="14"/>
                <w:color w:val="auto"/>
              </w:rPr>
              <w:t>Telecommunications</w:t>
            </w:r>
          </w:p>
        </w:tc>
        <w:tc>
          <w:tcPr>
            <w:tcW w:w="880" w:type="dxa"/>
            <w:vAlign w:val="bottom"/>
          </w:tcPr>
          <w:p>
            <w:pPr>
              <w:ind w:left="120"/>
              <w:spacing w:after="0" w:line="138" w:lineRule="exact"/>
              <w:rPr>
                <w:sz w:val="20"/>
                <w:szCs w:val="20"/>
                <w:color w:val="auto"/>
              </w:rPr>
            </w:pPr>
            <w:r>
              <w:rPr>
                <w:rFonts w:ascii="Arial" w:cs="Arial" w:eastAsia="Arial" w:hAnsi="Arial"/>
                <w:sz w:val="14"/>
                <w:szCs w:val="14"/>
                <w:color w:val="auto"/>
              </w:rPr>
              <w:t>Term Loan</w:t>
            </w:r>
          </w:p>
        </w:tc>
        <w:tc>
          <w:tcPr>
            <w:tcW w:w="560" w:type="dxa"/>
            <w:vAlign w:val="bottom"/>
          </w:tcPr>
          <w:p>
            <w:pPr>
              <w:ind w:left="60"/>
              <w:spacing w:after="0" w:line="138" w:lineRule="exact"/>
              <w:rPr>
                <w:sz w:val="20"/>
                <w:szCs w:val="20"/>
                <w:color w:val="auto"/>
              </w:rPr>
            </w:pPr>
            <w:r>
              <w:rPr>
                <w:rFonts w:ascii="Arial" w:cs="Arial" w:eastAsia="Arial" w:hAnsi="Arial"/>
                <w:sz w:val="14"/>
                <w:szCs w:val="14"/>
                <w:color w:val="auto"/>
              </w:rPr>
              <w:t>Loan</w:t>
            </w: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59"/>
        </w:trPr>
        <w:tc>
          <w:tcPr>
            <w:tcW w:w="408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880" w:type="dxa"/>
            <w:vAlign w:val="bottom"/>
          </w:tcPr>
          <w:p>
            <w:pPr>
              <w:ind w:left="120"/>
              <w:spacing w:after="0" w:line="159" w:lineRule="exact"/>
              <w:rPr>
                <w:sz w:val="20"/>
                <w:szCs w:val="20"/>
                <w:color w:val="auto"/>
              </w:rPr>
            </w:pPr>
            <w:r>
              <w:rPr>
                <w:rFonts w:ascii="Arial" w:cs="Arial" w:eastAsia="Arial" w:hAnsi="Arial"/>
                <w:sz w:val="14"/>
                <w:szCs w:val="14"/>
                <w:color w:val="auto"/>
              </w:rPr>
              <w:t>B</w:t>
            </w:r>
          </w:p>
        </w:tc>
        <w:tc>
          <w:tcPr>
            <w:tcW w:w="560" w:type="dxa"/>
            <w:vAlign w:val="bottom"/>
          </w:tcPr>
          <w:p>
            <w:pPr>
              <w:spacing w:after="0"/>
              <w:rPr>
                <w:sz w:val="13"/>
                <w:szCs w:val="13"/>
                <w:color w:val="auto"/>
              </w:rPr>
            </w:pPr>
          </w:p>
        </w:tc>
        <w:tc>
          <w:tcPr>
            <w:tcW w:w="640" w:type="dxa"/>
            <w:vAlign w:val="bottom"/>
          </w:tcPr>
          <w:p>
            <w:pPr>
              <w:jc w:val="right"/>
              <w:spacing w:after="0" w:line="159" w:lineRule="exact"/>
              <w:rPr>
                <w:sz w:val="20"/>
                <w:szCs w:val="20"/>
                <w:color w:val="auto"/>
              </w:rPr>
            </w:pPr>
            <w:r>
              <w:rPr>
                <w:rFonts w:ascii="Arial" w:cs="Arial" w:eastAsia="Arial" w:hAnsi="Arial"/>
                <w:sz w:val="14"/>
                <w:szCs w:val="14"/>
                <w:color w:val="auto"/>
              </w:rPr>
              <w:t>4.50%</w:t>
            </w:r>
          </w:p>
        </w:tc>
        <w:tc>
          <w:tcPr>
            <w:tcW w:w="700" w:type="dxa"/>
            <w:vAlign w:val="bottom"/>
          </w:tcPr>
          <w:p>
            <w:pPr>
              <w:jc w:val="right"/>
              <w:spacing w:after="0" w:line="159" w:lineRule="exact"/>
              <w:rPr>
                <w:sz w:val="20"/>
                <w:szCs w:val="20"/>
                <w:color w:val="auto"/>
              </w:rPr>
            </w:pPr>
            <w:r>
              <w:rPr>
                <w:rFonts w:ascii="Arial" w:cs="Arial" w:eastAsia="Arial" w:hAnsi="Arial"/>
                <w:sz w:val="14"/>
                <w:szCs w:val="14"/>
                <w:color w:val="auto"/>
              </w:rPr>
              <w:t>1/31/2022</w:t>
            </w:r>
          </w:p>
        </w:tc>
        <w:tc>
          <w:tcPr>
            <w:tcW w:w="12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112"/>
              <w:spacing w:after="0" w:line="159" w:lineRule="exact"/>
              <w:rPr>
                <w:sz w:val="20"/>
                <w:szCs w:val="20"/>
                <w:color w:val="auto"/>
              </w:rPr>
            </w:pPr>
            <w:r>
              <w:rPr>
                <w:rFonts w:ascii="Arial" w:cs="Arial" w:eastAsia="Arial" w:hAnsi="Arial"/>
                <w:sz w:val="14"/>
                <w:szCs w:val="14"/>
                <w:color w:val="auto"/>
              </w:rPr>
              <w:t>500,000</w:t>
            </w:r>
          </w:p>
        </w:tc>
        <w:tc>
          <w:tcPr>
            <w:tcW w:w="900" w:type="dxa"/>
            <w:vAlign w:val="bottom"/>
          </w:tcPr>
          <w:p>
            <w:pPr>
              <w:jc w:val="right"/>
              <w:ind w:right="112"/>
              <w:spacing w:after="0" w:line="159" w:lineRule="exact"/>
              <w:rPr>
                <w:sz w:val="20"/>
                <w:szCs w:val="20"/>
                <w:color w:val="auto"/>
              </w:rPr>
            </w:pPr>
            <w:r>
              <w:rPr>
                <w:rFonts w:ascii="Arial" w:cs="Arial" w:eastAsia="Arial" w:hAnsi="Arial"/>
                <w:sz w:val="14"/>
                <w:szCs w:val="14"/>
                <w:color w:val="auto"/>
              </w:rPr>
              <w:t>496,541</w:t>
            </w:r>
          </w:p>
        </w:tc>
        <w:tc>
          <w:tcPr>
            <w:tcW w:w="800" w:type="dxa"/>
            <w:vAlign w:val="bottom"/>
          </w:tcPr>
          <w:p>
            <w:pPr>
              <w:jc w:val="right"/>
              <w:spacing w:after="0" w:line="159" w:lineRule="exact"/>
              <w:rPr>
                <w:sz w:val="20"/>
                <w:szCs w:val="20"/>
                <w:color w:val="auto"/>
              </w:rPr>
            </w:pPr>
            <w:r>
              <w:rPr>
                <w:rFonts w:ascii="Arial" w:cs="Arial" w:eastAsia="Arial" w:hAnsi="Arial"/>
                <w:sz w:val="14"/>
                <w:szCs w:val="14"/>
                <w:color w:val="auto"/>
              </w:rPr>
              <w:t>502,085</w:t>
            </w:r>
          </w:p>
        </w:tc>
      </w:tr>
      <w:tr>
        <w:trPr>
          <w:trHeight w:val="149"/>
        </w:trPr>
        <w:tc>
          <w:tcPr>
            <w:tcW w:w="4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Mauser Holdings, Inc.</w:t>
            </w:r>
          </w:p>
        </w:tc>
        <w:tc>
          <w:tcPr>
            <w:tcW w:w="202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w w:val="93"/>
              </w:rPr>
              <w:t>Containers/Glass Products</w:t>
            </w:r>
          </w:p>
        </w:tc>
        <w:tc>
          <w:tcPr>
            <w:tcW w:w="88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Term Loan</w:t>
            </w:r>
          </w:p>
        </w:tc>
        <w:tc>
          <w:tcPr>
            <w:tcW w:w="56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Loan</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4.50%</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7/31/2021</w:t>
            </w: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498,750</w:t>
            </w:r>
          </w:p>
        </w:tc>
        <w:tc>
          <w:tcPr>
            <w:tcW w:w="90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496,409</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491,269</w:t>
            </w:r>
          </w:p>
        </w:tc>
      </w:tr>
      <w:tr>
        <w:trPr>
          <w:trHeight w:val="138"/>
        </w:trPr>
        <w:tc>
          <w:tcPr>
            <w:tcW w:w="4080" w:type="dxa"/>
            <w:vAlign w:val="bottom"/>
          </w:tcPr>
          <w:p>
            <w:pPr>
              <w:spacing w:after="0" w:line="138" w:lineRule="exact"/>
              <w:rPr>
                <w:sz w:val="20"/>
                <w:szCs w:val="20"/>
                <w:color w:val="auto"/>
              </w:rPr>
            </w:pPr>
            <w:r>
              <w:rPr>
                <w:rFonts w:ascii="Arial" w:cs="Arial" w:eastAsia="Arial" w:hAnsi="Arial"/>
                <w:sz w:val="14"/>
                <w:szCs w:val="14"/>
                <w:color w:val="auto"/>
              </w:rPr>
              <w:t>Michaels Stores, Inc.</w:t>
            </w:r>
          </w:p>
        </w:tc>
        <w:tc>
          <w:tcPr>
            <w:tcW w:w="2020" w:type="dxa"/>
            <w:vAlign w:val="bottom"/>
          </w:tcPr>
          <w:p>
            <w:pPr>
              <w:ind w:left="440"/>
              <w:spacing w:after="0" w:line="138" w:lineRule="exact"/>
              <w:rPr>
                <w:sz w:val="20"/>
                <w:szCs w:val="20"/>
                <w:color w:val="auto"/>
              </w:rPr>
            </w:pPr>
            <w:r>
              <w:rPr>
                <w:rFonts w:ascii="Arial" w:cs="Arial" w:eastAsia="Arial" w:hAnsi="Arial"/>
                <w:sz w:val="14"/>
                <w:szCs w:val="14"/>
                <w:color w:val="auto"/>
                <w:w w:val="91"/>
              </w:rPr>
              <w:t>Retailers (Except Food and</w:t>
            </w:r>
          </w:p>
        </w:tc>
        <w:tc>
          <w:tcPr>
            <w:tcW w:w="880" w:type="dxa"/>
            <w:vAlign w:val="bottom"/>
          </w:tcPr>
          <w:p>
            <w:pPr>
              <w:ind w:left="120"/>
              <w:spacing w:after="0" w:line="138" w:lineRule="exact"/>
              <w:rPr>
                <w:sz w:val="20"/>
                <w:szCs w:val="20"/>
                <w:color w:val="auto"/>
              </w:rPr>
            </w:pPr>
            <w:r>
              <w:rPr>
                <w:rFonts w:ascii="Arial" w:cs="Arial" w:eastAsia="Arial" w:hAnsi="Arial"/>
                <w:sz w:val="14"/>
                <w:szCs w:val="14"/>
                <w:color w:val="auto"/>
              </w:rPr>
              <w:t>Term B</w:t>
            </w:r>
          </w:p>
        </w:tc>
        <w:tc>
          <w:tcPr>
            <w:tcW w:w="560" w:type="dxa"/>
            <w:vAlign w:val="bottom"/>
          </w:tcPr>
          <w:p>
            <w:pPr>
              <w:ind w:left="60"/>
              <w:spacing w:after="0" w:line="138" w:lineRule="exact"/>
              <w:rPr>
                <w:sz w:val="20"/>
                <w:szCs w:val="20"/>
                <w:color w:val="auto"/>
              </w:rPr>
            </w:pPr>
            <w:r>
              <w:rPr>
                <w:rFonts w:ascii="Arial" w:cs="Arial" w:eastAsia="Arial" w:hAnsi="Arial"/>
                <w:sz w:val="14"/>
                <w:szCs w:val="14"/>
                <w:color w:val="auto"/>
              </w:rPr>
              <w:t>Loan</w:t>
            </w: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59"/>
        </w:trPr>
        <w:tc>
          <w:tcPr>
            <w:tcW w:w="4080" w:type="dxa"/>
            <w:vAlign w:val="bottom"/>
          </w:tcPr>
          <w:p>
            <w:pPr>
              <w:spacing w:after="0"/>
              <w:rPr>
                <w:sz w:val="13"/>
                <w:szCs w:val="13"/>
                <w:color w:val="auto"/>
              </w:rPr>
            </w:pPr>
          </w:p>
        </w:tc>
        <w:tc>
          <w:tcPr>
            <w:tcW w:w="2020" w:type="dxa"/>
            <w:vAlign w:val="bottom"/>
          </w:tcPr>
          <w:p>
            <w:pPr>
              <w:ind w:left="440"/>
              <w:spacing w:after="0" w:line="159" w:lineRule="exact"/>
              <w:rPr>
                <w:sz w:val="20"/>
                <w:szCs w:val="20"/>
                <w:color w:val="auto"/>
              </w:rPr>
            </w:pPr>
            <w:r>
              <w:rPr>
                <w:rFonts w:ascii="Arial" w:cs="Arial" w:eastAsia="Arial" w:hAnsi="Arial"/>
                <w:sz w:val="14"/>
                <w:szCs w:val="14"/>
                <w:color w:val="auto"/>
              </w:rPr>
              <w:t>Drugs)</w:t>
            </w:r>
          </w:p>
        </w:tc>
        <w:tc>
          <w:tcPr>
            <w:tcW w:w="880" w:type="dxa"/>
            <w:vAlign w:val="bottom"/>
          </w:tcPr>
          <w:p>
            <w:pPr>
              <w:ind w:left="120"/>
              <w:spacing w:after="0" w:line="159" w:lineRule="exact"/>
              <w:rPr>
                <w:sz w:val="20"/>
                <w:szCs w:val="20"/>
                <w:color w:val="auto"/>
              </w:rPr>
            </w:pPr>
            <w:r>
              <w:rPr>
                <w:rFonts w:ascii="Arial" w:cs="Arial" w:eastAsia="Arial" w:hAnsi="Arial"/>
                <w:sz w:val="14"/>
                <w:szCs w:val="14"/>
                <w:color w:val="auto"/>
              </w:rPr>
              <w:t>Loan</w:t>
            </w:r>
          </w:p>
        </w:tc>
        <w:tc>
          <w:tcPr>
            <w:tcW w:w="560" w:type="dxa"/>
            <w:vAlign w:val="bottom"/>
          </w:tcPr>
          <w:p>
            <w:pPr>
              <w:spacing w:after="0"/>
              <w:rPr>
                <w:sz w:val="13"/>
                <w:szCs w:val="13"/>
                <w:color w:val="auto"/>
              </w:rPr>
            </w:pPr>
          </w:p>
        </w:tc>
        <w:tc>
          <w:tcPr>
            <w:tcW w:w="640" w:type="dxa"/>
            <w:vAlign w:val="bottom"/>
          </w:tcPr>
          <w:p>
            <w:pPr>
              <w:jc w:val="right"/>
              <w:spacing w:after="0" w:line="159" w:lineRule="exact"/>
              <w:rPr>
                <w:sz w:val="20"/>
                <w:szCs w:val="20"/>
                <w:color w:val="auto"/>
              </w:rPr>
            </w:pPr>
            <w:r>
              <w:rPr>
                <w:rFonts w:ascii="Arial" w:cs="Arial" w:eastAsia="Arial" w:hAnsi="Arial"/>
                <w:sz w:val="14"/>
                <w:szCs w:val="14"/>
                <w:color w:val="auto"/>
              </w:rPr>
              <w:t>3.75%</w:t>
            </w:r>
          </w:p>
        </w:tc>
        <w:tc>
          <w:tcPr>
            <w:tcW w:w="700" w:type="dxa"/>
            <w:vAlign w:val="bottom"/>
          </w:tcPr>
          <w:p>
            <w:pPr>
              <w:jc w:val="right"/>
              <w:spacing w:after="0" w:line="159" w:lineRule="exact"/>
              <w:rPr>
                <w:sz w:val="20"/>
                <w:szCs w:val="20"/>
                <w:color w:val="auto"/>
              </w:rPr>
            </w:pPr>
            <w:r>
              <w:rPr>
                <w:rFonts w:ascii="Arial" w:cs="Arial" w:eastAsia="Arial" w:hAnsi="Arial"/>
                <w:sz w:val="14"/>
                <w:szCs w:val="14"/>
                <w:color w:val="auto"/>
              </w:rPr>
              <w:t>1/28/2020</w:t>
            </w:r>
          </w:p>
        </w:tc>
        <w:tc>
          <w:tcPr>
            <w:tcW w:w="12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112"/>
              <w:spacing w:after="0" w:line="159" w:lineRule="exact"/>
              <w:rPr>
                <w:sz w:val="20"/>
                <w:szCs w:val="20"/>
                <w:color w:val="auto"/>
              </w:rPr>
            </w:pPr>
            <w:r>
              <w:rPr>
                <w:rFonts w:ascii="Arial" w:cs="Arial" w:eastAsia="Arial" w:hAnsi="Arial"/>
                <w:sz w:val="14"/>
                <w:szCs w:val="14"/>
                <w:color w:val="auto"/>
              </w:rPr>
              <w:t>491,250</w:t>
            </w:r>
          </w:p>
        </w:tc>
        <w:tc>
          <w:tcPr>
            <w:tcW w:w="900" w:type="dxa"/>
            <w:vAlign w:val="bottom"/>
          </w:tcPr>
          <w:p>
            <w:pPr>
              <w:jc w:val="right"/>
              <w:ind w:right="112"/>
              <w:spacing w:after="0" w:line="159" w:lineRule="exact"/>
              <w:rPr>
                <w:sz w:val="20"/>
                <w:szCs w:val="20"/>
                <w:color w:val="auto"/>
              </w:rPr>
            </w:pPr>
            <w:r>
              <w:rPr>
                <w:rFonts w:ascii="Arial" w:cs="Arial" w:eastAsia="Arial" w:hAnsi="Arial"/>
                <w:sz w:val="14"/>
                <w:szCs w:val="14"/>
                <w:color w:val="auto"/>
              </w:rPr>
              <w:t>491,250</w:t>
            </w:r>
          </w:p>
        </w:tc>
        <w:tc>
          <w:tcPr>
            <w:tcW w:w="800" w:type="dxa"/>
            <w:vAlign w:val="bottom"/>
          </w:tcPr>
          <w:p>
            <w:pPr>
              <w:jc w:val="right"/>
              <w:spacing w:after="0" w:line="159" w:lineRule="exact"/>
              <w:rPr>
                <w:sz w:val="20"/>
                <w:szCs w:val="20"/>
                <w:color w:val="auto"/>
              </w:rPr>
            </w:pPr>
            <w:r>
              <w:rPr>
                <w:rFonts w:ascii="Arial" w:cs="Arial" w:eastAsia="Arial" w:hAnsi="Arial"/>
                <w:sz w:val="14"/>
                <w:szCs w:val="14"/>
                <w:color w:val="auto"/>
              </w:rPr>
              <w:t>488,258</w:t>
            </w:r>
          </w:p>
        </w:tc>
      </w:tr>
      <w:tr>
        <w:trPr>
          <w:trHeight w:val="138"/>
        </w:trPr>
        <w:tc>
          <w:tcPr>
            <w:tcW w:w="408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Michaels Stores, Inc.</w:t>
            </w:r>
          </w:p>
        </w:tc>
        <w:tc>
          <w:tcPr>
            <w:tcW w:w="2020" w:type="dxa"/>
            <w:vAlign w:val="bottom"/>
            <w:shd w:val="clear" w:color="auto" w:fill="CCEEFF"/>
          </w:tcPr>
          <w:p>
            <w:pPr>
              <w:ind w:left="440"/>
              <w:spacing w:after="0" w:line="138" w:lineRule="exact"/>
              <w:rPr>
                <w:sz w:val="20"/>
                <w:szCs w:val="20"/>
                <w:color w:val="auto"/>
              </w:rPr>
            </w:pPr>
            <w:r>
              <w:rPr>
                <w:rFonts w:ascii="Arial" w:cs="Arial" w:eastAsia="Arial" w:hAnsi="Arial"/>
                <w:sz w:val="14"/>
                <w:szCs w:val="14"/>
                <w:color w:val="auto"/>
                <w:w w:val="91"/>
              </w:rPr>
              <w:t>Retailers (Except Food and</w:t>
            </w:r>
          </w:p>
        </w:tc>
        <w:tc>
          <w:tcPr>
            <w:tcW w:w="880" w:type="dxa"/>
            <w:vAlign w:val="bottom"/>
            <w:shd w:val="clear" w:color="auto" w:fill="CCEEFF"/>
          </w:tcPr>
          <w:p>
            <w:pPr>
              <w:ind w:left="120"/>
              <w:spacing w:after="0" w:line="138" w:lineRule="exact"/>
              <w:rPr>
                <w:sz w:val="20"/>
                <w:szCs w:val="20"/>
                <w:color w:val="auto"/>
              </w:rPr>
            </w:pPr>
            <w:r>
              <w:rPr>
                <w:rFonts w:ascii="Arial" w:cs="Arial" w:eastAsia="Arial" w:hAnsi="Arial"/>
                <w:sz w:val="14"/>
                <w:szCs w:val="14"/>
                <w:color w:val="auto"/>
              </w:rPr>
              <w:t>Term Loan</w:t>
            </w:r>
          </w:p>
        </w:tc>
        <w:tc>
          <w:tcPr>
            <w:tcW w:w="560" w:type="dxa"/>
            <w:vAlign w:val="bottom"/>
            <w:shd w:val="clear" w:color="auto" w:fill="CCEEFF"/>
          </w:tcPr>
          <w:p>
            <w:pPr>
              <w:ind w:left="60"/>
              <w:spacing w:after="0" w:line="138" w:lineRule="exact"/>
              <w:rPr>
                <w:sz w:val="20"/>
                <w:szCs w:val="20"/>
                <w:color w:val="auto"/>
              </w:rPr>
            </w:pPr>
            <w:r>
              <w:rPr>
                <w:rFonts w:ascii="Arial" w:cs="Arial" w:eastAsia="Arial" w:hAnsi="Arial"/>
                <w:sz w:val="14"/>
                <w:szCs w:val="14"/>
                <w:color w:val="auto"/>
              </w:rPr>
              <w:t>Loan</w:t>
            </w:r>
          </w:p>
        </w:tc>
        <w:tc>
          <w:tcPr>
            <w:tcW w:w="6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r>
      <w:tr>
        <w:trPr>
          <w:trHeight w:val="159"/>
        </w:trPr>
        <w:tc>
          <w:tcPr>
            <w:tcW w:w="4080" w:type="dxa"/>
            <w:vAlign w:val="bottom"/>
            <w:shd w:val="clear" w:color="auto" w:fill="CCEEFF"/>
          </w:tcPr>
          <w:p>
            <w:pPr>
              <w:spacing w:after="0"/>
              <w:rPr>
                <w:sz w:val="13"/>
                <w:szCs w:val="13"/>
                <w:color w:val="auto"/>
              </w:rPr>
            </w:pPr>
          </w:p>
        </w:tc>
        <w:tc>
          <w:tcPr>
            <w:tcW w:w="2020" w:type="dxa"/>
            <w:vAlign w:val="bottom"/>
            <w:shd w:val="clear" w:color="auto" w:fill="CCEEFF"/>
          </w:tcPr>
          <w:p>
            <w:pPr>
              <w:ind w:left="440"/>
              <w:spacing w:after="0" w:line="159" w:lineRule="exact"/>
              <w:rPr>
                <w:sz w:val="20"/>
                <w:szCs w:val="20"/>
                <w:color w:val="auto"/>
              </w:rPr>
            </w:pPr>
            <w:r>
              <w:rPr>
                <w:rFonts w:ascii="Arial" w:cs="Arial" w:eastAsia="Arial" w:hAnsi="Arial"/>
                <w:sz w:val="14"/>
                <w:szCs w:val="14"/>
                <w:color w:val="auto"/>
              </w:rPr>
              <w:t>Drugs)</w:t>
            </w:r>
          </w:p>
        </w:tc>
        <w:tc>
          <w:tcPr>
            <w:tcW w:w="880" w:type="dxa"/>
            <w:vAlign w:val="bottom"/>
            <w:shd w:val="clear" w:color="auto" w:fill="CCEEFF"/>
          </w:tcPr>
          <w:p>
            <w:pPr>
              <w:ind w:left="120"/>
              <w:spacing w:after="0" w:line="159" w:lineRule="exact"/>
              <w:rPr>
                <w:sz w:val="20"/>
                <w:szCs w:val="20"/>
                <w:color w:val="auto"/>
              </w:rPr>
            </w:pPr>
            <w:r>
              <w:rPr>
                <w:rFonts w:ascii="Arial" w:cs="Arial" w:eastAsia="Arial" w:hAnsi="Arial"/>
                <w:sz w:val="14"/>
                <w:szCs w:val="14"/>
                <w:color w:val="auto"/>
              </w:rPr>
              <w:t>B-2</w:t>
            </w:r>
          </w:p>
        </w:tc>
        <w:tc>
          <w:tcPr>
            <w:tcW w:w="56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4.00%</w:t>
            </w:r>
          </w:p>
        </w:tc>
        <w:tc>
          <w:tcPr>
            <w:tcW w:w="7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1/28/2020</w:t>
            </w:r>
          </w:p>
        </w:tc>
        <w:tc>
          <w:tcPr>
            <w:tcW w:w="1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112"/>
              <w:spacing w:after="0" w:line="159" w:lineRule="exact"/>
              <w:rPr>
                <w:sz w:val="20"/>
                <w:szCs w:val="20"/>
                <w:color w:val="auto"/>
              </w:rPr>
            </w:pPr>
            <w:r>
              <w:rPr>
                <w:rFonts w:ascii="Arial" w:cs="Arial" w:eastAsia="Arial" w:hAnsi="Arial"/>
                <w:sz w:val="14"/>
                <w:szCs w:val="14"/>
                <w:color w:val="auto"/>
                <w:w w:val="83"/>
              </w:rPr>
              <w:t>1,492,500</w:t>
            </w:r>
          </w:p>
        </w:tc>
        <w:tc>
          <w:tcPr>
            <w:tcW w:w="900" w:type="dxa"/>
            <w:vAlign w:val="bottom"/>
            <w:shd w:val="clear" w:color="auto" w:fill="CCEEFF"/>
          </w:tcPr>
          <w:p>
            <w:pPr>
              <w:jc w:val="right"/>
              <w:ind w:right="112"/>
              <w:spacing w:after="0" w:line="159" w:lineRule="exact"/>
              <w:rPr>
                <w:sz w:val="20"/>
                <w:szCs w:val="20"/>
                <w:color w:val="auto"/>
              </w:rPr>
            </w:pPr>
            <w:r>
              <w:rPr>
                <w:rFonts w:ascii="Arial" w:cs="Arial" w:eastAsia="Arial" w:hAnsi="Arial"/>
                <w:sz w:val="14"/>
                <w:szCs w:val="14"/>
                <w:color w:val="auto"/>
              </w:rPr>
              <w:t>1,485,638</w:t>
            </w:r>
          </w:p>
        </w:tc>
        <w:tc>
          <w:tcPr>
            <w:tcW w:w="8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1,488,769</w:t>
            </w:r>
          </w:p>
        </w:tc>
      </w:tr>
      <w:tr>
        <w:trPr>
          <w:trHeight w:val="138"/>
        </w:trPr>
        <w:tc>
          <w:tcPr>
            <w:tcW w:w="4080" w:type="dxa"/>
            <w:vAlign w:val="bottom"/>
          </w:tcPr>
          <w:p>
            <w:pPr>
              <w:spacing w:after="0" w:line="138" w:lineRule="exact"/>
              <w:rPr>
                <w:sz w:val="20"/>
                <w:szCs w:val="20"/>
                <w:color w:val="auto"/>
              </w:rPr>
            </w:pPr>
            <w:r>
              <w:rPr>
                <w:rFonts w:ascii="Arial" w:cs="Arial" w:eastAsia="Arial" w:hAnsi="Arial"/>
                <w:sz w:val="14"/>
                <w:szCs w:val="14"/>
                <w:color w:val="auto"/>
              </w:rPr>
              <w:t>Microsemi Corporation</w:t>
            </w:r>
          </w:p>
        </w:tc>
        <w:tc>
          <w:tcPr>
            <w:tcW w:w="2020" w:type="dxa"/>
            <w:vAlign w:val="bottom"/>
          </w:tcPr>
          <w:p>
            <w:pPr>
              <w:ind w:left="440"/>
              <w:spacing w:after="0" w:line="138" w:lineRule="exact"/>
              <w:rPr>
                <w:sz w:val="20"/>
                <w:szCs w:val="20"/>
                <w:color w:val="auto"/>
              </w:rPr>
            </w:pPr>
            <w:r>
              <w:rPr>
                <w:rFonts w:ascii="Arial" w:cs="Arial" w:eastAsia="Arial" w:hAnsi="Arial"/>
                <w:sz w:val="14"/>
                <w:szCs w:val="14"/>
                <w:color w:val="auto"/>
              </w:rPr>
              <w:t>Electronics/Electric</w:t>
            </w:r>
          </w:p>
        </w:tc>
        <w:tc>
          <w:tcPr>
            <w:tcW w:w="880" w:type="dxa"/>
            <w:vAlign w:val="bottom"/>
          </w:tcPr>
          <w:p>
            <w:pPr>
              <w:ind w:left="120"/>
              <w:spacing w:after="0" w:line="138" w:lineRule="exact"/>
              <w:rPr>
                <w:sz w:val="20"/>
                <w:szCs w:val="20"/>
                <w:color w:val="auto"/>
              </w:rPr>
            </w:pPr>
            <w:r>
              <w:rPr>
                <w:rFonts w:ascii="Arial" w:cs="Arial" w:eastAsia="Arial" w:hAnsi="Arial"/>
                <w:sz w:val="14"/>
                <w:szCs w:val="14"/>
                <w:color w:val="auto"/>
              </w:rPr>
              <w:t>Incremental</w:t>
            </w:r>
          </w:p>
        </w:tc>
        <w:tc>
          <w:tcPr>
            <w:tcW w:w="560" w:type="dxa"/>
            <w:vAlign w:val="bottom"/>
          </w:tcPr>
          <w:p>
            <w:pPr>
              <w:ind w:left="60"/>
              <w:spacing w:after="0" w:line="138" w:lineRule="exact"/>
              <w:rPr>
                <w:sz w:val="20"/>
                <w:szCs w:val="20"/>
                <w:color w:val="auto"/>
              </w:rPr>
            </w:pPr>
            <w:r>
              <w:rPr>
                <w:rFonts w:ascii="Arial" w:cs="Arial" w:eastAsia="Arial" w:hAnsi="Arial"/>
                <w:sz w:val="14"/>
                <w:szCs w:val="14"/>
                <w:color w:val="auto"/>
              </w:rPr>
              <w:t>Loan</w:t>
            </w: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59"/>
        </w:trPr>
        <w:tc>
          <w:tcPr>
            <w:tcW w:w="408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880" w:type="dxa"/>
            <w:vAlign w:val="bottom"/>
          </w:tcPr>
          <w:p>
            <w:pPr>
              <w:ind w:left="120"/>
              <w:spacing w:after="0" w:line="159" w:lineRule="exact"/>
              <w:rPr>
                <w:sz w:val="20"/>
                <w:szCs w:val="20"/>
                <w:color w:val="auto"/>
              </w:rPr>
            </w:pPr>
            <w:r>
              <w:rPr>
                <w:rFonts w:ascii="Arial" w:cs="Arial" w:eastAsia="Arial" w:hAnsi="Arial"/>
                <w:sz w:val="14"/>
                <w:szCs w:val="14"/>
                <w:color w:val="auto"/>
              </w:rPr>
              <w:t>Term Loan</w:t>
            </w:r>
          </w:p>
        </w:tc>
        <w:tc>
          <w:tcPr>
            <w:tcW w:w="560" w:type="dxa"/>
            <w:vAlign w:val="bottom"/>
          </w:tcPr>
          <w:p>
            <w:pPr>
              <w:spacing w:after="0"/>
              <w:rPr>
                <w:sz w:val="13"/>
                <w:szCs w:val="13"/>
                <w:color w:val="auto"/>
              </w:rPr>
            </w:pPr>
          </w:p>
        </w:tc>
        <w:tc>
          <w:tcPr>
            <w:tcW w:w="640" w:type="dxa"/>
            <w:vAlign w:val="bottom"/>
          </w:tcPr>
          <w:p>
            <w:pPr>
              <w:jc w:val="right"/>
              <w:spacing w:after="0" w:line="159" w:lineRule="exact"/>
              <w:rPr>
                <w:sz w:val="20"/>
                <w:szCs w:val="20"/>
                <w:color w:val="auto"/>
              </w:rPr>
            </w:pPr>
            <w:r>
              <w:rPr>
                <w:rFonts w:ascii="Arial" w:cs="Arial" w:eastAsia="Arial" w:hAnsi="Arial"/>
                <w:sz w:val="14"/>
                <w:szCs w:val="14"/>
                <w:color w:val="auto"/>
              </w:rPr>
              <w:t>3.50%</w:t>
            </w:r>
          </w:p>
        </w:tc>
        <w:tc>
          <w:tcPr>
            <w:tcW w:w="700" w:type="dxa"/>
            <w:vAlign w:val="bottom"/>
          </w:tcPr>
          <w:p>
            <w:pPr>
              <w:jc w:val="right"/>
              <w:spacing w:after="0" w:line="159" w:lineRule="exact"/>
              <w:rPr>
                <w:sz w:val="20"/>
                <w:szCs w:val="20"/>
                <w:color w:val="auto"/>
              </w:rPr>
            </w:pPr>
            <w:r>
              <w:rPr>
                <w:rFonts w:ascii="Arial" w:cs="Arial" w:eastAsia="Arial" w:hAnsi="Arial"/>
                <w:sz w:val="14"/>
                <w:szCs w:val="14"/>
                <w:color w:val="auto"/>
              </w:rPr>
              <w:t>2/19/2020</w:t>
            </w:r>
          </w:p>
        </w:tc>
        <w:tc>
          <w:tcPr>
            <w:tcW w:w="12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112"/>
              <w:spacing w:after="0" w:line="159" w:lineRule="exact"/>
              <w:rPr>
                <w:sz w:val="20"/>
                <w:szCs w:val="20"/>
                <w:color w:val="auto"/>
              </w:rPr>
            </w:pPr>
            <w:r>
              <w:rPr>
                <w:rFonts w:ascii="Arial" w:cs="Arial" w:eastAsia="Arial" w:hAnsi="Arial"/>
                <w:sz w:val="14"/>
                <w:szCs w:val="14"/>
                <w:color w:val="auto"/>
                <w:w w:val="83"/>
              </w:rPr>
              <w:t>2,393,981</w:t>
            </w:r>
          </w:p>
        </w:tc>
        <w:tc>
          <w:tcPr>
            <w:tcW w:w="900" w:type="dxa"/>
            <w:vAlign w:val="bottom"/>
          </w:tcPr>
          <w:p>
            <w:pPr>
              <w:jc w:val="right"/>
              <w:ind w:right="112"/>
              <w:spacing w:after="0" w:line="159" w:lineRule="exact"/>
              <w:rPr>
                <w:sz w:val="20"/>
                <w:szCs w:val="20"/>
                <w:color w:val="auto"/>
              </w:rPr>
            </w:pPr>
            <w:r>
              <w:rPr>
                <w:rFonts w:ascii="Arial" w:cs="Arial" w:eastAsia="Arial" w:hAnsi="Arial"/>
                <w:sz w:val="14"/>
                <w:szCs w:val="14"/>
                <w:color w:val="auto"/>
              </w:rPr>
              <w:t>2,389,500</w:t>
            </w:r>
          </w:p>
        </w:tc>
        <w:tc>
          <w:tcPr>
            <w:tcW w:w="800" w:type="dxa"/>
            <w:vAlign w:val="bottom"/>
          </w:tcPr>
          <w:p>
            <w:pPr>
              <w:jc w:val="right"/>
              <w:spacing w:after="0" w:line="159" w:lineRule="exact"/>
              <w:rPr>
                <w:sz w:val="20"/>
                <w:szCs w:val="20"/>
                <w:color w:val="auto"/>
              </w:rPr>
            </w:pPr>
            <w:r>
              <w:rPr>
                <w:rFonts w:ascii="Arial" w:cs="Arial" w:eastAsia="Arial" w:hAnsi="Arial"/>
                <w:sz w:val="14"/>
                <w:szCs w:val="14"/>
                <w:color w:val="auto"/>
              </w:rPr>
              <w:t>2,381,509</w:t>
            </w:r>
          </w:p>
        </w:tc>
      </w:tr>
      <w:tr>
        <w:trPr>
          <w:trHeight w:val="149"/>
        </w:trPr>
        <w:tc>
          <w:tcPr>
            <w:tcW w:w="4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Microsemi Corporation</w:t>
            </w:r>
          </w:p>
        </w:tc>
        <w:tc>
          <w:tcPr>
            <w:tcW w:w="202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Electronics/Electric</w:t>
            </w:r>
          </w:p>
        </w:tc>
        <w:tc>
          <w:tcPr>
            <w:tcW w:w="88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Term Loan</w:t>
            </w:r>
          </w:p>
        </w:tc>
        <w:tc>
          <w:tcPr>
            <w:tcW w:w="56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Loan</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3.75%</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2/19/2020</w:t>
            </w: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172,170</w:t>
            </w:r>
          </w:p>
        </w:tc>
        <w:tc>
          <w:tcPr>
            <w:tcW w:w="90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172,170</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171,309</w:t>
            </w:r>
          </w:p>
        </w:tc>
      </w:tr>
      <w:tr>
        <w:trPr>
          <w:trHeight w:val="138"/>
        </w:trPr>
        <w:tc>
          <w:tcPr>
            <w:tcW w:w="4080" w:type="dxa"/>
            <w:vAlign w:val="bottom"/>
          </w:tcPr>
          <w:p>
            <w:pPr>
              <w:spacing w:after="0" w:line="138" w:lineRule="exact"/>
              <w:rPr>
                <w:sz w:val="20"/>
                <w:szCs w:val="20"/>
                <w:color w:val="auto"/>
              </w:rPr>
            </w:pPr>
            <w:r>
              <w:rPr>
                <w:rFonts w:ascii="Arial" w:cs="Arial" w:eastAsia="Arial" w:hAnsi="Arial"/>
                <w:sz w:val="14"/>
                <w:szCs w:val="14"/>
                <w:color w:val="auto"/>
              </w:rPr>
              <w:t>Midas Intermediate Holdco II, LLC</w:t>
            </w:r>
          </w:p>
        </w:tc>
        <w:tc>
          <w:tcPr>
            <w:tcW w:w="2020" w:type="dxa"/>
            <w:vAlign w:val="bottom"/>
          </w:tcPr>
          <w:p>
            <w:pPr>
              <w:ind w:left="440"/>
              <w:spacing w:after="0" w:line="138" w:lineRule="exact"/>
              <w:rPr>
                <w:sz w:val="20"/>
                <w:szCs w:val="20"/>
                <w:color w:val="auto"/>
              </w:rPr>
            </w:pPr>
            <w:r>
              <w:rPr>
                <w:rFonts w:ascii="Arial" w:cs="Arial" w:eastAsia="Arial" w:hAnsi="Arial"/>
                <w:sz w:val="14"/>
                <w:szCs w:val="14"/>
                <w:color w:val="auto"/>
              </w:rPr>
              <w:t>Automotive</w:t>
            </w:r>
          </w:p>
        </w:tc>
        <w:tc>
          <w:tcPr>
            <w:tcW w:w="880" w:type="dxa"/>
            <w:vAlign w:val="bottom"/>
          </w:tcPr>
          <w:p>
            <w:pPr>
              <w:ind w:left="120"/>
              <w:spacing w:after="0" w:line="138" w:lineRule="exact"/>
              <w:rPr>
                <w:sz w:val="20"/>
                <w:szCs w:val="20"/>
                <w:color w:val="auto"/>
              </w:rPr>
            </w:pPr>
            <w:r>
              <w:rPr>
                <w:rFonts w:ascii="Arial" w:cs="Arial" w:eastAsia="Arial" w:hAnsi="Arial"/>
                <w:sz w:val="14"/>
                <w:szCs w:val="14"/>
                <w:color w:val="auto"/>
              </w:rPr>
              <w:t>Delayed</w:t>
            </w:r>
          </w:p>
        </w:tc>
        <w:tc>
          <w:tcPr>
            <w:tcW w:w="560" w:type="dxa"/>
            <w:vAlign w:val="bottom"/>
          </w:tcPr>
          <w:p>
            <w:pPr>
              <w:ind w:left="60"/>
              <w:spacing w:after="0" w:line="138" w:lineRule="exact"/>
              <w:rPr>
                <w:sz w:val="20"/>
                <w:szCs w:val="20"/>
                <w:color w:val="auto"/>
              </w:rPr>
            </w:pPr>
            <w:r>
              <w:rPr>
                <w:rFonts w:ascii="Arial" w:cs="Arial" w:eastAsia="Arial" w:hAnsi="Arial"/>
                <w:sz w:val="14"/>
                <w:szCs w:val="14"/>
                <w:color w:val="auto"/>
              </w:rPr>
              <w:t>Loan</w:t>
            </w: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49"/>
        </w:trPr>
        <w:tc>
          <w:tcPr>
            <w:tcW w:w="408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880" w:type="dxa"/>
            <w:vAlign w:val="bottom"/>
          </w:tcPr>
          <w:p>
            <w:pPr>
              <w:ind w:left="120"/>
              <w:spacing w:after="0" w:line="149" w:lineRule="exact"/>
              <w:rPr>
                <w:sz w:val="20"/>
                <w:szCs w:val="20"/>
                <w:color w:val="auto"/>
              </w:rPr>
            </w:pPr>
            <w:r>
              <w:rPr>
                <w:rFonts w:ascii="Arial" w:cs="Arial" w:eastAsia="Arial" w:hAnsi="Arial"/>
                <w:sz w:val="14"/>
                <w:szCs w:val="14"/>
                <w:color w:val="auto"/>
              </w:rPr>
              <w:t>Draw Term</w:t>
            </w:r>
          </w:p>
        </w:tc>
        <w:tc>
          <w:tcPr>
            <w:tcW w:w="5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59"/>
        </w:trPr>
        <w:tc>
          <w:tcPr>
            <w:tcW w:w="408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880" w:type="dxa"/>
            <w:vAlign w:val="bottom"/>
          </w:tcPr>
          <w:p>
            <w:pPr>
              <w:ind w:left="120"/>
              <w:spacing w:after="0" w:line="159" w:lineRule="exact"/>
              <w:rPr>
                <w:sz w:val="20"/>
                <w:szCs w:val="20"/>
                <w:color w:val="auto"/>
              </w:rPr>
            </w:pPr>
            <w:r>
              <w:rPr>
                <w:rFonts w:ascii="Arial" w:cs="Arial" w:eastAsia="Arial" w:hAnsi="Arial"/>
                <w:sz w:val="14"/>
                <w:szCs w:val="14"/>
                <w:color w:val="auto"/>
              </w:rPr>
              <w:t>Loan</w:t>
            </w:r>
          </w:p>
        </w:tc>
        <w:tc>
          <w:tcPr>
            <w:tcW w:w="560" w:type="dxa"/>
            <w:vAlign w:val="bottom"/>
          </w:tcPr>
          <w:p>
            <w:pPr>
              <w:spacing w:after="0"/>
              <w:rPr>
                <w:sz w:val="13"/>
                <w:szCs w:val="13"/>
                <w:color w:val="auto"/>
              </w:rPr>
            </w:pPr>
          </w:p>
        </w:tc>
        <w:tc>
          <w:tcPr>
            <w:tcW w:w="640" w:type="dxa"/>
            <w:vAlign w:val="bottom"/>
          </w:tcPr>
          <w:p>
            <w:pPr>
              <w:jc w:val="right"/>
              <w:spacing w:after="0" w:line="159" w:lineRule="exact"/>
              <w:rPr>
                <w:sz w:val="20"/>
                <w:szCs w:val="20"/>
                <w:color w:val="auto"/>
              </w:rPr>
            </w:pPr>
            <w:r>
              <w:rPr>
                <w:rFonts w:ascii="Arial" w:cs="Arial" w:eastAsia="Arial" w:hAnsi="Arial"/>
                <w:sz w:val="14"/>
                <w:szCs w:val="14"/>
                <w:color w:val="auto"/>
              </w:rPr>
              <w:t>4.75%</w:t>
            </w:r>
          </w:p>
        </w:tc>
        <w:tc>
          <w:tcPr>
            <w:tcW w:w="700" w:type="dxa"/>
            <w:vAlign w:val="bottom"/>
          </w:tcPr>
          <w:p>
            <w:pPr>
              <w:jc w:val="right"/>
              <w:spacing w:after="0" w:line="159" w:lineRule="exact"/>
              <w:rPr>
                <w:sz w:val="20"/>
                <w:szCs w:val="20"/>
                <w:color w:val="auto"/>
              </w:rPr>
            </w:pPr>
            <w:r>
              <w:rPr>
                <w:rFonts w:ascii="Arial" w:cs="Arial" w:eastAsia="Arial" w:hAnsi="Arial"/>
                <w:sz w:val="14"/>
                <w:szCs w:val="14"/>
                <w:color w:val="auto"/>
              </w:rPr>
              <w:t>8/18/2021</w:t>
            </w:r>
          </w:p>
        </w:tc>
        <w:tc>
          <w:tcPr>
            <w:tcW w:w="12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112"/>
              <w:spacing w:after="0" w:line="159" w:lineRule="exact"/>
              <w:rPr>
                <w:sz w:val="20"/>
                <w:szCs w:val="20"/>
                <w:color w:val="auto"/>
              </w:rPr>
            </w:pPr>
            <w:r>
              <w:rPr>
                <w:rFonts w:ascii="Arial" w:cs="Arial" w:eastAsia="Arial" w:hAnsi="Arial"/>
                <w:sz w:val="14"/>
                <w:szCs w:val="14"/>
                <w:color w:val="auto"/>
              </w:rPr>
              <w:t>25,253</w:t>
            </w:r>
          </w:p>
        </w:tc>
        <w:tc>
          <w:tcPr>
            <w:tcW w:w="900" w:type="dxa"/>
            <w:vAlign w:val="bottom"/>
          </w:tcPr>
          <w:p>
            <w:pPr>
              <w:jc w:val="right"/>
              <w:ind w:right="112"/>
              <w:spacing w:after="0" w:line="159" w:lineRule="exact"/>
              <w:rPr>
                <w:sz w:val="20"/>
                <w:szCs w:val="20"/>
                <w:color w:val="auto"/>
              </w:rPr>
            </w:pPr>
            <w:r>
              <w:rPr>
                <w:rFonts w:ascii="Arial" w:cs="Arial" w:eastAsia="Arial" w:hAnsi="Arial"/>
                <w:sz w:val="14"/>
                <w:szCs w:val="14"/>
                <w:color w:val="auto"/>
              </w:rPr>
              <w:t>25,253</w:t>
            </w:r>
          </w:p>
        </w:tc>
        <w:tc>
          <w:tcPr>
            <w:tcW w:w="800" w:type="dxa"/>
            <w:vAlign w:val="bottom"/>
          </w:tcPr>
          <w:p>
            <w:pPr>
              <w:jc w:val="right"/>
              <w:spacing w:after="0" w:line="159" w:lineRule="exact"/>
              <w:rPr>
                <w:sz w:val="20"/>
                <w:szCs w:val="20"/>
                <w:color w:val="auto"/>
              </w:rPr>
            </w:pPr>
            <w:r>
              <w:rPr>
                <w:rFonts w:ascii="Arial" w:cs="Arial" w:eastAsia="Arial" w:hAnsi="Arial"/>
                <w:sz w:val="14"/>
                <w:szCs w:val="14"/>
                <w:color w:val="auto"/>
              </w:rPr>
              <w:t>25,364</w:t>
            </w:r>
          </w:p>
        </w:tc>
      </w:tr>
      <w:tr>
        <w:trPr>
          <w:trHeight w:val="138"/>
        </w:trPr>
        <w:tc>
          <w:tcPr>
            <w:tcW w:w="408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Midas Intermediate Holdco II, LLC</w:t>
            </w:r>
          </w:p>
        </w:tc>
        <w:tc>
          <w:tcPr>
            <w:tcW w:w="2020" w:type="dxa"/>
            <w:vAlign w:val="bottom"/>
            <w:shd w:val="clear" w:color="auto" w:fill="CCEEFF"/>
          </w:tcPr>
          <w:p>
            <w:pPr>
              <w:ind w:left="440"/>
              <w:spacing w:after="0" w:line="138" w:lineRule="exact"/>
              <w:rPr>
                <w:sz w:val="20"/>
                <w:szCs w:val="20"/>
                <w:color w:val="auto"/>
              </w:rPr>
            </w:pPr>
            <w:r>
              <w:rPr>
                <w:rFonts w:ascii="Arial" w:cs="Arial" w:eastAsia="Arial" w:hAnsi="Arial"/>
                <w:sz w:val="14"/>
                <w:szCs w:val="14"/>
                <w:color w:val="auto"/>
              </w:rPr>
              <w:t>Automotive</w:t>
            </w:r>
          </w:p>
        </w:tc>
        <w:tc>
          <w:tcPr>
            <w:tcW w:w="880" w:type="dxa"/>
            <w:vAlign w:val="bottom"/>
            <w:shd w:val="clear" w:color="auto" w:fill="CCEEFF"/>
          </w:tcPr>
          <w:p>
            <w:pPr>
              <w:ind w:left="120"/>
              <w:spacing w:after="0" w:line="138" w:lineRule="exact"/>
              <w:rPr>
                <w:sz w:val="20"/>
                <w:szCs w:val="20"/>
                <w:color w:val="auto"/>
              </w:rPr>
            </w:pPr>
            <w:r>
              <w:rPr>
                <w:rFonts w:ascii="Arial" w:cs="Arial" w:eastAsia="Arial" w:hAnsi="Arial"/>
                <w:sz w:val="14"/>
                <w:szCs w:val="14"/>
                <w:color w:val="auto"/>
              </w:rPr>
              <w:t>Term Loan</w:t>
            </w:r>
          </w:p>
        </w:tc>
        <w:tc>
          <w:tcPr>
            <w:tcW w:w="560" w:type="dxa"/>
            <w:vAlign w:val="bottom"/>
            <w:shd w:val="clear" w:color="auto" w:fill="CCEEFF"/>
          </w:tcPr>
          <w:p>
            <w:pPr>
              <w:ind w:left="60"/>
              <w:spacing w:after="0" w:line="138" w:lineRule="exact"/>
              <w:rPr>
                <w:sz w:val="20"/>
                <w:szCs w:val="20"/>
                <w:color w:val="auto"/>
              </w:rPr>
            </w:pPr>
            <w:r>
              <w:rPr>
                <w:rFonts w:ascii="Arial" w:cs="Arial" w:eastAsia="Arial" w:hAnsi="Arial"/>
                <w:sz w:val="14"/>
                <w:szCs w:val="14"/>
                <w:color w:val="auto"/>
              </w:rPr>
              <w:t>Loan</w:t>
            </w:r>
          </w:p>
        </w:tc>
        <w:tc>
          <w:tcPr>
            <w:tcW w:w="6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r>
      <w:tr>
        <w:trPr>
          <w:trHeight w:val="159"/>
        </w:trPr>
        <w:tc>
          <w:tcPr>
            <w:tcW w:w="4080" w:type="dxa"/>
            <w:vAlign w:val="bottom"/>
            <w:shd w:val="clear" w:color="auto" w:fill="CCEEFF"/>
          </w:tcPr>
          <w:p>
            <w:pPr>
              <w:spacing w:after="0"/>
              <w:rPr>
                <w:sz w:val="13"/>
                <w:szCs w:val="13"/>
                <w:color w:val="auto"/>
              </w:rPr>
            </w:pPr>
          </w:p>
        </w:tc>
        <w:tc>
          <w:tcPr>
            <w:tcW w:w="2020" w:type="dxa"/>
            <w:vAlign w:val="bottom"/>
            <w:shd w:val="clear" w:color="auto" w:fill="CCEEFF"/>
          </w:tcPr>
          <w:p>
            <w:pPr>
              <w:spacing w:after="0"/>
              <w:rPr>
                <w:sz w:val="13"/>
                <w:szCs w:val="13"/>
                <w:color w:val="auto"/>
              </w:rPr>
            </w:pPr>
          </w:p>
        </w:tc>
        <w:tc>
          <w:tcPr>
            <w:tcW w:w="880" w:type="dxa"/>
            <w:vAlign w:val="bottom"/>
            <w:shd w:val="clear" w:color="auto" w:fill="CCEEFF"/>
          </w:tcPr>
          <w:p>
            <w:pPr>
              <w:ind w:left="120"/>
              <w:spacing w:after="0" w:line="159" w:lineRule="exact"/>
              <w:rPr>
                <w:sz w:val="20"/>
                <w:szCs w:val="20"/>
                <w:color w:val="auto"/>
              </w:rPr>
            </w:pPr>
            <w:r>
              <w:rPr>
                <w:rFonts w:ascii="Arial" w:cs="Arial" w:eastAsia="Arial" w:hAnsi="Arial"/>
                <w:sz w:val="14"/>
                <w:szCs w:val="14"/>
                <w:color w:val="auto"/>
              </w:rPr>
              <w:t>B</w:t>
            </w:r>
          </w:p>
        </w:tc>
        <w:tc>
          <w:tcPr>
            <w:tcW w:w="56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4.75%</w:t>
            </w:r>
          </w:p>
        </w:tc>
        <w:tc>
          <w:tcPr>
            <w:tcW w:w="7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8/18/2021</w:t>
            </w:r>
          </w:p>
        </w:tc>
        <w:tc>
          <w:tcPr>
            <w:tcW w:w="1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112"/>
              <w:spacing w:after="0" w:line="159" w:lineRule="exact"/>
              <w:rPr>
                <w:sz w:val="20"/>
                <w:szCs w:val="20"/>
                <w:color w:val="auto"/>
              </w:rPr>
            </w:pPr>
            <w:r>
              <w:rPr>
                <w:rFonts w:ascii="Arial" w:cs="Arial" w:eastAsia="Arial" w:hAnsi="Arial"/>
                <w:sz w:val="14"/>
                <w:szCs w:val="14"/>
                <w:color w:val="auto"/>
              </w:rPr>
              <w:t>224,122</w:t>
            </w:r>
          </w:p>
        </w:tc>
        <w:tc>
          <w:tcPr>
            <w:tcW w:w="900" w:type="dxa"/>
            <w:vAlign w:val="bottom"/>
            <w:shd w:val="clear" w:color="auto" w:fill="CCEEFF"/>
          </w:tcPr>
          <w:p>
            <w:pPr>
              <w:jc w:val="right"/>
              <w:ind w:right="112"/>
              <w:spacing w:after="0" w:line="159" w:lineRule="exact"/>
              <w:rPr>
                <w:sz w:val="20"/>
                <w:szCs w:val="20"/>
                <w:color w:val="auto"/>
              </w:rPr>
            </w:pPr>
            <w:r>
              <w:rPr>
                <w:rFonts w:ascii="Arial" w:cs="Arial" w:eastAsia="Arial" w:hAnsi="Arial"/>
                <w:sz w:val="14"/>
                <w:szCs w:val="14"/>
                <w:color w:val="auto"/>
              </w:rPr>
              <w:t>223,063</w:t>
            </w:r>
          </w:p>
        </w:tc>
        <w:tc>
          <w:tcPr>
            <w:tcW w:w="8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225,103</w:t>
            </w:r>
          </w:p>
        </w:tc>
      </w:tr>
      <w:tr>
        <w:trPr>
          <w:trHeight w:val="149"/>
        </w:trPr>
        <w:tc>
          <w:tcPr>
            <w:tcW w:w="4080" w:type="dxa"/>
            <w:vAlign w:val="bottom"/>
          </w:tcPr>
          <w:p>
            <w:pPr>
              <w:spacing w:after="0" w:line="149" w:lineRule="exact"/>
              <w:rPr>
                <w:sz w:val="20"/>
                <w:szCs w:val="20"/>
                <w:color w:val="auto"/>
              </w:rPr>
            </w:pPr>
            <w:r>
              <w:rPr>
                <w:rFonts w:ascii="Arial" w:cs="Arial" w:eastAsia="Arial" w:hAnsi="Arial"/>
                <w:sz w:val="14"/>
                <w:szCs w:val="14"/>
                <w:color w:val="auto"/>
              </w:rPr>
              <w:t>Millenium Laboratories, LLC</w:t>
            </w:r>
          </w:p>
        </w:tc>
        <w:tc>
          <w:tcPr>
            <w:tcW w:w="2020" w:type="dxa"/>
            <w:vAlign w:val="bottom"/>
          </w:tcPr>
          <w:p>
            <w:pPr>
              <w:ind w:left="440"/>
              <w:spacing w:after="0" w:line="149" w:lineRule="exact"/>
              <w:rPr>
                <w:sz w:val="20"/>
                <w:szCs w:val="20"/>
                <w:color w:val="auto"/>
              </w:rPr>
            </w:pPr>
            <w:r>
              <w:rPr>
                <w:rFonts w:ascii="Arial" w:cs="Arial" w:eastAsia="Arial" w:hAnsi="Arial"/>
                <w:sz w:val="14"/>
                <w:szCs w:val="14"/>
                <w:color w:val="auto"/>
              </w:rPr>
              <w:t>Drugs</w:t>
            </w:r>
          </w:p>
        </w:tc>
        <w:tc>
          <w:tcPr>
            <w:tcW w:w="880" w:type="dxa"/>
            <w:vAlign w:val="bottom"/>
          </w:tcPr>
          <w:p>
            <w:pPr>
              <w:ind w:left="120"/>
              <w:spacing w:after="0" w:line="149" w:lineRule="exact"/>
              <w:rPr>
                <w:sz w:val="20"/>
                <w:szCs w:val="20"/>
                <w:color w:val="auto"/>
              </w:rPr>
            </w:pPr>
            <w:r>
              <w:rPr>
                <w:rFonts w:ascii="Arial" w:cs="Arial" w:eastAsia="Arial" w:hAnsi="Arial"/>
                <w:sz w:val="14"/>
                <w:szCs w:val="14"/>
                <w:color w:val="auto"/>
              </w:rPr>
              <w:t>Term Loan</w:t>
            </w:r>
          </w:p>
        </w:tc>
        <w:tc>
          <w:tcPr>
            <w:tcW w:w="560" w:type="dxa"/>
            <w:vAlign w:val="bottom"/>
          </w:tcPr>
          <w:p>
            <w:pPr>
              <w:ind w:left="60"/>
              <w:spacing w:after="0" w:line="149" w:lineRule="exact"/>
              <w:rPr>
                <w:sz w:val="20"/>
                <w:szCs w:val="20"/>
                <w:color w:val="auto"/>
              </w:rPr>
            </w:pPr>
            <w:r>
              <w:rPr>
                <w:rFonts w:ascii="Arial" w:cs="Arial" w:eastAsia="Arial" w:hAnsi="Arial"/>
                <w:sz w:val="14"/>
                <w:szCs w:val="14"/>
                <w:color w:val="auto"/>
              </w:rPr>
              <w:t>Loan</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5.25%</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4/16/2021</w:t>
            </w:r>
          </w:p>
        </w:tc>
        <w:tc>
          <w:tcPr>
            <w:tcW w:w="1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112"/>
              <w:spacing w:after="0" w:line="149" w:lineRule="exact"/>
              <w:rPr>
                <w:sz w:val="20"/>
                <w:szCs w:val="20"/>
                <w:color w:val="auto"/>
              </w:rPr>
            </w:pPr>
            <w:r>
              <w:rPr>
                <w:rFonts w:ascii="Arial" w:cs="Arial" w:eastAsia="Arial" w:hAnsi="Arial"/>
                <w:sz w:val="14"/>
                <w:szCs w:val="14"/>
                <w:color w:val="auto"/>
                <w:w w:val="83"/>
              </w:rPr>
              <w:t>1,492,500</w:t>
            </w:r>
          </w:p>
        </w:tc>
        <w:tc>
          <w:tcPr>
            <w:tcW w:w="90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1,479,041</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1,489,396</w:t>
            </w:r>
          </w:p>
        </w:tc>
      </w:tr>
      <w:tr>
        <w:trPr>
          <w:trHeight w:val="149"/>
        </w:trPr>
        <w:tc>
          <w:tcPr>
            <w:tcW w:w="4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Mitel US Holdings, Inc.</w:t>
            </w:r>
          </w:p>
        </w:tc>
        <w:tc>
          <w:tcPr>
            <w:tcW w:w="202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Telecommunications</w:t>
            </w:r>
          </w:p>
        </w:tc>
        <w:tc>
          <w:tcPr>
            <w:tcW w:w="88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Term Loan</w:t>
            </w:r>
          </w:p>
        </w:tc>
        <w:tc>
          <w:tcPr>
            <w:tcW w:w="56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Loan</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5.25%</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1/31/2020</w:t>
            </w: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196,558</w:t>
            </w:r>
          </w:p>
        </w:tc>
        <w:tc>
          <w:tcPr>
            <w:tcW w:w="90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195,710</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196,411</w:t>
            </w:r>
          </w:p>
        </w:tc>
      </w:tr>
      <w:tr>
        <w:trPr>
          <w:trHeight w:val="138"/>
        </w:trPr>
        <w:tc>
          <w:tcPr>
            <w:tcW w:w="4080" w:type="dxa"/>
            <w:vAlign w:val="bottom"/>
          </w:tcPr>
          <w:p>
            <w:pPr>
              <w:spacing w:after="0" w:line="138" w:lineRule="exact"/>
              <w:rPr>
                <w:sz w:val="20"/>
                <w:szCs w:val="20"/>
                <w:color w:val="auto"/>
              </w:rPr>
            </w:pPr>
            <w:r>
              <w:rPr>
                <w:rFonts w:ascii="Arial" w:cs="Arial" w:eastAsia="Arial" w:hAnsi="Arial"/>
                <w:sz w:val="14"/>
                <w:szCs w:val="14"/>
                <w:color w:val="auto"/>
              </w:rPr>
              <w:t>MPH Acquisition Holdings LLC</w:t>
            </w:r>
          </w:p>
        </w:tc>
        <w:tc>
          <w:tcPr>
            <w:tcW w:w="2020" w:type="dxa"/>
            <w:vAlign w:val="bottom"/>
          </w:tcPr>
          <w:p>
            <w:pPr>
              <w:ind w:left="440"/>
              <w:spacing w:after="0" w:line="138" w:lineRule="exact"/>
              <w:rPr>
                <w:sz w:val="20"/>
                <w:szCs w:val="20"/>
                <w:color w:val="auto"/>
              </w:rPr>
            </w:pPr>
            <w:r>
              <w:rPr>
                <w:rFonts w:ascii="Arial" w:cs="Arial" w:eastAsia="Arial" w:hAnsi="Arial"/>
                <w:sz w:val="14"/>
                <w:szCs w:val="14"/>
                <w:color w:val="auto"/>
              </w:rPr>
              <w:t>Healthcare &amp;</w:t>
            </w:r>
          </w:p>
        </w:tc>
        <w:tc>
          <w:tcPr>
            <w:tcW w:w="880" w:type="dxa"/>
            <w:vAlign w:val="bottom"/>
          </w:tcPr>
          <w:p>
            <w:pPr>
              <w:ind w:left="120"/>
              <w:spacing w:after="0" w:line="138" w:lineRule="exact"/>
              <w:rPr>
                <w:sz w:val="20"/>
                <w:szCs w:val="20"/>
                <w:color w:val="auto"/>
              </w:rPr>
            </w:pPr>
            <w:r>
              <w:rPr>
                <w:rFonts w:ascii="Arial" w:cs="Arial" w:eastAsia="Arial" w:hAnsi="Arial"/>
                <w:sz w:val="14"/>
                <w:szCs w:val="14"/>
                <w:color w:val="auto"/>
              </w:rPr>
              <w:t>Term Loan</w:t>
            </w:r>
          </w:p>
        </w:tc>
        <w:tc>
          <w:tcPr>
            <w:tcW w:w="560" w:type="dxa"/>
            <w:vAlign w:val="bottom"/>
          </w:tcPr>
          <w:p>
            <w:pPr>
              <w:ind w:left="60"/>
              <w:spacing w:after="0" w:line="138" w:lineRule="exact"/>
              <w:rPr>
                <w:sz w:val="20"/>
                <w:szCs w:val="20"/>
                <w:color w:val="auto"/>
              </w:rPr>
            </w:pPr>
            <w:r>
              <w:rPr>
                <w:rFonts w:ascii="Arial" w:cs="Arial" w:eastAsia="Arial" w:hAnsi="Arial"/>
                <w:sz w:val="14"/>
                <w:szCs w:val="14"/>
                <w:color w:val="auto"/>
              </w:rPr>
              <w:t>Loan</w:t>
            </w: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59"/>
        </w:trPr>
        <w:tc>
          <w:tcPr>
            <w:tcW w:w="4080" w:type="dxa"/>
            <w:vAlign w:val="bottom"/>
          </w:tcPr>
          <w:p>
            <w:pPr>
              <w:spacing w:after="0"/>
              <w:rPr>
                <w:sz w:val="13"/>
                <w:szCs w:val="13"/>
                <w:color w:val="auto"/>
              </w:rPr>
            </w:pPr>
          </w:p>
        </w:tc>
        <w:tc>
          <w:tcPr>
            <w:tcW w:w="2020" w:type="dxa"/>
            <w:vAlign w:val="bottom"/>
          </w:tcPr>
          <w:p>
            <w:pPr>
              <w:ind w:left="440"/>
              <w:spacing w:after="0" w:line="159" w:lineRule="exact"/>
              <w:rPr>
                <w:sz w:val="20"/>
                <w:szCs w:val="20"/>
                <w:color w:val="auto"/>
              </w:rPr>
            </w:pPr>
            <w:r>
              <w:rPr>
                <w:rFonts w:ascii="Arial" w:cs="Arial" w:eastAsia="Arial" w:hAnsi="Arial"/>
                <w:sz w:val="14"/>
                <w:szCs w:val="14"/>
                <w:color w:val="auto"/>
              </w:rPr>
              <w:t>Pharmaceuticals</w:t>
            </w:r>
          </w:p>
        </w:tc>
        <w:tc>
          <w:tcPr>
            <w:tcW w:w="8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40" w:type="dxa"/>
            <w:vAlign w:val="bottom"/>
          </w:tcPr>
          <w:p>
            <w:pPr>
              <w:jc w:val="right"/>
              <w:spacing w:after="0" w:line="159" w:lineRule="exact"/>
              <w:rPr>
                <w:sz w:val="20"/>
                <w:szCs w:val="20"/>
                <w:color w:val="auto"/>
              </w:rPr>
            </w:pPr>
            <w:r>
              <w:rPr>
                <w:rFonts w:ascii="Arial" w:cs="Arial" w:eastAsia="Arial" w:hAnsi="Arial"/>
                <w:sz w:val="14"/>
                <w:szCs w:val="14"/>
                <w:color w:val="auto"/>
              </w:rPr>
              <w:t>3.75%</w:t>
            </w:r>
          </w:p>
        </w:tc>
        <w:tc>
          <w:tcPr>
            <w:tcW w:w="700" w:type="dxa"/>
            <w:vAlign w:val="bottom"/>
          </w:tcPr>
          <w:p>
            <w:pPr>
              <w:jc w:val="right"/>
              <w:spacing w:after="0" w:line="159" w:lineRule="exact"/>
              <w:rPr>
                <w:sz w:val="20"/>
                <w:szCs w:val="20"/>
                <w:color w:val="auto"/>
              </w:rPr>
            </w:pPr>
            <w:r>
              <w:rPr>
                <w:rFonts w:ascii="Arial" w:cs="Arial" w:eastAsia="Arial" w:hAnsi="Arial"/>
                <w:sz w:val="14"/>
                <w:szCs w:val="14"/>
                <w:color w:val="auto"/>
              </w:rPr>
              <w:t>3/31/2021</w:t>
            </w:r>
          </w:p>
        </w:tc>
        <w:tc>
          <w:tcPr>
            <w:tcW w:w="12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112"/>
              <w:spacing w:after="0" w:line="159" w:lineRule="exact"/>
              <w:rPr>
                <w:sz w:val="20"/>
                <w:szCs w:val="20"/>
                <w:color w:val="auto"/>
              </w:rPr>
            </w:pPr>
            <w:r>
              <w:rPr>
                <w:rFonts w:ascii="Arial" w:cs="Arial" w:eastAsia="Arial" w:hAnsi="Arial"/>
                <w:sz w:val="14"/>
                <w:szCs w:val="14"/>
                <w:color w:val="auto"/>
              </w:rPr>
              <w:t>445,455</w:t>
            </w:r>
          </w:p>
        </w:tc>
        <w:tc>
          <w:tcPr>
            <w:tcW w:w="900" w:type="dxa"/>
            <w:vAlign w:val="bottom"/>
          </w:tcPr>
          <w:p>
            <w:pPr>
              <w:jc w:val="right"/>
              <w:ind w:right="112"/>
              <w:spacing w:after="0" w:line="159" w:lineRule="exact"/>
              <w:rPr>
                <w:sz w:val="20"/>
                <w:szCs w:val="20"/>
                <w:color w:val="auto"/>
              </w:rPr>
            </w:pPr>
            <w:r>
              <w:rPr>
                <w:rFonts w:ascii="Arial" w:cs="Arial" w:eastAsia="Arial" w:hAnsi="Arial"/>
                <w:sz w:val="14"/>
                <w:szCs w:val="14"/>
                <w:color w:val="auto"/>
              </w:rPr>
              <w:t>444,453</w:t>
            </w:r>
          </w:p>
        </w:tc>
        <w:tc>
          <w:tcPr>
            <w:tcW w:w="800" w:type="dxa"/>
            <w:vAlign w:val="bottom"/>
          </w:tcPr>
          <w:p>
            <w:pPr>
              <w:jc w:val="right"/>
              <w:spacing w:after="0" w:line="159" w:lineRule="exact"/>
              <w:rPr>
                <w:sz w:val="20"/>
                <w:szCs w:val="20"/>
                <w:color w:val="auto"/>
              </w:rPr>
            </w:pPr>
            <w:r>
              <w:rPr>
                <w:rFonts w:ascii="Arial" w:cs="Arial" w:eastAsia="Arial" w:hAnsi="Arial"/>
                <w:sz w:val="14"/>
                <w:szCs w:val="14"/>
                <w:color w:val="auto"/>
              </w:rPr>
              <w:t>442,033</w:t>
            </w:r>
          </w:p>
        </w:tc>
      </w:tr>
      <w:tr>
        <w:trPr>
          <w:trHeight w:val="149"/>
        </w:trPr>
        <w:tc>
          <w:tcPr>
            <w:tcW w:w="4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MSC Software Corp.</w:t>
            </w:r>
          </w:p>
        </w:tc>
        <w:tc>
          <w:tcPr>
            <w:tcW w:w="202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Services: Business</w:t>
            </w:r>
          </w:p>
        </w:tc>
        <w:tc>
          <w:tcPr>
            <w:tcW w:w="88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Term Loan</w:t>
            </w:r>
          </w:p>
        </w:tc>
        <w:tc>
          <w:tcPr>
            <w:tcW w:w="56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Loan</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5.00%</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5/29/2020</w:t>
            </w: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995,000</w:t>
            </w:r>
          </w:p>
        </w:tc>
        <w:tc>
          <w:tcPr>
            <w:tcW w:w="90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986,186</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996,244</w:t>
            </w:r>
          </w:p>
        </w:tc>
      </w:tr>
      <w:tr>
        <w:trPr>
          <w:trHeight w:val="138"/>
        </w:trPr>
        <w:tc>
          <w:tcPr>
            <w:tcW w:w="4080" w:type="dxa"/>
            <w:vAlign w:val="bottom"/>
          </w:tcPr>
          <w:p>
            <w:pPr>
              <w:spacing w:after="0" w:line="138" w:lineRule="exact"/>
              <w:rPr>
                <w:sz w:val="20"/>
                <w:szCs w:val="20"/>
                <w:color w:val="auto"/>
              </w:rPr>
            </w:pPr>
            <w:r>
              <w:rPr>
                <w:rFonts w:ascii="Arial" w:cs="Arial" w:eastAsia="Arial" w:hAnsi="Arial"/>
                <w:sz w:val="14"/>
                <w:szCs w:val="14"/>
                <w:color w:val="auto"/>
              </w:rPr>
              <w:t>National CineMedia, LLC</w:t>
            </w:r>
          </w:p>
        </w:tc>
        <w:tc>
          <w:tcPr>
            <w:tcW w:w="2020" w:type="dxa"/>
            <w:vAlign w:val="bottom"/>
          </w:tcPr>
          <w:p>
            <w:pPr>
              <w:ind w:left="440"/>
              <w:spacing w:after="0" w:line="138" w:lineRule="exact"/>
              <w:rPr>
                <w:sz w:val="20"/>
                <w:szCs w:val="20"/>
                <w:color w:val="auto"/>
              </w:rPr>
            </w:pPr>
            <w:r>
              <w:rPr>
                <w:rFonts w:ascii="Arial" w:cs="Arial" w:eastAsia="Arial" w:hAnsi="Arial"/>
                <w:sz w:val="14"/>
                <w:szCs w:val="14"/>
                <w:color w:val="auto"/>
              </w:rPr>
              <w:t>Leisure</w:t>
            </w:r>
          </w:p>
        </w:tc>
        <w:tc>
          <w:tcPr>
            <w:tcW w:w="880" w:type="dxa"/>
            <w:vAlign w:val="bottom"/>
          </w:tcPr>
          <w:p>
            <w:pPr>
              <w:ind w:left="120"/>
              <w:spacing w:after="0" w:line="138" w:lineRule="exact"/>
              <w:rPr>
                <w:sz w:val="20"/>
                <w:szCs w:val="20"/>
                <w:color w:val="auto"/>
              </w:rPr>
            </w:pPr>
            <w:r>
              <w:rPr>
                <w:rFonts w:ascii="Arial" w:cs="Arial" w:eastAsia="Arial" w:hAnsi="Arial"/>
                <w:sz w:val="14"/>
                <w:szCs w:val="14"/>
                <w:color w:val="auto"/>
              </w:rPr>
              <w:t>Term Loan</w:t>
            </w:r>
          </w:p>
        </w:tc>
        <w:tc>
          <w:tcPr>
            <w:tcW w:w="560" w:type="dxa"/>
            <w:vAlign w:val="bottom"/>
          </w:tcPr>
          <w:p>
            <w:pPr>
              <w:ind w:left="60"/>
              <w:spacing w:after="0" w:line="138" w:lineRule="exact"/>
              <w:rPr>
                <w:sz w:val="20"/>
                <w:szCs w:val="20"/>
                <w:color w:val="auto"/>
              </w:rPr>
            </w:pPr>
            <w:r>
              <w:rPr>
                <w:rFonts w:ascii="Arial" w:cs="Arial" w:eastAsia="Arial" w:hAnsi="Arial"/>
                <w:sz w:val="14"/>
                <w:szCs w:val="14"/>
                <w:color w:val="auto"/>
              </w:rPr>
              <w:t>Loan</w:t>
            </w: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59"/>
        </w:trPr>
        <w:tc>
          <w:tcPr>
            <w:tcW w:w="4080" w:type="dxa"/>
            <w:vAlign w:val="bottom"/>
          </w:tcPr>
          <w:p>
            <w:pPr>
              <w:spacing w:after="0"/>
              <w:rPr>
                <w:sz w:val="13"/>
                <w:szCs w:val="13"/>
                <w:color w:val="auto"/>
              </w:rPr>
            </w:pPr>
          </w:p>
        </w:tc>
        <w:tc>
          <w:tcPr>
            <w:tcW w:w="2020" w:type="dxa"/>
            <w:vAlign w:val="bottom"/>
          </w:tcPr>
          <w:p>
            <w:pPr>
              <w:ind w:left="440"/>
              <w:spacing w:after="0" w:line="159" w:lineRule="exact"/>
              <w:rPr>
                <w:sz w:val="20"/>
                <w:szCs w:val="20"/>
                <w:color w:val="auto"/>
              </w:rPr>
            </w:pPr>
            <w:r>
              <w:rPr>
                <w:rFonts w:ascii="Arial" w:cs="Arial" w:eastAsia="Arial" w:hAnsi="Arial"/>
                <w:sz w:val="14"/>
                <w:szCs w:val="14"/>
                <w:color w:val="auto"/>
              </w:rPr>
              <w:t>Goods/Activities/Movies</w:t>
            </w:r>
          </w:p>
        </w:tc>
        <w:tc>
          <w:tcPr>
            <w:tcW w:w="880" w:type="dxa"/>
            <w:vAlign w:val="bottom"/>
          </w:tcPr>
          <w:p>
            <w:pPr>
              <w:ind w:left="120"/>
              <w:spacing w:after="0" w:line="159" w:lineRule="exact"/>
              <w:rPr>
                <w:sz w:val="20"/>
                <w:szCs w:val="20"/>
                <w:color w:val="auto"/>
              </w:rPr>
            </w:pPr>
            <w:r>
              <w:rPr>
                <w:rFonts w:ascii="Arial" w:cs="Arial" w:eastAsia="Arial" w:hAnsi="Arial"/>
                <w:sz w:val="14"/>
                <w:szCs w:val="14"/>
                <w:color w:val="auto"/>
              </w:rPr>
              <w:t>(2013)</w:t>
            </w:r>
          </w:p>
        </w:tc>
        <w:tc>
          <w:tcPr>
            <w:tcW w:w="560" w:type="dxa"/>
            <w:vAlign w:val="bottom"/>
          </w:tcPr>
          <w:p>
            <w:pPr>
              <w:spacing w:after="0"/>
              <w:rPr>
                <w:sz w:val="13"/>
                <w:szCs w:val="13"/>
                <w:color w:val="auto"/>
              </w:rPr>
            </w:pPr>
          </w:p>
        </w:tc>
        <w:tc>
          <w:tcPr>
            <w:tcW w:w="640" w:type="dxa"/>
            <w:vAlign w:val="bottom"/>
          </w:tcPr>
          <w:p>
            <w:pPr>
              <w:jc w:val="right"/>
              <w:spacing w:after="0" w:line="159" w:lineRule="exact"/>
              <w:rPr>
                <w:sz w:val="20"/>
                <w:szCs w:val="20"/>
                <w:color w:val="auto"/>
              </w:rPr>
            </w:pPr>
            <w:r>
              <w:rPr>
                <w:rFonts w:ascii="Arial" w:cs="Arial" w:eastAsia="Arial" w:hAnsi="Arial"/>
                <w:sz w:val="14"/>
                <w:szCs w:val="14"/>
                <w:color w:val="auto"/>
              </w:rPr>
              <w:t>2.95%</w:t>
            </w:r>
          </w:p>
        </w:tc>
        <w:tc>
          <w:tcPr>
            <w:tcW w:w="700" w:type="dxa"/>
            <w:vAlign w:val="bottom"/>
          </w:tcPr>
          <w:p>
            <w:pPr>
              <w:jc w:val="right"/>
              <w:spacing w:after="0" w:line="159" w:lineRule="exact"/>
              <w:rPr>
                <w:sz w:val="20"/>
                <w:szCs w:val="20"/>
                <w:color w:val="auto"/>
              </w:rPr>
            </w:pPr>
            <w:r>
              <w:rPr>
                <w:rFonts w:ascii="Arial" w:cs="Arial" w:eastAsia="Arial" w:hAnsi="Arial"/>
                <w:sz w:val="14"/>
                <w:szCs w:val="14"/>
                <w:color w:val="auto"/>
                <w:w w:val="91"/>
              </w:rPr>
              <w:t>11/26/2019</w:t>
            </w:r>
          </w:p>
        </w:tc>
        <w:tc>
          <w:tcPr>
            <w:tcW w:w="12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112"/>
              <w:spacing w:after="0" w:line="159" w:lineRule="exact"/>
              <w:rPr>
                <w:sz w:val="20"/>
                <w:szCs w:val="20"/>
                <w:color w:val="auto"/>
              </w:rPr>
            </w:pPr>
            <w:r>
              <w:rPr>
                <w:rFonts w:ascii="Arial" w:cs="Arial" w:eastAsia="Arial" w:hAnsi="Arial"/>
                <w:sz w:val="14"/>
                <w:szCs w:val="14"/>
                <w:color w:val="auto"/>
                <w:w w:val="83"/>
              </w:rPr>
              <w:t>1,086,207</w:t>
            </w:r>
          </w:p>
        </w:tc>
        <w:tc>
          <w:tcPr>
            <w:tcW w:w="900" w:type="dxa"/>
            <w:vAlign w:val="bottom"/>
          </w:tcPr>
          <w:p>
            <w:pPr>
              <w:jc w:val="right"/>
              <w:ind w:right="112"/>
              <w:spacing w:after="0" w:line="159" w:lineRule="exact"/>
              <w:rPr>
                <w:sz w:val="20"/>
                <w:szCs w:val="20"/>
                <w:color w:val="auto"/>
              </w:rPr>
            </w:pPr>
            <w:r>
              <w:rPr>
                <w:rFonts w:ascii="Arial" w:cs="Arial" w:eastAsia="Arial" w:hAnsi="Arial"/>
                <w:sz w:val="14"/>
                <w:szCs w:val="14"/>
                <w:color w:val="auto"/>
              </w:rPr>
              <w:t>1,058,933</w:t>
            </w:r>
          </w:p>
        </w:tc>
        <w:tc>
          <w:tcPr>
            <w:tcW w:w="800" w:type="dxa"/>
            <w:vAlign w:val="bottom"/>
          </w:tcPr>
          <w:p>
            <w:pPr>
              <w:jc w:val="right"/>
              <w:spacing w:after="0" w:line="159" w:lineRule="exact"/>
              <w:rPr>
                <w:sz w:val="20"/>
                <w:szCs w:val="20"/>
                <w:color w:val="auto"/>
              </w:rPr>
            </w:pPr>
            <w:r>
              <w:rPr>
                <w:rFonts w:ascii="Arial" w:cs="Arial" w:eastAsia="Arial" w:hAnsi="Arial"/>
                <w:sz w:val="14"/>
                <w:szCs w:val="14"/>
                <w:color w:val="auto"/>
              </w:rPr>
              <w:t>1,067,198</w:t>
            </w:r>
          </w:p>
        </w:tc>
      </w:tr>
      <w:tr>
        <w:trPr>
          <w:trHeight w:val="138"/>
        </w:trPr>
        <w:tc>
          <w:tcPr>
            <w:tcW w:w="408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National Veterinary Associates, Inc</w:t>
            </w:r>
          </w:p>
        </w:tc>
        <w:tc>
          <w:tcPr>
            <w:tcW w:w="2020" w:type="dxa"/>
            <w:vAlign w:val="bottom"/>
            <w:shd w:val="clear" w:color="auto" w:fill="CCEEFF"/>
          </w:tcPr>
          <w:p>
            <w:pPr>
              <w:ind w:left="440"/>
              <w:spacing w:after="0" w:line="138" w:lineRule="exact"/>
              <w:rPr>
                <w:sz w:val="20"/>
                <w:szCs w:val="20"/>
                <w:color w:val="auto"/>
              </w:rPr>
            </w:pPr>
            <w:r>
              <w:rPr>
                <w:rFonts w:ascii="Arial" w:cs="Arial" w:eastAsia="Arial" w:hAnsi="Arial"/>
                <w:sz w:val="14"/>
                <w:szCs w:val="14"/>
                <w:color w:val="auto"/>
              </w:rPr>
              <w:t>Healthcare &amp;</w:t>
            </w:r>
          </w:p>
        </w:tc>
        <w:tc>
          <w:tcPr>
            <w:tcW w:w="880" w:type="dxa"/>
            <w:vAlign w:val="bottom"/>
            <w:shd w:val="clear" w:color="auto" w:fill="CCEEFF"/>
          </w:tcPr>
          <w:p>
            <w:pPr>
              <w:ind w:left="120"/>
              <w:spacing w:after="0" w:line="138" w:lineRule="exact"/>
              <w:rPr>
                <w:sz w:val="20"/>
                <w:szCs w:val="20"/>
                <w:color w:val="auto"/>
              </w:rPr>
            </w:pPr>
            <w:r>
              <w:rPr>
                <w:rFonts w:ascii="Arial" w:cs="Arial" w:eastAsia="Arial" w:hAnsi="Arial"/>
                <w:sz w:val="14"/>
                <w:szCs w:val="14"/>
                <w:color w:val="auto"/>
              </w:rPr>
              <w:t>Term Loan</w:t>
            </w:r>
          </w:p>
        </w:tc>
        <w:tc>
          <w:tcPr>
            <w:tcW w:w="560" w:type="dxa"/>
            <w:vAlign w:val="bottom"/>
            <w:shd w:val="clear" w:color="auto" w:fill="CCEEFF"/>
          </w:tcPr>
          <w:p>
            <w:pPr>
              <w:ind w:left="60"/>
              <w:spacing w:after="0" w:line="138" w:lineRule="exact"/>
              <w:rPr>
                <w:sz w:val="20"/>
                <w:szCs w:val="20"/>
                <w:color w:val="auto"/>
              </w:rPr>
            </w:pPr>
            <w:r>
              <w:rPr>
                <w:rFonts w:ascii="Arial" w:cs="Arial" w:eastAsia="Arial" w:hAnsi="Arial"/>
                <w:sz w:val="14"/>
                <w:szCs w:val="14"/>
                <w:color w:val="auto"/>
              </w:rPr>
              <w:t>Loan</w:t>
            </w:r>
          </w:p>
        </w:tc>
        <w:tc>
          <w:tcPr>
            <w:tcW w:w="6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r>
      <w:tr>
        <w:trPr>
          <w:trHeight w:val="159"/>
        </w:trPr>
        <w:tc>
          <w:tcPr>
            <w:tcW w:w="4080" w:type="dxa"/>
            <w:vAlign w:val="bottom"/>
            <w:shd w:val="clear" w:color="auto" w:fill="CCEEFF"/>
          </w:tcPr>
          <w:p>
            <w:pPr>
              <w:spacing w:after="0"/>
              <w:rPr>
                <w:sz w:val="13"/>
                <w:szCs w:val="13"/>
                <w:color w:val="auto"/>
              </w:rPr>
            </w:pPr>
          </w:p>
        </w:tc>
        <w:tc>
          <w:tcPr>
            <w:tcW w:w="2020" w:type="dxa"/>
            <w:vAlign w:val="bottom"/>
            <w:shd w:val="clear" w:color="auto" w:fill="CCEEFF"/>
          </w:tcPr>
          <w:p>
            <w:pPr>
              <w:ind w:left="440"/>
              <w:spacing w:after="0" w:line="159" w:lineRule="exact"/>
              <w:rPr>
                <w:sz w:val="20"/>
                <w:szCs w:val="20"/>
                <w:color w:val="auto"/>
              </w:rPr>
            </w:pPr>
            <w:r>
              <w:rPr>
                <w:rFonts w:ascii="Arial" w:cs="Arial" w:eastAsia="Arial" w:hAnsi="Arial"/>
                <w:sz w:val="14"/>
                <w:szCs w:val="14"/>
                <w:color w:val="auto"/>
              </w:rPr>
              <w:t>Pharmaceuticals</w:t>
            </w:r>
          </w:p>
        </w:tc>
        <w:tc>
          <w:tcPr>
            <w:tcW w:w="880" w:type="dxa"/>
            <w:vAlign w:val="bottom"/>
            <w:shd w:val="clear" w:color="auto" w:fill="CCEEFF"/>
          </w:tcPr>
          <w:p>
            <w:pPr>
              <w:ind w:left="120"/>
              <w:spacing w:after="0" w:line="159" w:lineRule="exact"/>
              <w:rPr>
                <w:sz w:val="20"/>
                <w:szCs w:val="20"/>
                <w:color w:val="auto"/>
              </w:rPr>
            </w:pPr>
            <w:r>
              <w:rPr>
                <w:rFonts w:ascii="Arial" w:cs="Arial" w:eastAsia="Arial" w:hAnsi="Arial"/>
                <w:sz w:val="14"/>
                <w:szCs w:val="14"/>
                <w:color w:val="auto"/>
              </w:rPr>
              <w:t>B</w:t>
            </w:r>
          </w:p>
        </w:tc>
        <w:tc>
          <w:tcPr>
            <w:tcW w:w="56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4.75%</w:t>
            </w:r>
          </w:p>
        </w:tc>
        <w:tc>
          <w:tcPr>
            <w:tcW w:w="7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8/14/2021</w:t>
            </w:r>
          </w:p>
        </w:tc>
        <w:tc>
          <w:tcPr>
            <w:tcW w:w="1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112"/>
              <w:spacing w:after="0" w:line="159" w:lineRule="exact"/>
              <w:rPr>
                <w:sz w:val="20"/>
                <w:szCs w:val="20"/>
                <w:color w:val="auto"/>
              </w:rPr>
            </w:pPr>
            <w:r>
              <w:rPr>
                <w:rFonts w:ascii="Arial" w:cs="Arial" w:eastAsia="Arial" w:hAnsi="Arial"/>
                <w:sz w:val="14"/>
                <w:szCs w:val="14"/>
                <w:color w:val="auto"/>
              </w:rPr>
              <w:t>997,500</w:t>
            </w:r>
          </w:p>
        </w:tc>
        <w:tc>
          <w:tcPr>
            <w:tcW w:w="900" w:type="dxa"/>
            <w:vAlign w:val="bottom"/>
            <w:shd w:val="clear" w:color="auto" w:fill="CCEEFF"/>
          </w:tcPr>
          <w:p>
            <w:pPr>
              <w:jc w:val="right"/>
              <w:ind w:right="112"/>
              <w:spacing w:after="0" w:line="159" w:lineRule="exact"/>
              <w:rPr>
                <w:sz w:val="20"/>
                <w:szCs w:val="20"/>
                <w:color w:val="auto"/>
              </w:rPr>
            </w:pPr>
            <w:r>
              <w:rPr>
                <w:rFonts w:ascii="Arial" w:cs="Arial" w:eastAsia="Arial" w:hAnsi="Arial"/>
                <w:sz w:val="14"/>
                <w:szCs w:val="14"/>
                <w:color w:val="auto"/>
              </w:rPr>
              <w:t>992,907</w:t>
            </w:r>
          </w:p>
        </w:tc>
        <w:tc>
          <w:tcPr>
            <w:tcW w:w="8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996,253</w:t>
            </w:r>
          </w:p>
        </w:tc>
      </w:tr>
      <w:tr>
        <w:trPr>
          <w:trHeight w:val="138"/>
        </w:trPr>
        <w:tc>
          <w:tcPr>
            <w:tcW w:w="4080" w:type="dxa"/>
            <w:vAlign w:val="bottom"/>
          </w:tcPr>
          <w:p>
            <w:pPr>
              <w:spacing w:after="0" w:line="138" w:lineRule="exact"/>
              <w:rPr>
                <w:sz w:val="20"/>
                <w:szCs w:val="20"/>
                <w:color w:val="auto"/>
              </w:rPr>
            </w:pPr>
            <w:r>
              <w:rPr>
                <w:rFonts w:ascii="Arial" w:cs="Arial" w:eastAsia="Arial" w:hAnsi="Arial"/>
                <w:sz w:val="14"/>
                <w:szCs w:val="14"/>
                <w:color w:val="auto"/>
              </w:rPr>
              <w:t>National Vision, Inc.</w:t>
            </w:r>
          </w:p>
        </w:tc>
        <w:tc>
          <w:tcPr>
            <w:tcW w:w="2020" w:type="dxa"/>
            <w:vAlign w:val="bottom"/>
          </w:tcPr>
          <w:p>
            <w:pPr>
              <w:ind w:left="440"/>
              <w:spacing w:after="0" w:line="138" w:lineRule="exact"/>
              <w:rPr>
                <w:sz w:val="20"/>
                <w:szCs w:val="20"/>
                <w:color w:val="auto"/>
              </w:rPr>
            </w:pPr>
            <w:r>
              <w:rPr>
                <w:rFonts w:ascii="Arial" w:cs="Arial" w:eastAsia="Arial" w:hAnsi="Arial"/>
                <w:sz w:val="14"/>
                <w:szCs w:val="14"/>
                <w:color w:val="auto"/>
                <w:w w:val="91"/>
              </w:rPr>
              <w:t>Retailers (Except Food and</w:t>
            </w:r>
          </w:p>
        </w:tc>
        <w:tc>
          <w:tcPr>
            <w:tcW w:w="880" w:type="dxa"/>
            <w:vAlign w:val="bottom"/>
          </w:tcPr>
          <w:p>
            <w:pPr>
              <w:ind w:left="120"/>
              <w:spacing w:after="0" w:line="138" w:lineRule="exact"/>
              <w:rPr>
                <w:sz w:val="20"/>
                <w:szCs w:val="20"/>
                <w:color w:val="auto"/>
              </w:rPr>
            </w:pPr>
            <w:r>
              <w:rPr>
                <w:rFonts w:ascii="Arial" w:cs="Arial" w:eastAsia="Arial" w:hAnsi="Arial"/>
                <w:sz w:val="14"/>
                <w:szCs w:val="14"/>
                <w:color w:val="auto"/>
              </w:rPr>
              <w:t>Term Loan</w:t>
            </w:r>
          </w:p>
        </w:tc>
        <w:tc>
          <w:tcPr>
            <w:tcW w:w="560" w:type="dxa"/>
            <w:vAlign w:val="bottom"/>
          </w:tcPr>
          <w:p>
            <w:pPr>
              <w:ind w:left="60"/>
              <w:spacing w:after="0" w:line="138" w:lineRule="exact"/>
              <w:rPr>
                <w:sz w:val="20"/>
                <w:szCs w:val="20"/>
                <w:color w:val="auto"/>
              </w:rPr>
            </w:pPr>
            <w:r>
              <w:rPr>
                <w:rFonts w:ascii="Arial" w:cs="Arial" w:eastAsia="Arial" w:hAnsi="Arial"/>
                <w:sz w:val="14"/>
                <w:szCs w:val="14"/>
                <w:color w:val="auto"/>
              </w:rPr>
              <w:t>Loan</w:t>
            </w: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49"/>
        </w:trPr>
        <w:tc>
          <w:tcPr>
            <w:tcW w:w="4080" w:type="dxa"/>
            <w:vAlign w:val="bottom"/>
          </w:tcPr>
          <w:p>
            <w:pPr>
              <w:spacing w:after="0"/>
              <w:rPr>
                <w:sz w:val="12"/>
                <w:szCs w:val="12"/>
                <w:color w:val="auto"/>
              </w:rPr>
            </w:pPr>
          </w:p>
        </w:tc>
        <w:tc>
          <w:tcPr>
            <w:tcW w:w="2020" w:type="dxa"/>
            <w:vAlign w:val="bottom"/>
          </w:tcPr>
          <w:p>
            <w:pPr>
              <w:ind w:left="440"/>
              <w:spacing w:after="0" w:line="149" w:lineRule="exact"/>
              <w:rPr>
                <w:sz w:val="20"/>
                <w:szCs w:val="20"/>
                <w:color w:val="auto"/>
              </w:rPr>
            </w:pPr>
            <w:r>
              <w:rPr>
                <w:rFonts w:ascii="Arial" w:cs="Arial" w:eastAsia="Arial" w:hAnsi="Arial"/>
                <w:sz w:val="14"/>
                <w:szCs w:val="14"/>
                <w:color w:val="auto"/>
              </w:rPr>
              <w:t>Drugs)</w:t>
            </w:r>
          </w:p>
        </w:tc>
        <w:tc>
          <w:tcPr>
            <w:tcW w:w="880" w:type="dxa"/>
            <w:vAlign w:val="bottom"/>
          </w:tcPr>
          <w:p>
            <w:pPr>
              <w:ind w:left="120"/>
              <w:spacing w:after="0" w:line="149" w:lineRule="exact"/>
              <w:rPr>
                <w:sz w:val="20"/>
                <w:szCs w:val="20"/>
                <w:color w:val="auto"/>
              </w:rPr>
            </w:pPr>
            <w:r>
              <w:rPr>
                <w:rFonts w:ascii="Arial" w:cs="Arial" w:eastAsia="Arial" w:hAnsi="Arial"/>
                <w:sz w:val="14"/>
                <w:szCs w:val="14"/>
                <w:color w:val="auto"/>
              </w:rPr>
              <w:t>(Second</w:t>
            </w:r>
          </w:p>
        </w:tc>
        <w:tc>
          <w:tcPr>
            <w:tcW w:w="5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59"/>
        </w:trPr>
        <w:tc>
          <w:tcPr>
            <w:tcW w:w="408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880" w:type="dxa"/>
            <w:vAlign w:val="bottom"/>
          </w:tcPr>
          <w:p>
            <w:pPr>
              <w:ind w:left="120"/>
              <w:spacing w:after="0" w:line="159" w:lineRule="exact"/>
              <w:rPr>
                <w:sz w:val="20"/>
                <w:szCs w:val="20"/>
                <w:color w:val="auto"/>
              </w:rPr>
            </w:pPr>
            <w:r>
              <w:rPr>
                <w:rFonts w:ascii="Arial" w:cs="Arial" w:eastAsia="Arial" w:hAnsi="Arial"/>
                <w:sz w:val="14"/>
                <w:szCs w:val="14"/>
                <w:color w:val="auto"/>
              </w:rPr>
              <w:t>Lien)</w:t>
            </w:r>
          </w:p>
        </w:tc>
        <w:tc>
          <w:tcPr>
            <w:tcW w:w="560" w:type="dxa"/>
            <w:vAlign w:val="bottom"/>
          </w:tcPr>
          <w:p>
            <w:pPr>
              <w:spacing w:after="0"/>
              <w:rPr>
                <w:sz w:val="13"/>
                <w:szCs w:val="13"/>
                <w:color w:val="auto"/>
              </w:rPr>
            </w:pPr>
          </w:p>
        </w:tc>
        <w:tc>
          <w:tcPr>
            <w:tcW w:w="640" w:type="dxa"/>
            <w:vAlign w:val="bottom"/>
          </w:tcPr>
          <w:p>
            <w:pPr>
              <w:jc w:val="right"/>
              <w:spacing w:after="0" w:line="159" w:lineRule="exact"/>
              <w:rPr>
                <w:sz w:val="20"/>
                <w:szCs w:val="20"/>
                <w:color w:val="auto"/>
              </w:rPr>
            </w:pPr>
            <w:r>
              <w:rPr>
                <w:rFonts w:ascii="Arial" w:cs="Arial" w:eastAsia="Arial" w:hAnsi="Arial"/>
                <w:sz w:val="14"/>
                <w:szCs w:val="14"/>
                <w:color w:val="auto"/>
              </w:rPr>
              <w:t>6.75%</w:t>
            </w:r>
          </w:p>
        </w:tc>
        <w:tc>
          <w:tcPr>
            <w:tcW w:w="700" w:type="dxa"/>
            <w:vAlign w:val="bottom"/>
          </w:tcPr>
          <w:p>
            <w:pPr>
              <w:jc w:val="right"/>
              <w:spacing w:after="0" w:line="159" w:lineRule="exact"/>
              <w:rPr>
                <w:sz w:val="20"/>
                <w:szCs w:val="20"/>
                <w:color w:val="auto"/>
              </w:rPr>
            </w:pPr>
            <w:r>
              <w:rPr>
                <w:rFonts w:ascii="Arial" w:cs="Arial" w:eastAsia="Arial" w:hAnsi="Arial"/>
                <w:sz w:val="14"/>
                <w:szCs w:val="14"/>
                <w:color w:val="auto"/>
              </w:rPr>
              <w:t>3/11/2022</w:t>
            </w:r>
          </w:p>
        </w:tc>
        <w:tc>
          <w:tcPr>
            <w:tcW w:w="12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112"/>
              <w:spacing w:after="0" w:line="159" w:lineRule="exact"/>
              <w:rPr>
                <w:sz w:val="20"/>
                <w:szCs w:val="20"/>
                <w:color w:val="auto"/>
              </w:rPr>
            </w:pPr>
            <w:r>
              <w:rPr>
                <w:rFonts w:ascii="Arial" w:cs="Arial" w:eastAsia="Arial" w:hAnsi="Arial"/>
                <w:sz w:val="14"/>
                <w:szCs w:val="14"/>
                <w:color w:val="auto"/>
              </w:rPr>
              <w:t>250,000</w:t>
            </w:r>
          </w:p>
        </w:tc>
        <w:tc>
          <w:tcPr>
            <w:tcW w:w="900" w:type="dxa"/>
            <w:vAlign w:val="bottom"/>
          </w:tcPr>
          <w:p>
            <w:pPr>
              <w:jc w:val="right"/>
              <w:ind w:right="112"/>
              <w:spacing w:after="0" w:line="159" w:lineRule="exact"/>
              <w:rPr>
                <w:sz w:val="20"/>
                <w:szCs w:val="20"/>
                <w:color w:val="auto"/>
              </w:rPr>
            </w:pPr>
            <w:r>
              <w:rPr>
                <w:rFonts w:ascii="Arial" w:cs="Arial" w:eastAsia="Arial" w:hAnsi="Arial"/>
                <w:sz w:val="14"/>
                <w:szCs w:val="14"/>
                <w:color w:val="auto"/>
              </w:rPr>
              <w:t>249,730</w:t>
            </w:r>
          </w:p>
        </w:tc>
        <w:tc>
          <w:tcPr>
            <w:tcW w:w="800" w:type="dxa"/>
            <w:vAlign w:val="bottom"/>
          </w:tcPr>
          <w:p>
            <w:pPr>
              <w:jc w:val="right"/>
              <w:spacing w:after="0" w:line="159" w:lineRule="exact"/>
              <w:rPr>
                <w:sz w:val="20"/>
                <w:szCs w:val="20"/>
                <w:color w:val="auto"/>
              </w:rPr>
            </w:pPr>
            <w:r>
              <w:rPr>
                <w:rFonts w:ascii="Arial" w:cs="Arial" w:eastAsia="Arial" w:hAnsi="Arial"/>
                <w:sz w:val="14"/>
                <w:szCs w:val="14"/>
                <w:color w:val="auto"/>
              </w:rPr>
              <w:t>240,418</w:t>
            </w:r>
          </w:p>
        </w:tc>
      </w:tr>
      <w:tr>
        <w:trPr>
          <w:trHeight w:val="149"/>
        </w:trPr>
        <w:tc>
          <w:tcPr>
            <w:tcW w:w="4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Newsday, LLC</w:t>
            </w:r>
          </w:p>
        </w:tc>
        <w:tc>
          <w:tcPr>
            <w:tcW w:w="202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Publishing</w:t>
            </w:r>
          </w:p>
        </w:tc>
        <w:tc>
          <w:tcPr>
            <w:tcW w:w="88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Term Loan</w:t>
            </w:r>
          </w:p>
        </w:tc>
        <w:tc>
          <w:tcPr>
            <w:tcW w:w="56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Loan</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3.69%</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1"/>
              </w:rPr>
              <w:t>10/12/2016</w:t>
            </w: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w w:val="83"/>
              </w:rPr>
              <w:t>2,215,385</w:t>
            </w:r>
          </w:p>
        </w:tc>
        <w:tc>
          <w:tcPr>
            <w:tcW w:w="90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2,214,305</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2,201,538</w:t>
            </w:r>
          </w:p>
        </w:tc>
      </w:tr>
      <w:tr>
        <w:trPr>
          <w:trHeight w:val="138"/>
        </w:trPr>
        <w:tc>
          <w:tcPr>
            <w:tcW w:w="4080" w:type="dxa"/>
            <w:vAlign w:val="bottom"/>
          </w:tcPr>
          <w:p>
            <w:pPr>
              <w:spacing w:after="0" w:line="138" w:lineRule="exact"/>
              <w:rPr>
                <w:sz w:val="20"/>
                <w:szCs w:val="20"/>
                <w:color w:val="auto"/>
              </w:rPr>
            </w:pPr>
            <w:r>
              <w:rPr>
                <w:rFonts w:ascii="Arial" w:cs="Arial" w:eastAsia="Arial" w:hAnsi="Arial"/>
                <w:sz w:val="14"/>
                <w:szCs w:val="14"/>
                <w:color w:val="auto"/>
              </w:rPr>
              <w:t>Nortek, Inc.</w:t>
            </w:r>
          </w:p>
        </w:tc>
        <w:tc>
          <w:tcPr>
            <w:tcW w:w="2020" w:type="dxa"/>
            <w:vAlign w:val="bottom"/>
          </w:tcPr>
          <w:p>
            <w:pPr>
              <w:ind w:left="440"/>
              <w:spacing w:after="0" w:line="138" w:lineRule="exact"/>
              <w:rPr>
                <w:sz w:val="20"/>
                <w:szCs w:val="20"/>
                <w:color w:val="auto"/>
              </w:rPr>
            </w:pPr>
            <w:r>
              <w:rPr>
                <w:rFonts w:ascii="Arial" w:cs="Arial" w:eastAsia="Arial" w:hAnsi="Arial"/>
                <w:sz w:val="14"/>
                <w:szCs w:val="14"/>
                <w:color w:val="auto"/>
              </w:rPr>
              <w:t>Electronics/Electric</w:t>
            </w:r>
          </w:p>
        </w:tc>
        <w:tc>
          <w:tcPr>
            <w:tcW w:w="880" w:type="dxa"/>
            <w:vAlign w:val="bottom"/>
          </w:tcPr>
          <w:p>
            <w:pPr>
              <w:ind w:left="120"/>
              <w:spacing w:after="0" w:line="138" w:lineRule="exact"/>
              <w:rPr>
                <w:sz w:val="20"/>
                <w:szCs w:val="20"/>
                <w:color w:val="auto"/>
              </w:rPr>
            </w:pPr>
            <w:r>
              <w:rPr>
                <w:rFonts w:ascii="Arial" w:cs="Arial" w:eastAsia="Arial" w:hAnsi="Arial"/>
                <w:sz w:val="14"/>
                <w:szCs w:val="14"/>
                <w:color w:val="auto"/>
              </w:rPr>
              <w:t>Term B</w:t>
            </w:r>
          </w:p>
        </w:tc>
        <w:tc>
          <w:tcPr>
            <w:tcW w:w="560" w:type="dxa"/>
            <w:vAlign w:val="bottom"/>
          </w:tcPr>
          <w:p>
            <w:pPr>
              <w:ind w:left="60"/>
              <w:spacing w:after="0" w:line="138" w:lineRule="exact"/>
              <w:rPr>
                <w:sz w:val="20"/>
                <w:szCs w:val="20"/>
                <w:color w:val="auto"/>
              </w:rPr>
            </w:pPr>
            <w:r>
              <w:rPr>
                <w:rFonts w:ascii="Arial" w:cs="Arial" w:eastAsia="Arial" w:hAnsi="Arial"/>
                <w:sz w:val="14"/>
                <w:szCs w:val="14"/>
                <w:color w:val="auto"/>
              </w:rPr>
              <w:t>Loan</w:t>
            </w: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59"/>
        </w:trPr>
        <w:tc>
          <w:tcPr>
            <w:tcW w:w="408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880" w:type="dxa"/>
            <w:vAlign w:val="bottom"/>
          </w:tcPr>
          <w:p>
            <w:pPr>
              <w:ind w:left="120"/>
              <w:spacing w:after="0" w:line="159" w:lineRule="exact"/>
              <w:rPr>
                <w:sz w:val="20"/>
                <w:szCs w:val="20"/>
                <w:color w:val="auto"/>
              </w:rPr>
            </w:pPr>
            <w:r>
              <w:rPr>
                <w:rFonts w:ascii="Arial" w:cs="Arial" w:eastAsia="Arial" w:hAnsi="Arial"/>
                <w:sz w:val="14"/>
                <w:szCs w:val="14"/>
                <w:color w:val="auto"/>
              </w:rPr>
              <w:t>Loan</w:t>
            </w:r>
          </w:p>
        </w:tc>
        <w:tc>
          <w:tcPr>
            <w:tcW w:w="560" w:type="dxa"/>
            <w:vAlign w:val="bottom"/>
          </w:tcPr>
          <w:p>
            <w:pPr>
              <w:spacing w:after="0"/>
              <w:rPr>
                <w:sz w:val="13"/>
                <w:szCs w:val="13"/>
                <w:color w:val="auto"/>
              </w:rPr>
            </w:pPr>
          </w:p>
        </w:tc>
        <w:tc>
          <w:tcPr>
            <w:tcW w:w="640" w:type="dxa"/>
            <w:vAlign w:val="bottom"/>
          </w:tcPr>
          <w:p>
            <w:pPr>
              <w:jc w:val="right"/>
              <w:spacing w:after="0" w:line="159" w:lineRule="exact"/>
              <w:rPr>
                <w:sz w:val="20"/>
                <w:szCs w:val="20"/>
                <w:color w:val="auto"/>
              </w:rPr>
            </w:pPr>
            <w:r>
              <w:rPr>
                <w:rFonts w:ascii="Arial" w:cs="Arial" w:eastAsia="Arial" w:hAnsi="Arial"/>
                <w:sz w:val="14"/>
                <w:szCs w:val="14"/>
                <w:color w:val="auto"/>
              </w:rPr>
              <w:t>3.75%</w:t>
            </w:r>
          </w:p>
        </w:tc>
        <w:tc>
          <w:tcPr>
            <w:tcW w:w="700" w:type="dxa"/>
            <w:vAlign w:val="bottom"/>
          </w:tcPr>
          <w:p>
            <w:pPr>
              <w:jc w:val="right"/>
              <w:spacing w:after="0" w:line="159" w:lineRule="exact"/>
              <w:rPr>
                <w:sz w:val="20"/>
                <w:szCs w:val="20"/>
                <w:color w:val="auto"/>
              </w:rPr>
            </w:pPr>
            <w:r>
              <w:rPr>
                <w:rFonts w:ascii="Arial" w:cs="Arial" w:eastAsia="Arial" w:hAnsi="Arial"/>
                <w:sz w:val="14"/>
                <w:szCs w:val="14"/>
                <w:color w:val="auto"/>
                <w:w w:val="91"/>
              </w:rPr>
              <w:t>10/30/2020</w:t>
            </w:r>
          </w:p>
        </w:tc>
        <w:tc>
          <w:tcPr>
            <w:tcW w:w="12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112"/>
              <w:spacing w:after="0" w:line="159" w:lineRule="exact"/>
              <w:rPr>
                <w:sz w:val="20"/>
                <w:szCs w:val="20"/>
                <w:color w:val="auto"/>
              </w:rPr>
            </w:pPr>
            <w:r>
              <w:rPr>
                <w:rFonts w:ascii="Arial" w:cs="Arial" w:eastAsia="Arial" w:hAnsi="Arial"/>
                <w:sz w:val="14"/>
                <w:szCs w:val="14"/>
                <w:color w:val="auto"/>
              </w:rPr>
              <w:t>995,000</w:t>
            </w:r>
          </w:p>
        </w:tc>
        <w:tc>
          <w:tcPr>
            <w:tcW w:w="900" w:type="dxa"/>
            <w:vAlign w:val="bottom"/>
          </w:tcPr>
          <w:p>
            <w:pPr>
              <w:jc w:val="right"/>
              <w:ind w:right="112"/>
              <w:spacing w:after="0" w:line="159" w:lineRule="exact"/>
              <w:rPr>
                <w:sz w:val="20"/>
                <w:szCs w:val="20"/>
                <w:color w:val="auto"/>
              </w:rPr>
            </w:pPr>
            <w:r>
              <w:rPr>
                <w:rFonts w:ascii="Arial" w:cs="Arial" w:eastAsia="Arial" w:hAnsi="Arial"/>
                <w:sz w:val="14"/>
                <w:szCs w:val="14"/>
                <w:color w:val="auto"/>
              </w:rPr>
              <w:t>992,803</w:t>
            </w:r>
          </w:p>
        </w:tc>
        <w:tc>
          <w:tcPr>
            <w:tcW w:w="800" w:type="dxa"/>
            <w:vAlign w:val="bottom"/>
          </w:tcPr>
          <w:p>
            <w:pPr>
              <w:jc w:val="right"/>
              <w:spacing w:after="0" w:line="159" w:lineRule="exact"/>
              <w:rPr>
                <w:sz w:val="20"/>
                <w:szCs w:val="20"/>
                <w:color w:val="auto"/>
              </w:rPr>
            </w:pPr>
            <w:r>
              <w:rPr>
                <w:rFonts w:ascii="Arial" w:cs="Arial" w:eastAsia="Arial" w:hAnsi="Arial"/>
                <w:sz w:val="14"/>
                <w:szCs w:val="14"/>
                <w:color w:val="auto"/>
              </w:rPr>
              <w:t>986,921</w:t>
            </w:r>
          </w:p>
        </w:tc>
      </w:tr>
      <w:tr>
        <w:trPr>
          <w:trHeight w:val="138"/>
        </w:trPr>
        <w:tc>
          <w:tcPr>
            <w:tcW w:w="408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Novelis, Inc.</w:t>
            </w:r>
          </w:p>
        </w:tc>
        <w:tc>
          <w:tcPr>
            <w:tcW w:w="2020" w:type="dxa"/>
            <w:vAlign w:val="bottom"/>
            <w:shd w:val="clear" w:color="auto" w:fill="CCEEFF"/>
          </w:tcPr>
          <w:p>
            <w:pPr>
              <w:ind w:left="440"/>
              <w:spacing w:after="0" w:line="138" w:lineRule="exact"/>
              <w:rPr>
                <w:sz w:val="20"/>
                <w:szCs w:val="20"/>
                <w:color w:val="auto"/>
              </w:rPr>
            </w:pPr>
            <w:r>
              <w:rPr>
                <w:rFonts w:ascii="Arial" w:cs="Arial" w:eastAsia="Arial" w:hAnsi="Arial"/>
                <w:sz w:val="14"/>
                <w:szCs w:val="14"/>
                <w:color w:val="auto"/>
              </w:rPr>
              <w:t>Conglomerate</w:t>
            </w:r>
          </w:p>
        </w:tc>
        <w:tc>
          <w:tcPr>
            <w:tcW w:w="880" w:type="dxa"/>
            <w:vAlign w:val="bottom"/>
            <w:shd w:val="clear" w:color="auto" w:fill="CCEEFF"/>
          </w:tcPr>
          <w:p>
            <w:pPr>
              <w:ind w:left="120"/>
              <w:spacing w:after="0" w:line="138" w:lineRule="exact"/>
              <w:rPr>
                <w:sz w:val="20"/>
                <w:szCs w:val="20"/>
                <w:color w:val="auto"/>
              </w:rPr>
            </w:pPr>
            <w:r>
              <w:rPr>
                <w:rFonts w:ascii="Arial" w:cs="Arial" w:eastAsia="Arial" w:hAnsi="Arial"/>
                <w:sz w:val="14"/>
                <w:szCs w:val="14"/>
                <w:color w:val="auto"/>
              </w:rPr>
              <w:t>Initial Term</w:t>
            </w:r>
          </w:p>
        </w:tc>
        <w:tc>
          <w:tcPr>
            <w:tcW w:w="560" w:type="dxa"/>
            <w:vAlign w:val="bottom"/>
            <w:shd w:val="clear" w:color="auto" w:fill="CCEEFF"/>
          </w:tcPr>
          <w:p>
            <w:pPr>
              <w:ind w:left="60"/>
              <w:spacing w:after="0" w:line="138" w:lineRule="exact"/>
              <w:rPr>
                <w:sz w:val="20"/>
                <w:szCs w:val="20"/>
                <w:color w:val="auto"/>
              </w:rPr>
            </w:pPr>
            <w:r>
              <w:rPr>
                <w:rFonts w:ascii="Arial" w:cs="Arial" w:eastAsia="Arial" w:hAnsi="Arial"/>
                <w:sz w:val="14"/>
                <w:szCs w:val="14"/>
                <w:color w:val="auto"/>
              </w:rPr>
              <w:t>Loan</w:t>
            </w:r>
          </w:p>
        </w:tc>
        <w:tc>
          <w:tcPr>
            <w:tcW w:w="6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r>
      <w:tr>
        <w:trPr>
          <w:trHeight w:val="159"/>
        </w:trPr>
        <w:tc>
          <w:tcPr>
            <w:tcW w:w="4080" w:type="dxa"/>
            <w:vAlign w:val="bottom"/>
            <w:shd w:val="clear" w:color="auto" w:fill="CCEEFF"/>
          </w:tcPr>
          <w:p>
            <w:pPr>
              <w:spacing w:after="0"/>
              <w:rPr>
                <w:sz w:val="13"/>
                <w:szCs w:val="13"/>
                <w:color w:val="auto"/>
              </w:rPr>
            </w:pPr>
          </w:p>
        </w:tc>
        <w:tc>
          <w:tcPr>
            <w:tcW w:w="2020" w:type="dxa"/>
            <w:vAlign w:val="bottom"/>
            <w:shd w:val="clear" w:color="auto" w:fill="CCEEFF"/>
          </w:tcPr>
          <w:p>
            <w:pPr>
              <w:spacing w:after="0"/>
              <w:rPr>
                <w:sz w:val="13"/>
                <w:szCs w:val="13"/>
                <w:color w:val="auto"/>
              </w:rPr>
            </w:pPr>
          </w:p>
        </w:tc>
        <w:tc>
          <w:tcPr>
            <w:tcW w:w="880" w:type="dxa"/>
            <w:vAlign w:val="bottom"/>
            <w:shd w:val="clear" w:color="auto" w:fill="CCEEFF"/>
          </w:tcPr>
          <w:p>
            <w:pPr>
              <w:ind w:left="120"/>
              <w:spacing w:after="0" w:line="159" w:lineRule="exact"/>
              <w:rPr>
                <w:sz w:val="20"/>
                <w:szCs w:val="20"/>
                <w:color w:val="auto"/>
              </w:rPr>
            </w:pPr>
            <w:r>
              <w:rPr>
                <w:rFonts w:ascii="Arial" w:cs="Arial" w:eastAsia="Arial" w:hAnsi="Arial"/>
                <w:sz w:val="14"/>
                <w:szCs w:val="14"/>
                <w:color w:val="auto"/>
              </w:rPr>
              <w:t>Loan</w:t>
            </w:r>
          </w:p>
        </w:tc>
        <w:tc>
          <w:tcPr>
            <w:tcW w:w="56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3.75%</w:t>
            </w:r>
          </w:p>
        </w:tc>
        <w:tc>
          <w:tcPr>
            <w:tcW w:w="7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3/10/2017</w:t>
            </w:r>
          </w:p>
        </w:tc>
        <w:tc>
          <w:tcPr>
            <w:tcW w:w="1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112"/>
              <w:spacing w:after="0" w:line="159" w:lineRule="exact"/>
              <w:rPr>
                <w:sz w:val="20"/>
                <w:szCs w:val="20"/>
                <w:color w:val="auto"/>
              </w:rPr>
            </w:pPr>
            <w:r>
              <w:rPr>
                <w:rFonts w:ascii="Arial" w:cs="Arial" w:eastAsia="Arial" w:hAnsi="Arial"/>
                <w:sz w:val="14"/>
                <w:szCs w:val="14"/>
                <w:color w:val="auto"/>
                <w:w w:val="83"/>
              </w:rPr>
              <w:t>4,807,530</w:t>
            </w:r>
          </w:p>
        </w:tc>
        <w:tc>
          <w:tcPr>
            <w:tcW w:w="900" w:type="dxa"/>
            <w:vAlign w:val="bottom"/>
            <w:shd w:val="clear" w:color="auto" w:fill="CCEEFF"/>
          </w:tcPr>
          <w:p>
            <w:pPr>
              <w:jc w:val="right"/>
              <w:ind w:right="112"/>
              <w:spacing w:after="0" w:line="159" w:lineRule="exact"/>
              <w:rPr>
                <w:sz w:val="20"/>
                <w:szCs w:val="20"/>
                <w:color w:val="auto"/>
              </w:rPr>
            </w:pPr>
            <w:r>
              <w:rPr>
                <w:rFonts w:ascii="Arial" w:cs="Arial" w:eastAsia="Arial" w:hAnsi="Arial"/>
                <w:sz w:val="14"/>
                <w:szCs w:val="14"/>
                <w:color w:val="auto"/>
              </w:rPr>
              <w:t>4,817,740</w:t>
            </w:r>
          </w:p>
        </w:tc>
        <w:tc>
          <w:tcPr>
            <w:tcW w:w="8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4,799,502</w:t>
            </w:r>
          </w:p>
        </w:tc>
      </w:tr>
      <w:tr>
        <w:trPr>
          <w:trHeight w:val="138"/>
        </w:trPr>
        <w:tc>
          <w:tcPr>
            <w:tcW w:w="4080" w:type="dxa"/>
            <w:vAlign w:val="bottom"/>
          </w:tcPr>
          <w:p>
            <w:pPr>
              <w:spacing w:after="0" w:line="138" w:lineRule="exact"/>
              <w:rPr>
                <w:sz w:val="20"/>
                <w:szCs w:val="20"/>
                <w:color w:val="auto"/>
              </w:rPr>
            </w:pPr>
            <w:r>
              <w:rPr>
                <w:rFonts w:ascii="Arial" w:cs="Arial" w:eastAsia="Arial" w:hAnsi="Arial"/>
                <w:sz w:val="14"/>
                <w:szCs w:val="14"/>
                <w:color w:val="auto"/>
              </w:rPr>
              <w:t>NPC International, Inc.</w:t>
            </w:r>
          </w:p>
        </w:tc>
        <w:tc>
          <w:tcPr>
            <w:tcW w:w="2020" w:type="dxa"/>
            <w:vAlign w:val="bottom"/>
          </w:tcPr>
          <w:p>
            <w:pPr>
              <w:ind w:left="440"/>
              <w:spacing w:after="0" w:line="138" w:lineRule="exact"/>
              <w:rPr>
                <w:sz w:val="20"/>
                <w:szCs w:val="20"/>
                <w:color w:val="auto"/>
              </w:rPr>
            </w:pPr>
            <w:r>
              <w:rPr>
                <w:rFonts w:ascii="Arial" w:cs="Arial" w:eastAsia="Arial" w:hAnsi="Arial"/>
                <w:sz w:val="14"/>
                <w:szCs w:val="14"/>
                <w:color w:val="auto"/>
              </w:rPr>
              <w:t>Food Services</w:t>
            </w:r>
          </w:p>
        </w:tc>
        <w:tc>
          <w:tcPr>
            <w:tcW w:w="880" w:type="dxa"/>
            <w:vAlign w:val="bottom"/>
          </w:tcPr>
          <w:p>
            <w:pPr>
              <w:ind w:left="120"/>
              <w:spacing w:after="0" w:line="138" w:lineRule="exact"/>
              <w:rPr>
                <w:sz w:val="20"/>
                <w:szCs w:val="20"/>
                <w:color w:val="auto"/>
              </w:rPr>
            </w:pPr>
            <w:r>
              <w:rPr>
                <w:rFonts w:ascii="Arial" w:cs="Arial" w:eastAsia="Arial" w:hAnsi="Arial"/>
                <w:sz w:val="14"/>
                <w:szCs w:val="14"/>
                <w:color w:val="auto"/>
              </w:rPr>
              <w:t>Term Loan</w:t>
            </w:r>
          </w:p>
        </w:tc>
        <w:tc>
          <w:tcPr>
            <w:tcW w:w="560" w:type="dxa"/>
            <w:vAlign w:val="bottom"/>
          </w:tcPr>
          <w:p>
            <w:pPr>
              <w:ind w:left="60"/>
              <w:spacing w:after="0" w:line="138" w:lineRule="exact"/>
              <w:rPr>
                <w:sz w:val="20"/>
                <w:szCs w:val="20"/>
                <w:color w:val="auto"/>
              </w:rPr>
            </w:pPr>
            <w:r>
              <w:rPr>
                <w:rFonts w:ascii="Arial" w:cs="Arial" w:eastAsia="Arial" w:hAnsi="Arial"/>
                <w:sz w:val="14"/>
                <w:szCs w:val="14"/>
                <w:color w:val="auto"/>
              </w:rPr>
              <w:t>Loan</w:t>
            </w: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59"/>
        </w:trPr>
        <w:tc>
          <w:tcPr>
            <w:tcW w:w="408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880" w:type="dxa"/>
            <w:vAlign w:val="bottom"/>
          </w:tcPr>
          <w:p>
            <w:pPr>
              <w:ind w:left="120"/>
              <w:spacing w:after="0" w:line="159" w:lineRule="exact"/>
              <w:rPr>
                <w:sz w:val="20"/>
                <w:szCs w:val="20"/>
                <w:color w:val="auto"/>
              </w:rPr>
            </w:pPr>
            <w:r>
              <w:rPr>
                <w:rFonts w:ascii="Arial" w:cs="Arial" w:eastAsia="Arial" w:hAnsi="Arial"/>
                <w:sz w:val="14"/>
                <w:szCs w:val="14"/>
                <w:color w:val="auto"/>
              </w:rPr>
              <w:t>(2013)</w:t>
            </w:r>
          </w:p>
        </w:tc>
        <w:tc>
          <w:tcPr>
            <w:tcW w:w="560" w:type="dxa"/>
            <w:vAlign w:val="bottom"/>
          </w:tcPr>
          <w:p>
            <w:pPr>
              <w:spacing w:after="0"/>
              <w:rPr>
                <w:sz w:val="13"/>
                <w:szCs w:val="13"/>
                <w:color w:val="auto"/>
              </w:rPr>
            </w:pPr>
          </w:p>
        </w:tc>
        <w:tc>
          <w:tcPr>
            <w:tcW w:w="640" w:type="dxa"/>
            <w:vAlign w:val="bottom"/>
          </w:tcPr>
          <w:p>
            <w:pPr>
              <w:jc w:val="right"/>
              <w:spacing w:after="0" w:line="159" w:lineRule="exact"/>
              <w:rPr>
                <w:sz w:val="20"/>
                <w:szCs w:val="20"/>
                <w:color w:val="auto"/>
              </w:rPr>
            </w:pPr>
            <w:r>
              <w:rPr>
                <w:rFonts w:ascii="Arial" w:cs="Arial" w:eastAsia="Arial" w:hAnsi="Arial"/>
                <w:sz w:val="14"/>
                <w:szCs w:val="14"/>
                <w:color w:val="auto"/>
              </w:rPr>
              <w:t>4.00%</w:t>
            </w:r>
          </w:p>
        </w:tc>
        <w:tc>
          <w:tcPr>
            <w:tcW w:w="700" w:type="dxa"/>
            <w:vAlign w:val="bottom"/>
          </w:tcPr>
          <w:p>
            <w:pPr>
              <w:jc w:val="right"/>
              <w:spacing w:after="0" w:line="159" w:lineRule="exact"/>
              <w:rPr>
                <w:sz w:val="20"/>
                <w:szCs w:val="20"/>
                <w:color w:val="auto"/>
              </w:rPr>
            </w:pPr>
            <w:r>
              <w:rPr>
                <w:rFonts w:ascii="Arial" w:cs="Arial" w:eastAsia="Arial" w:hAnsi="Arial"/>
                <w:sz w:val="14"/>
                <w:szCs w:val="14"/>
                <w:color w:val="auto"/>
                <w:w w:val="91"/>
              </w:rPr>
              <w:t>12/28/2018</w:t>
            </w:r>
          </w:p>
        </w:tc>
        <w:tc>
          <w:tcPr>
            <w:tcW w:w="12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112"/>
              <w:spacing w:after="0" w:line="159" w:lineRule="exact"/>
              <w:rPr>
                <w:sz w:val="20"/>
                <w:szCs w:val="20"/>
                <w:color w:val="auto"/>
              </w:rPr>
            </w:pPr>
            <w:r>
              <w:rPr>
                <w:rFonts w:ascii="Arial" w:cs="Arial" w:eastAsia="Arial" w:hAnsi="Arial"/>
                <w:sz w:val="14"/>
                <w:szCs w:val="14"/>
                <w:color w:val="auto"/>
              </w:rPr>
              <w:t>486,250</w:t>
            </w:r>
          </w:p>
        </w:tc>
        <w:tc>
          <w:tcPr>
            <w:tcW w:w="900" w:type="dxa"/>
            <w:vAlign w:val="bottom"/>
          </w:tcPr>
          <w:p>
            <w:pPr>
              <w:jc w:val="right"/>
              <w:ind w:right="112"/>
              <w:spacing w:after="0" w:line="159" w:lineRule="exact"/>
              <w:rPr>
                <w:sz w:val="20"/>
                <w:szCs w:val="20"/>
                <w:color w:val="auto"/>
              </w:rPr>
            </w:pPr>
            <w:r>
              <w:rPr>
                <w:rFonts w:ascii="Arial" w:cs="Arial" w:eastAsia="Arial" w:hAnsi="Arial"/>
                <w:sz w:val="14"/>
                <w:szCs w:val="14"/>
                <w:color w:val="auto"/>
              </w:rPr>
              <w:t>486,250</w:t>
            </w:r>
          </w:p>
        </w:tc>
        <w:tc>
          <w:tcPr>
            <w:tcW w:w="800" w:type="dxa"/>
            <w:vAlign w:val="bottom"/>
          </w:tcPr>
          <w:p>
            <w:pPr>
              <w:jc w:val="right"/>
              <w:spacing w:after="0" w:line="159" w:lineRule="exact"/>
              <w:rPr>
                <w:sz w:val="20"/>
                <w:szCs w:val="20"/>
                <w:color w:val="auto"/>
              </w:rPr>
            </w:pPr>
            <w:r>
              <w:rPr>
                <w:rFonts w:ascii="Arial" w:cs="Arial" w:eastAsia="Arial" w:hAnsi="Arial"/>
                <w:sz w:val="14"/>
                <w:szCs w:val="14"/>
                <w:color w:val="auto"/>
              </w:rPr>
              <w:t>480,780</w:t>
            </w:r>
          </w:p>
        </w:tc>
      </w:tr>
      <w:tr>
        <w:trPr>
          <w:trHeight w:val="138"/>
        </w:trPr>
        <w:tc>
          <w:tcPr>
            <w:tcW w:w="408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NRG Energy, Inc.</w:t>
            </w:r>
          </w:p>
        </w:tc>
        <w:tc>
          <w:tcPr>
            <w:tcW w:w="2020" w:type="dxa"/>
            <w:vAlign w:val="bottom"/>
            <w:shd w:val="clear" w:color="auto" w:fill="CCEEFF"/>
          </w:tcPr>
          <w:p>
            <w:pPr>
              <w:ind w:left="440"/>
              <w:spacing w:after="0" w:line="138" w:lineRule="exact"/>
              <w:rPr>
                <w:sz w:val="20"/>
                <w:szCs w:val="20"/>
                <w:color w:val="auto"/>
              </w:rPr>
            </w:pPr>
            <w:r>
              <w:rPr>
                <w:rFonts w:ascii="Arial" w:cs="Arial" w:eastAsia="Arial" w:hAnsi="Arial"/>
                <w:sz w:val="14"/>
                <w:szCs w:val="14"/>
                <w:color w:val="auto"/>
              </w:rPr>
              <w:t>Utilities</w:t>
            </w:r>
          </w:p>
        </w:tc>
        <w:tc>
          <w:tcPr>
            <w:tcW w:w="880" w:type="dxa"/>
            <w:vAlign w:val="bottom"/>
            <w:shd w:val="clear" w:color="auto" w:fill="CCEEFF"/>
          </w:tcPr>
          <w:p>
            <w:pPr>
              <w:ind w:left="120"/>
              <w:spacing w:after="0" w:line="138" w:lineRule="exact"/>
              <w:rPr>
                <w:sz w:val="20"/>
                <w:szCs w:val="20"/>
                <w:color w:val="auto"/>
              </w:rPr>
            </w:pPr>
            <w:r>
              <w:rPr>
                <w:rFonts w:ascii="Arial" w:cs="Arial" w:eastAsia="Arial" w:hAnsi="Arial"/>
                <w:sz w:val="14"/>
                <w:szCs w:val="14"/>
                <w:color w:val="auto"/>
              </w:rPr>
              <w:t>Term Loan</w:t>
            </w:r>
          </w:p>
        </w:tc>
        <w:tc>
          <w:tcPr>
            <w:tcW w:w="560" w:type="dxa"/>
            <w:vAlign w:val="bottom"/>
            <w:shd w:val="clear" w:color="auto" w:fill="CCEEFF"/>
          </w:tcPr>
          <w:p>
            <w:pPr>
              <w:ind w:left="60"/>
              <w:spacing w:after="0" w:line="138" w:lineRule="exact"/>
              <w:rPr>
                <w:sz w:val="20"/>
                <w:szCs w:val="20"/>
                <w:color w:val="auto"/>
              </w:rPr>
            </w:pPr>
            <w:r>
              <w:rPr>
                <w:rFonts w:ascii="Arial" w:cs="Arial" w:eastAsia="Arial" w:hAnsi="Arial"/>
                <w:sz w:val="14"/>
                <w:szCs w:val="14"/>
                <w:color w:val="auto"/>
              </w:rPr>
              <w:t>Loan</w:t>
            </w:r>
          </w:p>
        </w:tc>
        <w:tc>
          <w:tcPr>
            <w:tcW w:w="6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r>
      <w:tr>
        <w:trPr>
          <w:trHeight w:val="159"/>
        </w:trPr>
        <w:tc>
          <w:tcPr>
            <w:tcW w:w="4080" w:type="dxa"/>
            <w:vAlign w:val="bottom"/>
            <w:shd w:val="clear" w:color="auto" w:fill="CCEEFF"/>
          </w:tcPr>
          <w:p>
            <w:pPr>
              <w:spacing w:after="0"/>
              <w:rPr>
                <w:sz w:val="13"/>
                <w:szCs w:val="13"/>
                <w:color w:val="auto"/>
              </w:rPr>
            </w:pPr>
          </w:p>
        </w:tc>
        <w:tc>
          <w:tcPr>
            <w:tcW w:w="2020" w:type="dxa"/>
            <w:vAlign w:val="bottom"/>
            <w:shd w:val="clear" w:color="auto" w:fill="CCEEFF"/>
          </w:tcPr>
          <w:p>
            <w:pPr>
              <w:spacing w:after="0"/>
              <w:rPr>
                <w:sz w:val="13"/>
                <w:szCs w:val="13"/>
                <w:color w:val="auto"/>
              </w:rPr>
            </w:pPr>
          </w:p>
        </w:tc>
        <w:tc>
          <w:tcPr>
            <w:tcW w:w="880" w:type="dxa"/>
            <w:vAlign w:val="bottom"/>
            <w:shd w:val="clear" w:color="auto" w:fill="CCEEFF"/>
          </w:tcPr>
          <w:p>
            <w:pPr>
              <w:ind w:left="120"/>
              <w:spacing w:after="0" w:line="159" w:lineRule="exact"/>
              <w:rPr>
                <w:sz w:val="20"/>
                <w:szCs w:val="20"/>
                <w:color w:val="auto"/>
              </w:rPr>
            </w:pPr>
            <w:r>
              <w:rPr>
                <w:rFonts w:ascii="Arial" w:cs="Arial" w:eastAsia="Arial" w:hAnsi="Arial"/>
                <w:sz w:val="14"/>
                <w:szCs w:val="14"/>
                <w:color w:val="auto"/>
              </w:rPr>
              <w:t>(2013)</w:t>
            </w:r>
          </w:p>
        </w:tc>
        <w:tc>
          <w:tcPr>
            <w:tcW w:w="56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2.75%</w:t>
            </w:r>
          </w:p>
        </w:tc>
        <w:tc>
          <w:tcPr>
            <w:tcW w:w="7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7/2/2018</w:t>
            </w:r>
          </w:p>
        </w:tc>
        <w:tc>
          <w:tcPr>
            <w:tcW w:w="1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112"/>
              <w:spacing w:after="0" w:line="159" w:lineRule="exact"/>
              <w:rPr>
                <w:sz w:val="20"/>
                <w:szCs w:val="20"/>
                <w:color w:val="auto"/>
              </w:rPr>
            </w:pPr>
            <w:r>
              <w:rPr>
                <w:rFonts w:ascii="Arial" w:cs="Arial" w:eastAsia="Arial" w:hAnsi="Arial"/>
                <w:sz w:val="14"/>
                <w:szCs w:val="14"/>
                <w:color w:val="auto"/>
                <w:w w:val="83"/>
              </w:rPr>
              <w:t>3,861,225</w:t>
            </w:r>
          </w:p>
        </w:tc>
        <w:tc>
          <w:tcPr>
            <w:tcW w:w="900" w:type="dxa"/>
            <w:vAlign w:val="bottom"/>
            <w:shd w:val="clear" w:color="auto" w:fill="CCEEFF"/>
          </w:tcPr>
          <w:p>
            <w:pPr>
              <w:jc w:val="right"/>
              <w:ind w:right="112"/>
              <w:spacing w:after="0" w:line="159" w:lineRule="exact"/>
              <w:rPr>
                <w:sz w:val="20"/>
                <w:szCs w:val="20"/>
                <w:color w:val="auto"/>
              </w:rPr>
            </w:pPr>
            <w:r>
              <w:rPr>
                <w:rFonts w:ascii="Arial" w:cs="Arial" w:eastAsia="Arial" w:hAnsi="Arial"/>
                <w:sz w:val="14"/>
                <w:szCs w:val="14"/>
                <w:color w:val="auto"/>
              </w:rPr>
              <w:t>3,842,164</w:t>
            </w:r>
          </w:p>
        </w:tc>
        <w:tc>
          <w:tcPr>
            <w:tcW w:w="8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3,850,761</w:t>
            </w:r>
          </w:p>
        </w:tc>
      </w:tr>
      <w:tr>
        <w:trPr>
          <w:trHeight w:val="149"/>
        </w:trPr>
        <w:tc>
          <w:tcPr>
            <w:tcW w:w="4080" w:type="dxa"/>
            <w:vAlign w:val="bottom"/>
          </w:tcPr>
          <w:p>
            <w:pPr>
              <w:spacing w:after="0" w:line="149" w:lineRule="exact"/>
              <w:rPr>
                <w:sz w:val="20"/>
                <w:szCs w:val="20"/>
                <w:color w:val="auto"/>
              </w:rPr>
            </w:pPr>
            <w:r>
              <w:rPr>
                <w:rFonts w:ascii="Arial" w:cs="Arial" w:eastAsia="Arial" w:hAnsi="Arial"/>
                <w:sz w:val="14"/>
                <w:szCs w:val="14"/>
                <w:color w:val="auto"/>
              </w:rPr>
              <w:t>NuSil Technology LLC.</w:t>
            </w:r>
          </w:p>
        </w:tc>
        <w:tc>
          <w:tcPr>
            <w:tcW w:w="2020" w:type="dxa"/>
            <w:vAlign w:val="bottom"/>
          </w:tcPr>
          <w:p>
            <w:pPr>
              <w:ind w:left="440"/>
              <w:spacing w:after="0" w:line="149" w:lineRule="exact"/>
              <w:rPr>
                <w:sz w:val="20"/>
                <w:szCs w:val="20"/>
                <w:color w:val="auto"/>
              </w:rPr>
            </w:pPr>
            <w:r>
              <w:rPr>
                <w:rFonts w:ascii="Arial" w:cs="Arial" w:eastAsia="Arial" w:hAnsi="Arial"/>
                <w:sz w:val="14"/>
                <w:szCs w:val="14"/>
                <w:color w:val="auto"/>
              </w:rPr>
              <w:t>Chemicals/Plastics</w:t>
            </w:r>
          </w:p>
        </w:tc>
        <w:tc>
          <w:tcPr>
            <w:tcW w:w="880" w:type="dxa"/>
            <w:vAlign w:val="bottom"/>
          </w:tcPr>
          <w:p>
            <w:pPr>
              <w:ind w:left="120"/>
              <w:spacing w:after="0" w:line="149" w:lineRule="exact"/>
              <w:rPr>
                <w:sz w:val="20"/>
                <w:szCs w:val="20"/>
                <w:color w:val="auto"/>
              </w:rPr>
            </w:pPr>
            <w:r>
              <w:rPr>
                <w:rFonts w:ascii="Arial" w:cs="Arial" w:eastAsia="Arial" w:hAnsi="Arial"/>
                <w:sz w:val="14"/>
                <w:szCs w:val="14"/>
                <w:color w:val="auto"/>
              </w:rPr>
              <w:t>Term Loan</w:t>
            </w:r>
          </w:p>
        </w:tc>
        <w:tc>
          <w:tcPr>
            <w:tcW w:w="560" w:type="dxa"/>
            <w:vAlign w:val="bottom"/>
          </w:tcPr>
          <w:p>
            <w:pPr>
              <w:ind w:left="60"/>
              <w:spacing w:after="0" w:line="149" w:lineRule="exact"/>
              <w:rPr>
                <w:sz w:val="20"/>
                <w:szCs w:val="20"/>
                <w:color w:val="auto"/>
              </w:rPr>
            </w:pPr>
            <w:r>
              <w:rPr>
                <w:rFonts w:ascii="Arial" w:cs="Arial" w:eastAsia="Arial" w:hAnsi="Arial"/>
                <w:sz w:val="14"/>
                <w:szCs w:val="14"/>
                <w:color w:val="auto"/>
              </w:rPr>
              <w:t>Loan</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5.25%</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4/7/2017</w:t>
            </w:r>
          </w:p>
        </w:tc>
        <w:tc>
          <w:tcPr>
            <w:tcW w:w="1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797,986</w:t>
            </w:r>
          </w:p>
        </w:tc>
        <w:tc>
          <w:tcPr>
            <w:tcW w:w="90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797,986</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791,004</w:t>
            </w:r>
          </w:p>
        </w:tc>
      </w:tr>
      <w:tr>
        <w:trPr>
          <w:trHeight w:val="138"/>
        </w:trPr>
        <w:tc>
          <w:tcPr>
            <w:tcW w:w="408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Ollie’s Bargain Outlet, Inc</w:t>
            </w:r>
          </w:p>
        </w:tc>
        <w:tc>
          <w:tcPr>
            <w:tcW w:w="2020" w:type="dxa"/>
            <w:vAlign w:val="bottom"/>
            <w:shd w:val="clear" w:color="auto" w:fill="CCEEFF"/>
          </w:tcPr>
          <w:p>
            <w:pPr>
              <w:ind w:left="440"/>
              <w:spacing w:after="0" w:line="138" w:lineRule="exact"/>
              <w:rPr>
                <w:sz w:val="20"/>
                <w:szCs w:val="20"/>
                <w:color w:val="auto"/>
              </w:rPr>
            </w:pPr>
            <w:r>
              <w:rPr>
                <w:rFonts w:ascii="Arial" w:cs="Arial" w:eastAsia="Arial" w:hAnsi="Arial"/>
                <w:sz w:val="14"/>
                <w:szCs w:val="14"/>
                <w:color w:val="auto"/>
                <w:w w:val="91"/>
              </w:rPr>
              <w:t>Retailers (Except Food and</w:t>
            </w:r>
          </w:p>
        </w:tc>
        <w:tc>
          <w:tcPr>
            <w:tcW w:w="880" w:type="dxa"/>
            <w:vAlign w:val="bottom"/>
            <w:shd w:val="clear" w:color="auto" w:fill="CCEEFF"/>
          </w:tcPr>
          <w:p>
            <w:pPr>
              <w:ind w:left="120"/>
              <w:spacing w:after="0" w:line="138" w:lineRule="exact"/>
              <w:rPr>
                <w:sz w:val="20"/>
                <w:szCs w:val="20"/>
                <w:color w:val="auto"/>
              </w:rPr>
            </w:pPr>
            <w:r>
              <w:rPr>
                <w:rFonts w:ascii="Arial" w:cs="Arial" w:eastAsia="Arial" w:hAnsi="Arial"/>
                <w:sz w:val="14"/>
                <w:szCs w:val="14"/>
                <w:color w:val="auto"/>
              </w:rPr>
              <w:t>Term Loan</w:t>
            </w:r>
          </w:p>
        </w:tc>
        <w:tc>
          <w:tcPr>
            <w:tcW w:w="560" w:type="dxa"/>
            <w:vAlign w:val="bottom"/>
            <w:shd w:val="clear" w:color="auto" w:fill="CCEEFF"/>
          </w:tcPr>
          <w:p>
            <w:pPr>
              <w:ind w:left="60"/>
              <w:spacing w:after="0" w:line="138" w:lineRule="exact"/>
              <w:rPr>
                <w:sz w:val="20"/>
                <w:szCs w:val="20"/>
                <w:color w:val="auto"/>
              </w:rPr>
            </w:pPr>
            <w:r>
              <w:rPr>
                <w:rFonts w:ascii="Arial" w:cs="Arial" w:eastAsia="Arial" w:hAnsi="Arial"/>
                <w:sz w:val="14"/>
                <w:szCs w:val="14"/>
                <w:color w:val="auto"/>
              </w:rPr>
              <w:t>Loan</w:t>
            </w:r>
          </w:p>
        </w:tc>
        <w:tc>
          <w:tcPr>
            <w:tcW w:w="6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r>
      <w:tr>
        <w:trPr>
          <w:trHeight w:val="159"/>
        </w:trPr>
        <w:tc>
          <w:tcPr>
            <w:tcW w:w="4080" w:type="dxa"/>
            <w:vAlign w:val="bottom"/>
            <w:shd w:val="clear" w:color="auto" w:fill="CCEEFF"/>
          </w:tcPr>
          <w:p>
            <w:pPr>
              <w:spacing w:after="0"/>
              <w:rPr>
                <w:sz w:val="13"/>
                <w:szCs w:val="13"/>
                <w:color w:val="auto"/>
              </w:rPr>
            </w:pPr>
          </w:p>
        </w:tc>
        <w:tc>
          <w:tcPr>
            <w:tcW w:w="2020" w:type="dxa"/>
            <w:vAlign w:val="bottom"/>
            <w:shd w:val="clear" w:color="auto" w:fill="CCEEFF"/>
          </w:tcPr>
          <w:p>
            <w:pPr>
              <w:ind w:left="440"/>
              <w:spacing w:after="0" w:line="159" w:lineRule="exact"/>
              <w:rPr>
                <w:sz w:val="20"/>
                <w:szCs w:val="20"/>
                <w:color w:val="auto"/>
              </w:rPr>
            </w:pPr>
            <w:r>
              <w:rPr>
                <w:rFonts w:ascii="Arial" w:cs="Arial" w:eastAsia="Arial" w:hAnsi="Arial"/>
                <w:sz w:val="14"/>
                <w:szCs w:val="14"/>
                <w:color w:val="auto"/>
              </w:rPr>
              <w:t>Drugs)</w:t>
            </w:r>
          </w:p>
        </w:tc>
        <w:tc>
          <w:tcPr>
            <w:tcW w:w="8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4.75%</w:t>
            </w:r>
          </w:p>
        </w:tc>
        <w:tc>
          <w:tcPr>
            <w:tcW w:w="7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9/30/2019</w:t>
            </w:r>
          </w:p>
        </w:tc>
        <w:tc>
          <w:tcPr>
            <w:tcW w:w="1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112"/>
              <w:spacing w:after="0" w:line="159" w:lineRule="exact"/>
              <w:rPr>
                <w:sz w:val="20"/>
                <w:szCs w:val="20"/>
                <w:color w:val="auto"/>
              </w:rPr>
            </w:pPr>
            <w:r>
              <w:rPr>
                <w:rFonts w:ascii="Arial" w:cs="Arial" w:eastAsia="Arial" w:hAnsi="Arial"/>
                <w:sz w:val="14"/>
                <w:szCs w:val="14"/>
                <w:color w:val="auto"/>
              </w:rPr>
              <w:t>977,052</w:t>
            </w:r>
          </w:p>
        </w:tc>
        <w:tc>
          <w:tcPr>
            <w:tcW w:w="900" w:type="dxa"/>
            <w:vAlign w:val="bottom"/>
            <w:shd w:val="clear" w:color="auto" w:fill="CCEEFF"/>
          </w:tcPr>
          <w:p>
            <w:pPr>
              <w:jc w:val="right"/>
              <w:ind w:right="112"/>
              <w:spacing w:after="0" w:line="159" w:lineRule="exact"/>
              <w:rPr>
                <w:sz w:val="20"/>
                <w:szCs w:val="20"/>
                <w:color w:val="auto"/>
              </w:rPr>
            </w:pPr>
            <w:r>
              <w:rPr>
                <w:rFonts w:ascii="Arial" w:cs="Arial" w:eastAsia="Arial" w:hAnsi="Arial"/>
                <w:sz w:val="14"/>
                <w:szCs w:val="14"/>
                <w:color w:val="auto"/>
              </w:rPr>
              <w:t>972,882</w:t>
            </w:r>
          </w:p>
        </w:tc>
        <w:tc>
          <w:tcPr>
            <w:tcW w:w="8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962,396</w:t>
            </w:r>
          </w:p>
        </w:tc>
      </w:tr>
      <w:tr>
        <w:trPr>
          <w:trHeight w:val="138"/>
        </w:trPr>
        <w:tc>
          <w:tcPr>
            <w:tcW w:w="4080" w:type="dxa"/>
            <w:vAlign w:val="bottom"/>
          </w:tcPr>
          <w:p>
            <w:pPr>
              <w:spacing w:after="0" w:line="138" w:lineRule="exact"/>
              <w:rPr>
                <w:sz w:val="20"/>
                <w:szCs w:val="20"/>
                <w:color w:val="auto"/>
              </w:rPr>
            </w:pPr>
            <w:r>
              <w:rPr>
                <w:rFonts w:ascii="Arial" w:cs="Arial" w:eastAsia="Arial" w:hAnsi="Arial"/>
                <w:sz w:val="14"/>
                <w:szCs w:val="14"/>
                <w:color w:val="auto"/>
              </w:rPr>
              <w:t>On Assignment, Inc.</w:t>
            </w:r>
          </w:p>
        </w:tc>
        <w:tc>
          <w:tcPr>
            <w:tcW w:w="2020" w:type="dxa"/>
            <w:vAlign w:val="bottom"/>
          </w:tcPr>
          <w:p>
            <w:pPr>
              <w:ind w:left="440"/>
              <w:spacing w:after="0" w:line="138" w:lineRule="exact"/>
              <w:rPr>
                <w:sz w:val="20"/>
                <w:szCs w:val="20"/>
                <w:color w:val="auto"/>
              </w:rPr>
            </w:pPr>
            <w:r>
              <w:rPr>
                <w:rFonts w:ascii="Arial" w:cs="Arial" w:eastAsia="Arial" w:hAnsi="Arial"/>
                <w:sz w:val="14"/>
                <w:szCs w:val="14"/>
                <w:color w:val="auto"/>
              </w:rPr>
              <w:t>Services: Business</w:t>
            </w:r>
          </w:p>
        </w:tc>
        <w:tc>
          <w:tcPr>
            <w:tcW w:w="880" w:type="dxa"/>
            <w:vAlign w:val="bottom"/>
          </w:tcPr>
          <w:p>
            <w:pPr>
              <w:ind w:left="120"/>
              <w:spacing w:after="0" w:line="138" w:lineRule="exact"/>
              <w:rPr>
                <w:sz w:val="20"/>
                <w:szCs w:val="20"/>
                <w:color w:val="auto"/>
              </w:rPr>
            </w:pPr>
            <w:r>
              <w:rPr>
                <w:rFonts w:ascii="Arial" w:cs="Arial" w:eastAsia="Arial" w:hAnsi="Arial"/>
                <w:sz w:val="14"/>
                <w:szCs w:val="14"/>
                <w:color w:val="auto"/>
              </w:rPr>
              <w:t>Initial Term</w:t>
            </w:r>
          </w:p>
        </w:tc>
        <w:tc>
          <w:tcPr>
            <w:tcW w:w="560" w:type="dxa"/>
            <w:vAlign w:val="bottom"/>
          </w:tcPr>
          <w:p>
            <w:pPr>
              <w:ind w:left="60"/>
              <w:spacing w:after="0" w:line="138" w:lineRule="exact"/>
              <w:rPr>
                <w:sz w:val="20"/>
                <w:szCs w:val="20"/>
                <w:color w:val="auto"/>
              </w:rPr>
            </w:pPr>
            <w:r>
              <w:rPr>
                <w:rFonts w:ascii="Arial" w:cs="Arial" w:eastAsia="Arial" w:hAnsi="Arial"/>
                <w:sz w:val="14"/>
                <w:szCs w:val="14"/>
                <w:color w:val="auto"/>
              </w:rPr>
              <w:t>Loan</w:t>
            </w: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59"/>
        </w:trPr>
        <w:tc>
          <w:tcPr>
            <w:tcW w:w="408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880" w:type="dxa"/>
            <w:vAlign w:val="bottom"/>
          </w:tcPr>
          <w:p>
            <w:pPr>
              <w:ind w:left="120"/>
              <w:spacing w:after="0" w:line="159" w:lineRule="exact"/>
              <w:rPr>
                <w:sz w:val="20"/>
                <w:szCs w:val="20"/>
                <w:color w:val="auto"/>
              </w:rPr>
            </w:pPr>
            <w:r>
              <w:rPr>
                <w:rFonts w:ascii="Arial" w:cs="Arial" w:eastAsia="Arial" w:hAnsi="Arial"/>
                <w:sz w:val="14"/>
                <w:szCs w:val="14"/>
                <w:color w:val="auto"/>
              </w:rPr>
              <w:t>B Loan</w:t>
            </w:r>
          </w:p>
        </w:tc>
        <w:tc>
          <w:tcPr>
            <w:tcW w:w="560" w:type="dxa"/>
            <w:vAlign w:val="bottom"/>
          </w:tcPr>
          <w:p>
            <w:pPr>
              <w:spacing w:after="0"/>
              <w:rPr>
                <w:sz w:val="13"/>
                <w:szCs w:val="13"/>
                <w:color w:val="auto"/>
              </w:rPr>
            </w:pPr>
          </w:p>
        </w:tc>
        <w:tc>
          <w:tcPr>
            <w:tcW w:w="640" w:type="dxa"/>
            <w:vAlign w:val="bottom"/>
          </w:tcPr>
          <w:p>
            <w:pPr>
              <w:jc w:val="right"/>
              <w:spacing w:after="0" w:line="159" w:lineRule="exact"/>
              <w:rPr>
                <w:sz w:val="20"/>
                <w:szCs w:val="20"/>
                <w:color w:val="auto"/>
              </w:rPr>
            </w:pPr>
            <w:r>
              <w:rPr>
                <w:rFonts w:ascii="Arial" w:cs="Arial" w:eastAsia="Arial" w:hAnsi="Arial"/>
                <w:sz w:val="14"/>
                <w:szCs w:val="14"/>
                <w:color w:val="auto"/>
              </w:rPr>
              <w:t>3.50%</w:t>
            </w:r>
          </w:p>
        </w:tc>
        <w:tc>
          <w:tcPr>
            <w:tcW w:w="700" w:type="dxa"/>
            <w:vAlign w:val="bottom"/>
          </w:tcPr>
          <w:p>
            <w:pPr>
              <w:jc w:val="right"/>
              <w:spacing w:after="0" w:line="159" w:lineRule="exact"/>
              <w:rPr>
                <w:sz w:val="20"/>
                <w:szCs w:val="20"/>
                <w:color w:val="auto"/>
              </w:rPr>
            </w:pPr>
            <w:r>
              <w:rPr>
                <w:rFonts w:ascii="Arial" w:cs="Arial" w:eastAsia="Arial" w:hAnsi="Arial"/>
                <w:sz w:val="14"/>
                <w:szCs w:val="14"/>
                <w:color w:val="auto"/>
              </w:rPr>
              <w:t>5/15/2020</w:t>
            </w:r>
          </w:p>
        </w:tc>
        <w:tc>
          <w:tcPr>
            <w:tcW w:w="12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112"/>
              <w:spacing w:after="0" w:line="159" w:lineRule="exact"/>
              <w:rPr>
                <w:sz w:val="20"/>
                <w:szCs w:val="20"/>
                <w:color w:val="auto"/>
              </w:rPr>
            </w:pPr>
            <w:r>
              <w:rPr>
                <w:rFonts w:ascii="Arial" w:cs="Arial" w:eastAsia="Arial" w:hAnsi="Arial"/>
                <w:sz w:val="14"/>
                <w:szCs w:val="14"/>
                <w:color w:val="auto"/>
                <w:w w:val="83"/>
              </w:rPr>
              <w:t>1,311,364</w:t>
            </w:r>
          </w:p>
        </w:tc>
        <w:tc>
          <w:tcPr>
            <w:tcW w:w="900" w:type="dxa"/>
            <w:vAlign w:val="bottom"/>
          </w:tcPr>
          <w:p>
            <w:pPr>
              <w:jc w:val="right"/>
              <w:ind w:right="112"/>
              <w:spacing w:after="0" w:line="159" w:lineRule="exact"/>
              <w:rPr>
                <w:sz w:val="20"/>
                <w:szCs w:val="20"/>
                <w:color w:val="auto"/>
              </w:rPr>
            </w:pPr>
            <w:r>
              <w:rPr>
                <w:rFonts w:ascii="Arial" w:cs="Arial" w:eastAsia="Arial" w:hAnsi="Arial"/>
                <w:sz w:val="14"/>
                <w:szCs w:val="14"/>
                <w:color w:val="auto"/>
              </w:rPr>
              <w:t>1,303,451</w:t>
            </w:r>
          </w:p>
        </w:tc>
        <w:tc>
          <w:tcPr>
            <w:tcW w:w="800" w:type="dxa"/>
            <w:vAlign w:val="bottom"/>
          </w:tcPr>
          <w:p>
            <w:pPr>
              <w:jc w:val="right"/>
              <w:spacing w:after="0" w:line="159" w:lineRule="exact"/>
              <w:rPr>
                <w:sz w:val="20"/>
                <w:szCs w:val="20"/>
                <w:color w:val="auto"/>
              </w:rPr>
            </w:pPr>
            <w:r>
              <w:rPr>
                <w:rFonts w:ascii="Arial" w:cs="Arial" w:eastAsia="Arial" w:hAnsi="Arial"/>
                <w:sz w:val="14"/>
                <w:szCs w:val="14"/>
                <w:color w:val="auto"/>
              </w:rPr>
              <w:t>1,301,528</w:t>
            </w:r>
          </w:p>
        </w:tc>
      </w:tr>
      <w:tr>
        <w:trPr>
          <w:trHeight w:val="138"/>
        </w:trPr>
        <w:tc>
          <w:tcPr>
            <w:tcW w:w="408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Onex Carestream Finance LP</w:t>
            </w:r>
          </w:p>
        </w:tc>
        <w:tc>
          <w:tcPr>
            <w:tcW w:w="2020" w:type="dxa"/>
            <w:vAlign w:val="bottom"/>
            <w:shd w:val="clear" w:color="auto" w:fill="CCEEFF"/>
          </w:tcPr>
          <w:p>
            <w:pPr>
              <w:ind w:left="440"/>
              <w:spacing w:after="0" w:line="138" w:lineRule="exact"/>
              <w:rPr>
                <w:sz w:val="20"/>
                <w:szCs w:val="20"/>
                <w:color w:val="auto"/>
              </w:rPr>
            </w:pPr>
            <w:r>
              <w:rPr>
                <w:rFonts w:ascii="Arial" w:cs="Arial" w:eastAsia="Arial" w:hAnsi="Arial"/>
                <w:sz w:val="14"/>
                <w:szCs w:val="14"/>
                <w:color w:val="auto"/>
              </w:rPr>
              <w:t>Healthcare &amp;</w:t>
            </w:r>
          </w:p>
        </w:tc>
        <w:tc>
          <w:tcPr>
            <w:tcW w:w="880" w:type="dxa"/>
            <w:vAlign w:val="bottom"/>
            <w:shd w:val="clear" w:color="auto" w:fill="CCEEFF"/>
          </w:tcPr>
          <w:p>
            <w:pPr>
              <w:ind w:left="120"/>
              <w:spacing w:after="0" w:line="138" w:lineRule="exact"/>
              <w:rPr>
                <w:sz w:val="20"/>
                <w:szCs w:val="20"/>
                <w:color w:val="auto"/>
              </w:rPr>
            </w:pPr>
            <w:r>
              <w:rPr>
                <w:rFonts w:ascii="Arial" w:cs="Arial" w:eastAsia="Arial" w:hAnsi="Arial"/>
                <w:sz w:val="14"/>
                <w:szCs w:val="14"/>
                <w:color w:val="auto"/>
              </w:rPr>
              <w:t>Term Loan</w:t>
            </w:r>
          </w:p>
        </w:tc>
        <w:tc>
          <w:tcPr>
            <w:tcW w:w="560" w:type="dxa"/>
            <w:vAlign w:val="bottom"/>
            <w:shd w:val="clear" w:color="auto" w:fill="CCEEFF"/>
          </w:tcPr>
          <w:p>
            <w:pPr>
              <w:ind w:left="60"/>
              <w:spacing w:after="0" w:line="138" w:lineRule="exact"/>
              <w:rPr>
                <w:sz w:val="20"/>
                <w:szCs w:val="20"/>
                <w:color w:val="auto"/>
              </w:rPr>
            </w:pPr>
            <w:r>
              <w:rPr>
                <w:rFonts w:ascii="Arial" w:cs="Arial" w:eastAsia="Arial" w:hAnsi="Arial"/>
                <w:sz w:val="14"/>
                <w:szCs w:val="14"/>
                <w:color w:val="auto"/>
              </w:rPr>
              <w:t>Loan</w:t>
            </w:r>
          </w:p>
        </w:tc>
        <w:tc>
          <w:tcPr>
            <w:tcW w:w="6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r>
      <w:tr>
        <w:trPr>
          <w:trHeight w:val="149"/>
        </w:trPr>
        <w:tc>
          <w:tcPr>
            <w:tcW w:w="4080" w:type="dxa"/>
            <w:vAlign w:val="bottom"/>
            <w:shd w:val="clear" w:color="auto" w:fill="CCEEFF"/>
          </w:tcPr>
          <w:p>
            <w:pPr>
              <w:spacing w:after="0"/>
              <w:rPr>
                <w:sz w:val="12"/>
                <w:szCs w:val="12"/>
                <w:color w:val="auto"/>
              </w:rPr>
            </w:pPr>
          </w:p>
        </w:tc>
        <w:tc>
          <w:tcPr>
            <w:tcW w:w="202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Pharmaceuticals</w:t>
            </w:r>
          </w:p>
        </w:tc>
        <w:tc>
          <w:tcPr>
            <w:tcW w:w="88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(First Lien</w:t>
            </w:r>
          </w:p>
        </w:tc>
        <w:tc>
          <w:tcPr>
            <w:tcW w:w="5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r>
      <w:tr>
        <w:trPr>
          <w:trHeight w:val="159"/>
        </w:trPr>
        <w:tc>
          <w:tcPr>
            <w:tcW w:w="4080" w:type="dxa"/>
            <w:vAlign w:val="bottom"/>
            <w:shd w:val="clear" w:color="auto" w:fill="CCEEFF"/>
          </w:tcPr>
          <w:p>
            <w:pPr>
              <w:spacing w:after="0"/>
              <w:rPr>
                <w:sz w:val="13"/>
                <w:szCs w:val="13"/>
                <w:color w:val="auto"/>
              </w:rPr>
            </w:pPr>
          </w:p>
        </w:tc>
        <w:tc>
          <w:tcPr>
            <w:tcW w:w="2020" w:type="dxa"/>
            <w:vAlign w:val="bottom"/>
            <w:shd w:val="clear" w:color="auto" w:fill="CCEEFF"/>
          </w:tcPr>
          <w:p>
            <w:pPr>
              <w:spacing w:after="0"/>
              <w:rPr>
                <w:sz w:val="13"/>
                <w:szCs w:val="13"/>
                <w:color w:val="auto"/>
              </w:rPr>
            </w:pPr>
          </w:p>
        </w:tc>
        <w:tc>
          <w:tcPr>
            <w:tcW w:w="880" w:type="dxa"/>
            <w:vAlign w:val="bottom"/>
            <w:shd w:val="clear" w:color="auto" w:fill="CCEEFF"/>
          </w:tcPr>
          <w:p>
            <w:pPr>
              <w:ind w:left="120"/>
              <w:spacing w:after="0" w:line="159" w:lineRule="exact"/>
              <w:rPr>
                <w:sz w:val="20"/>
                <w:szCs w:val="20"/>
                <w:color w:val="auto"/>
              </w:rPr>
            </w:pPr>
            <w:r>
              <w:rPr>
                <w:rFonts w:ascii="Arial" w:cs="Arial" w:eastAsia="Arial" w:hAnsi="Arial"/>
                <w:sz w:val="14"/>
                <w:szCs w:val="14"/>
                <w:color w:val="auto"/>
              </w:rPr>
              <w:t>2013)</w:t>
            </w:r>
          </w:p>
        </w:tc>
        <w:tc>
          <w:tcPr>
            <w:tcW w:w="56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5.00%</w:t>
            </w:r>
          </w:p>
        </w:tc>
        <w:tc>
          <w:tcPr>
            <w:tcW w:w="7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6/7/2019</w:t>
            </w:r>
          </w:p>
        </w:tc>
        <w:tc>
          <w:tcPr>
            <w:tcW w:w="1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112"/>
              <w:spacing w:after="0" w:line="159" w:lineRule="exact"/>
              <w:rPr>
                <w:sz w:val="20"/>
                <w:szCs w:val="20"/>
                <w:color w:val="auto"/>
              </w:rPr>
            </w:pPr>
            <w:r>
              <w:rPr>
                <w:rFonts w:ascii="Arial" w:cs="Arial" w:eastAsia="Arial" w:hAnsi="Arial"/>
                <w:sz w:val="14"/>
                <w:szCs w:val="14"/>
                <w:color w:val="auto"/>
                <w:w w:val="83"/>
              </w:rPr>
              <w:t>4,074,401</w:t>
            </w:r>
          </w:p>
        </w:tc>
        <w:tc>
          <w:tcPr>
            <w:tcW w:w="900" w:type="dxa"/>
            <w:vAlign w:val="bottom"/>
            <w:shd w:val="clear" w:color="auto" w:fill="CCEEFF"/>
          </w:tcPr>
          <w:p>
            <w:pPr>
              <w:jc w:val="right"/>
              <w:ind w:right="112"/>
              <w:spacing w:after="0" w:line="159" w:lineRule="exact"/>
              <w:rPr>
                <w:sz w:val="20"/>
                <w:szCs w:val="20"/>
                <w:color w:val="auto"/>
              </w:rPr>
            </w:pPr>
            <w:r>
              <w:rPr>
                <w:rFonts w:ascii="Arial" w:cs="Arial" w:eastAsia="Arial" w:hAnsi="Arial"/>
                <w:sz w:val="14"/>
                <w:szCs w:val="14"/>
                <w:color w:val="auto"/>
              </w:rPr>
              <w:t>4,059,378</w:t>
            </w:r>
          </w:p>
        </w:tc>
        <w:tc>
          <w:tcPr>
            <w:tcW w:w="8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4,078,842</w:t>
            </w:r>
          </w:p>
        </w:tc>
      </w:tr>
      <w:tr>
        <w:trPr>
          <w:trHeight w:val="138"/>
        </w:trPr>
        <w:tc>
          <w:tcPr>
            <w:tcW w:w="4080" w:type="dxa"/>
            <w:vAlign w:val="bottom"/>
          </w:tcPr>
          <w:p>
            <w:pPr>
              <w:spacing w:after="0" w:line="138" w:lineRule="exact"/>
              <w:rPr>
                <w:sz w:val="20"/>
                <w:szCs w:val="20"/>
                <w:color w:val="auto"/>
              </w:rPr>
            </w:pPr>
            <w:r>
              <w:rPr>
                <w:rFonts w:ascii="Arial" w:cs="Arial" w:eastAsia="Arial" w:hAnsi="Arial"/>
                <w:sz w:val="14"/>
                <w:szCs w:val="14"/>
                <w:color w:val="auto"/>
              </w:rPr>
              <w:t>OnexYork Acquisition Co</w:t>
            </w:r>
          </w:p>
        </w:tc>
        <w:tc>
          <w:tcPr>
            <w:tcW w:w="2020" w:type="dxa"/>
            <w:vAlign w:val="bottom"/>
          </w:tcPr>
          <w:p>
            <w:pPr>
              <w:ind w:left="440"/>
              <w:spacing w:after="0" w:line="138" w:lineRule="exact"/>
              <w:rPr>
                <w:sz w:val="20"/>
                <w:szCs w:val="20"/>
                <w:color w:val="auto"/>
              </w:rPr>
            </w:pPr>
            <w:r>
              <w:rPr>
                <w:rFonts w:ascii="Arial" w:cs="Arial" w:eastAsia="Arial" w:hAnsi="Arial"/>
                <w:sz w:val="14"/>
                <w:szCs w:val="14"/>
                <w:color w:val="auto"/>
              </w:rPr>
              <w:t>Healthcare &amp;</w:t>
            </w:r>
          </w:p>
        </w:tc>
        <w:tc>
          <w:tcPr>
            <w:tcW w:w="880" w:type="dxa"/>
            <w:vAlign w:val="bottom"/>
          </w:tcPr>
          <w:p>
            <w:pPr>
              <w:ind w:left="120"/>
              <w:spacing w:after="0" w:line="138" w:lineRule="exact"/>
              <w:rPr>
                <w:sz w:val="20"/>
                <w:szCs w:val="20"/>
                <w:color w:val="auto"/>
              </w:rPr>
            </w:pPr>
            <w:r>
              <w:rPr>
                <w:rFonts w:ascii="Arial" w:cs="Arial" w:eastAsia="Arial" w:hAnsi="Arial"/>
                <w:sz w:val="14"/>
                <w:szCs w:val="14"/>
                <w:color w:val="auto"/>
              </w:rPr>
              <w:t>Delayed</w:t>
            </w:r>
          </w:p>
        </w:tc>
        <w:tc>
          <w:tcPr>
            <w:tcW w:w="560" w:type="dxa"/>
            <w:vAlign w:val="bottom"/>
          </w:tcPr>
          <w:p>
            <w:pPr>
              <w:ind w:left="60"/>
              <w:spacing w:after="0" w:line="138" w:lineRule="exact"/>
              <w:rPr>
                <w:sz w:val="20"/>
                <w:szCs w:val="20"/>
                <w:color w:val="auto"/>
              </w:rPr>
            </w:pPr>
            <w:r>
              <w:rPr>
                <w:rFonts w:ascii="Arial" w:cs="Arial" w:eastAsia="Arial" w:hAnsi="Arial"/>
                <w:sz w:val="14"/>
                <w:szCs w:val="14"/>
                <w:color w:val="auto"/>
              </w:rPr>
              <w:t>Loan</w:t>
            </w: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49"/>
        </w:trPr>
        <w:tc>
          <w:tcPr>
            <w:tcW w:w="4080" w:type="dxa"/>
            <w:vAlign w:val="bottom"/>
          </w:tcPr>
          <w:p>
            <w:pPr>
              <w:spacing w:after="0"/>
              <w:rPr>
                <w:sz w:val="12"/>
                <w:szCs w:val="12"/>
                <w:color w:val="auto"/>
              </w:rPr>
            </w:pPr>
          </w:p>
        </w:tc>
        <w:tc>
          <w:tcPr>
            <w:tcW w:w="2020" w:type="dxa"/>
            <w:vAlign w:val="bottom"/>
          </w:tcPr>
          <w:p>
            <w:pPr>
              <w:ind w:left="440"/>
              <w:spacing w:after="0" w:line="149" w:lineRule="exact"/>
              <w:rPr>
                <w:sz w:val="20"/>
                <w:szCs w:val="20"/>
                <w:color w:val="auto"/>
              </w:rPr>
            </w:pPr>
            <w:r>
              <w:rPr>
                <w:rFonts w:ascii="Arial" w:cs="Arial" w:eastAsia="Arial" w:hAnsi="Arial"/>
                <w:sz w:val="14"/>
                <w:szCs w:val="14"/>
                <w:color w:val="auto"/>
              </w:rPr>
              <w:t>Pharmaceuticals</w:t>
            </w:r>
          </w:p>
        </w:tc>
        <w:tc>
          <w:tcPr>
            <w:tcW w:w="880" w:type="dxa"/>
            <w:vAlign w:val="bottom"/>
          </w:tcPr>
          <w:p>
            <w:pPr>
              <w:ind w:left="120"/>
              <w:spacing w:after="0" w:line="149" w:lineRule="exact"/>
              <w:rPr>
                <w:sz w:val="20"/>
                <w:szCs w:val="20"/>
                <w:color w:val="auto"/>
              </w:rPr>
            </w:pPr>
            <w:r>
              <w:rPr>
                <w:rFonts w:ascii="Arial" w:cs="Arial" w:eastAsia="Arial" w:hAnsi="Arial"/>
                <w:sz w:val="14"/>
                <w:szCs w:val="14"/>
                <w:color w:val="auto"/>
              </w:rPr>
              <w:t>Draw Term</w:t>
            </w:r>
          </w:p>
        </w:tc>
        <w:tc>
          <w:tcPr>
            <w:tcW w:w="5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59"/>
        </w:trPr>
        <w:tc>
          <w:tcPr>
            <w:tcW w:w="408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880" w:type="dxa"/>
            <w:vAlign w:val="bottom"/>
          </w:tcPr>
          <w:p>
            <w:pPr>
              <w:ind w:left="120"/>
              <w:spacing w:after="0" w:line="159" w:lineRule="exact"/>
              <w:rPr>
                <w:sz w:val="20"/>
                <w:szCs w:val="20"/>
                <w:color w:val="auto"/>
              </w:rPr>
            </w:pPr>
            <w:r>
              <w:rPr>
                <w:rFonts w:ascii="Arial" w:cs="Arial" w:eastAsia="Arial" w:hAnsi="Arial"/>
                <w:sz w:val="14"/>
                <w:szCs w:val="14"/>
                <w:color w:val="auto"/>
              </w:rPr>
              <w:t>Loan</w:t>
            </w:r>
          </w:p>
        </w:tc>
        <w:tc>
          <w:tcPr>
            <w:tcW w:w="560" w:type="dxa"/>
            <w:vAlign w:val="bottom"/>
          </w:tcPr>
          <w:p>
            <w:pPr>
              <w:spacing w:after="0"/>
              <w:rPr>
                <w:sz w:val="13"/>
                <w:szCs w:val="13"/>
                <w:color w:val="auto"/>
              </w:rPr>
            </w:pPr>
          </w:p>
        </w:tc>
        <w:tc>
          <w:tcPr>
            <w:tcW w:w="640" w:type="dxa"/>
            <w:vAlign w:val="bottom"/>
          </w:tcPr>
          <w:p>
            <w:pPr>
              <w:jc w:val="right"/>
              <w:spacing w:after="0" w:line="159" w:lineRule="exact"/>
              <w:rPr>
                <w:sz w:val="20"/>
                <w:szCs w:val="20"/>
                <w:color w:val="auto"/>
              </w:rPr>
            </w:pPr>
            <w:r>
              <w:rPr>
                <w:rFonts w:ascii="Arial" w:cs="Arial" w:eastAsia="Arial" w:hAnsi="Arial"/>
                <w:sz w:val="14"/>
                <w:szCs w:val="14"/>
                <w:color w:val="auto"/>
              </w:rPr>
              <w:t>4.75%</w:t>
            </w:r>
          </w:p>
        </w:tc>
        <w:tc>
          <w:tcPr>
            <w:tcW w:w="700" w:type="dxa"/>
            <w:vAlign w:val="bottom"/>
          </w:tcPr>
          <w:p>
            <w:pPr>
              <w:jc w:val="right"/>
              <w:spacing w:after="0" w:line="159" w:lineRule="exact"/>
              <w:rPr>
                <w:sz w:val="20"/>
                <w:szCs w:val="20"/>
                <w:color w:val="auto"/>
              </w:rPr>
            </w:pPr>
            <w:r>
              <w:rPr>
                <w:rFonts w:ascii="Arial" w:cs="Arial" w:eastAsia="Arial" w:hAnsi="Arial"/>
                <w:sz w:val="14"/>
                <w:szCs w:val="14"/>
                <w:color w:val="auto"/>
              </w:rPr>
              <w:t>10/1/2021</w:t>
            </w:r>
          </w:p>
        </w:tc>
        <w:tc>
          <w:tcPr>
            <w:tcW w:w="12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172"/>
              <w:spacing w:after="0" w:line="159" w:lineRule="exact"/>
              <w:rPr>
                <w:sz w:val="20"/>
                <w:szCs w:val="20"/>
                <w:color w:val="auto"/>
              </w:rPr>
            </w:pPr>
            <w:r>
              <w:rPr>
                <w:rFonts w:ascii="Arial" w:cs="Arial" w:eastAsia="Arial" w:hAnsi="Arial"/>
                <w:sz w:val="14"/>
                <w:szCs w:val="14"/>
                <w:color w:val="auto"/>
              </w:rPr>
              <w:t>—</w:t>
            </w:r>
          </w:p>
        </w:tc>
        <w:tc>
          <w:tcPr>
            <w:tcW w:w="900" w:type="dxa"/>
            <w:vAlign w:val="bottom"/>
          </w:tcPr>
          <w:p>
            <w:pPr>
              <w:jc w:val="right"/>
              <w:ind w:right="172"/>
              <w:spacing w:after="0" w:line="159" w:lineRule="exact"/>
              <w:rPr>
                <w:sz w:val="20"/>
                <w:szCs w:val="20"/>
                <w:color w:val="auto"/>
              </w:rPr>
            </w:pPr>
            <w:r>
              <w:rPr>
                <w:rFonts w:ascii="Arial" w:cs="Arial" w:eastAsia="Arial" w:hAnsi="Arial"/>
                <w:sz w:val="14"/>
                <w:szCs w:val="14"/>
                <w:color w:val="auto"/>
              </w:rPr>
              <w:t>—</w:t>
            </w:r>
          </w:p>
        </w:tc>
        <w:tc>
          <w:tcPr>
            <w:tcW w:w="800" w:type="dxa"/>
            <w:vAlign w:val="bottom"/>
          </w:tcPr>
          <w:p>
            <w:pPr>
              <w:jc w:val="right"/>
              <w:ind w:right="72"/>
              <w:spacing w:after="0" w:line="159" w:lineRule="exact"/>
              <w:rPr>
                <w:sz w:val="20"/>
                <w:szCs w:val="20"/>
                <w:color w:val="auto"/>
              </w:rPr>
            </w:pPr>
            <w:r>
              <w:rPr>
                <w:rFonts w:ascii="Arial" w:cs="Arial" w:eastAsia="Arial" w:hAnsi="Arial"/>
                <w:sz w:val="14"/>
                <w:szCs w:val="14"/>
                <w:color w:val="auto"/>
              </w:rPr>
              <w:t>—</w:t>
            </w:r>
          </w:p>
        </w:tc>
      </w:tr>
      <w:tr>
        <w:trPr>
          <w:trHeight w:val="138"/>
        </w:trPr>
        <w:tc>
          <w:tcPr>
            <w:tcW w:w="408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OnexYork Acquisition Co</w:t>
            </w:r>
          </w:p>
        </w:tc>
        <w:tc>
          <w:tcPr>
            <w:tcW w:w="2020" w:type="dxa"/>
            <w:vAlign w:val="bottom"/>
            <w:shd w:val="clear" w:color="auto" w:fill="CCEEFF"/>
          </w:tcPr>
          <w:p>
            <w:pPr>
              <w:ind w:left="440"/>
              <w:spacing w:after="0" w:line="138" w:lineRule="exact"/>
              <w:rPr>
                <w:sz w:val="20"/>
                <w:szCs w:val="20"/>
                <w:color w:val="auto"/>
              </w:rPr>
            </w:pPr>
            <w:r>
              <w:rPr>
                <w:rFonts w:ascii="Arial" w:cs="Arial" w:eastAsia="Arial" w:hAnsi="Arial"/>
                <w:sz w:val="14"/>
                <w:szCs w:val="14"/>
                <w:color w:val="auto"/>
              </w:rPr>
              <w:t>Healthcare &amp;</w:t>
            </w:r>
          </w:p>
        </w:tc>
        <w:tc>
          <w:tcPr>
            <w:tcW w:w="880" w:type="dxa"/>
            <w:vAlign w:val="bottom"/>
            <w:shd w:val="clear" w:color="auto" w:fill="CCEEFF"/>
          </w:tcPr>
          <w:p>
            <w:pPr>
              <w:ind w:left="120"/>
              <w:spacing w:after="0" w:line="138" w:lineRule="exact"/>
              <w:rPr>
                <w:sz w:val="20"/>
                <w:szCs w:val="20"/>
                <w:color w:val="auto"/>
              </w:rPr>
            </w:pPr>
            <w:r>
              <w:rPr>
                <w:rFonts w:ascii="Arial" w:cs="Arial" w:eastAsia="Arial" w:hAnsi="Arial"/>
                <w:sz w:val="14"/>
                <w:szCs w:val="14"/>
                <w:color w:val="auto"/>
              </w:rPr>
              <w:t>Term Loan</w:t>
            </w:r>
          </w:p>
        </w:tc>
        <w:tc>
          <w:tcPr>
            <w:tcW w:w="560" w:type="dxa"/>
            <w:vAlign w:val="bottom"/>
            <w:shd w:val="clear" w:color="auto" w:fill="CCEEFF"/>
          </w:tcPr>
          <w:p>
            <w:pPr>
              <w:ind w:left="60"/>
              <w:spacing w:after="0" w:line="138" w:lineRule="exact"/>
              <w:rPr>
                <w:sz w:val="20"/>
                <w:szCs w:val="20"/>
                <w:color w:val="auto"/>
              </w:rPr>
            </w:pPr>
            <w:r>
              <w:rPr>
                <w:rFonts w:ascii="Arial" w:cs="Arial" w:eastAsia="Arial" w:hAnsi="Arial"/>
                <w:sz w:val="14"/>
                <w:szCs w:val="14"/>
                <w:color w:val="auto"/>
              </w:rPr>
              <w:t>Loan</w:t>
            </w:r>
          </w:p>
        </w:tc>
        <w:tc>
          <w:tcPr>
            <w:tcW w:w="6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r>
      <w:tr>
        <w:trPr>
          <w:trHeight w:val="159"/>
        </w:trPr>
        <w:tc>
          <w:tcPr>
            <w:tcW w:w="4080" w:type="dxa"/>
            <w:vAlign w:val="bottom"/>
            <w:shd w:val="clear" w:color="auto" w:fill="CCEEFF"/>
          </w:tcPr>
          <w:p>
            <w:pPr>
              <w:spacing w:after="0"/>
              <w:rPr>
                <w:sz w:val="13"/>
                <w:szCs w:val="13"/>
                <w:color w:val="auto"/>
              </w:rPr>
            </w:pPr>
          </w:p>
        </w:tc>
        <w:tc>
          <w:tcPr>
            <w:tcW w:w="2020" w:type="dxa"/>
            <w:vAlign w:val="bottom"/>
            <w:shd w:val="clear" w:color="auto" w:fill="CCEEFF"/>
          </w:tcPr>
          <w:p>
            <w:pPr>
              <w:ind w:left="440"/>
              <w:spacing w:after="0" w:line="159" w:lineRule="exact"/>
              <w:rPr>
                <w:sz w:val="20"/>
                <w:szCs w:val="20"/>
                <w:color w:val="auto"/>
              </w:rPr>
            </w:pPr>
            <w:r>
              <w:rPr>
                <w:rFonts w:ascii="Arial" w:cs="Arial" w:eastAsia="Arial" w:hAnsi="Arial"/>
                <w:sz w:val="14"/>
                <w:szCs w:val="14"/>
                <w:color w:val="auto"/>
              </w:rPr>
              <w:t>Pharmaceuticals</w:t>
            </w:r>
          </w:p>
        </w:tc>
        <w:tc>
          <w:tcPr>
            <w:tcW w:w="880" w:type="dxa"/>
            <w:vAlign w:val="bottom"/>
            <w:shd w:val="clear" w:color="auto" w:fill="CCEEFF"/>
          </w:tcPr>
          <w:p>
            <w:pPr>
              <w:ind w:left="120"/>
              <w:spacing w:after="0" w:line="159" w:lineRule="exact"/>
              <w:rPr>
                <w:sz w:val="20"/>
                <w:szCs w:val="20"/>
                <w:color w:val="auto"/>
              </w:rPr>
            </w:pPr>
            <w:r>
              <w:rPr>
                <w:rFonts w:ascii="Arial" w:cs="Arial" w:eastAsia="Arial" w:hAnsi="Arial"/>
                <w:sz w:val="14"/>
                <w:szCs w:val="14"/>
                <w:color w:val="auto"/>
              </w:rPr>
              <w:t>B</w:t>
            </w:r>
          </w:p>
        </w:tc>
        <w:tc>
          <w:tcPr>
            <w:tcW w:w="56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4.75%</w:t>
            </w:r>
          </w:p>
        </w:tc>
        <w:tc>
          <w:tcPr>
            <w:tcW w:w="7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10/1/2021</w:t>
            </w:r>
          </w:p>
        </w:tc>
        <w:tc>
          <w:tcPr>
            <w:tcW w:w="1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112"/>
              <w:spacing w:after="0" w:line="159" w:lineRule="exact"/>
              <w:rPr>
                <w:sz w:val="20"/>
                <w:szCs w:val="20"/>
                <w:color w:val="auto"/>
              </w:rPr>
            </w:pPr>
            <w:r>
              <w:rPr>
                <w:rFonts w:ascii="Arial" w:cs="Arial" w:eastAsia="Arial" w:hAnsi="Arial"/>
                <w:sz w:val="14"/>
                <w:szCs w:val="14"/>
                <w:color w:val="auto"/>
              </w:rPr>
              <w:t>498,750</w:t>
            </w:r>
          </w:p>
        </w:tc>
        <w:tc>
          <w:tcPr>
            <w:tcW w:w="900" w:type="dxa"/>
            <w:vAlign w:val="bottom"/>
            <w:shd w:val="clear" w:color="auto" w:fill="CCEEFF"/>
          </w:tcPr>
          <w:p>
            <w:pPr>
              <w:jc w:val="right"/>
              <w:ind w:right="112"/>
              <w:spacing w:after="0" w:line="159" w:lineRule="exact"/>
              <w:rPr>
                <w:sz w:val="20"/>
                <w:szCs w:val="20"/>
                <w:color w:val="auto"/>
              </w:rPr>
            </w:pPr>
            <w:r>
              <w:rPr>
                <w:rFonts w:ascii="Arial" w:cs="Arial" w:eastAsia="Arial" w:hAnsi="Arial"/>
                <w:sz w:val="14"/>
                <w:szCs w:val="14"/>
                <w:color w:val="auto"/>
              </w:rPr>
              <w:t>495,208</w:t>
            </w:r>
          </w:p>
        </w:tc>
        <w:tc>
          <w:tcPr>
            <w:tcW w:w="8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496,466</w:t>
            </w:r>
          </w:p>
        </w:tc>
      </w:tr>
      <w:tr>
        <w:trPr>
          <w:trHeight w:val="138"/>
        </w:trPr>
        <w:tc>
          <w:tcPr>
            <w:tcW w:w="4080" w:type="dxa"/>
            <w:vAlign w:val="bottom"/>
          </w:tcPr>
          <w:p>
            <w:pPr>
              <w:spacing w:after="0" w:line="138" w:lineRule="exact"/>
              <w:rPr>
                <w:sz w:val="20"/>
                <w:szCs w:val="20"/>
                <w:color w:val="auto"/>
              </w:rPr>
            </w:pPr>
            <w:r>
              <w:rPr>
                <w:rFonts w:ascii="Arial" w:cs="Arial" w:eastAsia="Arial" w:hAnsi="Arial"/>
                <w:sz w:val="14"/>
                <w:szCs w:val="14"/>
                <w:color w:val="auto"/>
              </w:rPr>
              <w:t>OpenLink International LLC</w:t>
            </w:r>
          </w:p>
        </w:tc>
        <w:tc>
          <w:tcPr>
            <w:tcW w:w="2020" w:type="dxa"/>
            <w:vAlign w:val="bottom"/>
          </w:tcPr>
          <w:p>
            <w:pPr>
              <w:ind w:left="440"/>
              <w:spacing w:after="0" w:line="138" w:lineRule="exact"/>
              <w:rPr>
                <w:sz w:val="20"/>
                <w:szCs w:val="20"/>
                <w:color w:val="auto"/>
              </w:rPr>
            </w:pPr>
            <w:r>
              <w:rPr>
                <w:rFonts w:ascii="Arial" w:cs="Arial" w:eastAsia="Arial" w:hAnsi="Arial"/>
                <w:sz w:val="14"/>
                <w:szCs w:val="14"/>
                <w:color w:val="auto"/>
              </w:rPr>
              <w:t>Services: Business</w:t>
            </w:r>
          </w:p>
        </w:tc>
        <w:tc>
          <w:tcPr>
            <w:tcW w:w="880" w:type="dxa"/>
            <w:vAlign w:val="bottom"/>
          </w:tcPr>
          <w:p>
            <w:pPr>
              <w:ind w:left="120"/>
              <w:spacing w:after="0" w:line="138" w:lineRule="exact"/>
              <w:rPr>
                <w:sz w:val="20"/>
                <w:szCs w:val="20"/>
                <w:color w:val="auto"/>
              </w:rPr>
            </w:pPr>
            <w:r>
              <w:rPr>
                <w:rFonts w:ascii="Arial" w:cs="Arial" w:eastAsia="Arial" w:hAnsi="Arial"/>
                <w:sz w:val="14"/>
                <w:szCs w:val="14"/>
                <w:color w:val="auto"/>
              </w:rPr>
              <w:t>Term B</w:t>
            </w:r>
          </w:p>
        </w:tc>
        <w:tc>
          <w:tcPr>
            <w:tcW w:w="560" w:type="dxa"/>
            <w:vAlign w:val="bottom"/>
          </w:tcPr>
          <w:p>
            <w:pPr>
              <w:ind w:left="60"/>
              <w:spacing w:after="0" w:line="138" w:lineRule="exact"/>
              <w:rPr>
                <w:sz w:val="20"/>
                <w:szCs w:val="20"/>
                <w:color w:val="auto"/>
              </w:rPr>
            </w:pPr>
            <w:r>
              <w:rPr>
                <w:rFonts w:ascii="Arial" w:cs="Arial" w:eastAsia="Arial" w:hAnsi="Arial"/>
                <w:sz w:val="14"/>
                <w:szCs w:val="14"/>
                <w:color w:val="auto"/>
              </w:rPr>
              <w:t>Loan</w:t>
            </w: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59"/>
        </w:trPr>
        <w:tc>
          <w:tcPr>
            <w:tcW w:w="408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880" w:type="dxa"/>
            <w:vAlign w:val="bottom"/>
          </w:tcPr>
          <w:p>
            <w:pPr>
              <w:ind w:left="120"/>
              <w:spacing w:after="0" w:line="159" w:lineRule="exact"/>
              <w:rPr>
                <w:sz w:val="20"/>
                <w:szCs w:val="20"/>
                <w:color w:val="auto"/>
              </w:rPr>
            </w:pPr>
            <w:r>
              <w:rPr>
                <w:rFonts w:ascii="Arial" w:cs="Arial" w:eastAsia="Arial" w:hAnsi="Arial"/>
                <w:sz w:val="14"/>
                <w:szCs w:val="14"/>
                <w:color w:val="auto"/>
              </w:rPr>
              <w:t>Loan</w:t>
            </w:r>
          </w:p>
        </w:tc>
        <w:tc>
          <w:tcPr>
            <w:tcW w:w="560" w:type="dxa"/>
            <w:vAlign w:val="bottom"/>
          </w:tcPr>
          <w:p>
            <w:pPr>
              <w:spacing w:after="0"/>
              <w:rPr>
                <w:sz w:val="13"/>
                <w:szCs w:val="13"/>
                <w:color w:val="auto"/>
              </w:rPr>
            </w:pPr>
          </w:p>
        </w:tc>
        <w:tc>
          <w:tcPr>
            <w:tcW w:w="640" w:type="dxa"/>
            <w:vAlign w:val="bottom"/>
          </w:tcPr>
          <w:p>
            <w:pPr>
              <w:jc w:val="right"/>
              <w:spacing w:after="0" w:line="159" w:lineRule="exact"/>
              <w:rPr>
                <w:sz w:val="20"/>
                <w:szCs w:val="20"/>
                <w:color w:val="auto"/>
              </w:rPr>
            </w:pPr>
            <w:r>
              <w:rPr>
                <w:rFonts w:ascii="Arial" w:cs="Arial" w:eastAsia="Arial" w:hAnsi="Arial"/>
                <w:sz w:val="14"/>
                <w:szCs w:val="14"/>
                <w:color w:val="auto"/>
              </w:rPr>
              <w:t>6.25%</w:t>
            </w:r>
          </w:p>
        </w:tc>
        <w:tc>
          <w:tcPr>
            <w:tcW w:w="700" w:type="dxa"/>
            <w:vAlign w:val="bottom"/>
          </w:tcPr>
          <w:p>
            <w:pPr>
              <w:jc w:val="right"/>
              <w:spacing w:after="0" w:line="159" w:lineRule="exact"/>
              <w:rPr>
                <w:sz w:val="20"/>
                <w:szCs w:val="20"/>
                <w:color w:val="auto"/>
              </w:rPr>
            </w:pPr>
            <w:r>
              <w:rPr>
                <w:rFonts w:ascii="Arial" w:cs="Arial" w:eastAsia="Arial" w:hAnsi="Arial"/>
                <w:sz w:val="14"/>
                <w:szCs w:val="14"/>
                <w:color w:val="auto"/>
                <w:w w:val="91"/>
              </w:rPr>
              <w:t>10/28/2017</w:t>
            </w:r>
          </w:p>
        </w:tc>
        <w:tc>
          <w:tcPr>
            <w:tcW w:w="12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112"/>
              <w:spacing w:after="0" w:line="159" w:lineRule="exact"/>
              <w:rPr>
                <w:sz w:val="20"/>
                <w:szCs w:val="20"/>
                <w:color w:val="auto"/>
              </w:rPr>
            </w:pPr>
            <w:r>
              <w:rPr>
                <w:rFonts w:ascii="Arial" w:cs="Arial" w:eastAsia="Arial" w:hAnsi="Arial"/>
                <w:sz w:val="14"/>
                <w:szCs w:val="14"/>
                <w:color w:val="auto"/>
              </w:rPr>
              <w:t>970,000</w:t>
            </w:r>
          </w:p>
        </w:tc>
        <w:tc>
          <w:tcPr>
            <w:tcW w:w="900" w:type="dxa"/>
            <w:vAlign w:val="bottom"/>
          </w:tcPr>
          <w:p>
            <w:pPr>
              <w:jc w:val="right"/>
              <w:ind w:right="112"/>
              <w:spacing w:after="0" w:line="159" w:lineRule="exact"/>
              <w:rPr>
                <w:sz w:val="20"/>
                <w:szCs w:val="20"/>
                <w:color w:val="auto"/>
              </w:rPr>
            </w:pPr>
            <w:r>
              <w:rPr>
                <w:rFonts w:ascii="Arial" w:cs="Arial" w:eastAsia="Arial" w:hAnsi="Arial"/>
                <w:sz w:val="14"/>
                <w:szCs w:val="14"/>
                <w:color w:val="auto"/>
              </w:rPr>
              <w:t>970,000</w:t>
            </w:r>
          </w:p>
        </w:tc>
        <w:tc>
          <w:tcPr>
            <w:tcW w:w="800" w:type="dxa"/>
            <w:vAlign w:val="bottom"/>
          </w:tcPr>
          <w:p>
            <w:pPr>
              <w:jc w:val="right"/>
              <w:spacing w:after="0" w:line="159" w:lineRule="exact"/>
              <w:rPr>
                <w:sz w:val="20"/>
                <w:szCs w:val="20"/>
                <w:color w:val="auto"/>
              </w:rPr>
            </w:pPr>
            <w:r>
              <w:rPr>
                <w:rFonts w:ascii="Arial" w:cs="Arial" w:eastAsia="Arial" w:hAnsi="Arial"/>
                <w:sz w:val="14"/>
                <w:szCs w:val="14"/>
                <w:color w:val="auto"/>
              </w:rPr>
              <w:t>957,875</w:t>
            </w:r>
          </w:p>
        </w:tc>
      </w:tr>
      <w:tr>
        <w:trPr>
          <w:trHeight w:val="138"/>
        </w:trPr>
        <w:tc>
          <w:tcPr>
            <w:tcW w:w="408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Orbitz Worldwide, Inc.</w:t>
            </w:r>
          </w:p>
        </w:tc>
        <w:tc>
          <w:tcPr>
            <w:tcW w:w="2020" w:type="dxa"/>
            <w:vAlign w:val="bottom"/>
            <w:shd w:val="clear" w:color="auto" w:fill="CCEEFF"/>
          </w:tcPr>
          <w:p>
            <w:pPr>
              <w:ind w:left="440"/>
              <w:spacing w:after="0" w:line="138" w:lineRule="exact"/>
              <w:rPr>
                <w:sz w:val="20"/>
                <w:szCs w:val="20"/>
                <w:color w:val="auto"/>
              </w:rPr>
            </w:pPr>
            <w:r>
              <w:rPr>
                <w:rFonts w:ascii="Arial" w:cs="Arial" w:eastAsia="Arial" w:hAnsi="Arial"/>
                <w:sz w:val="14"/>
                <w:szCs w:val="14"/>
                <w:color w:val="auto"/>
              </w:rPr>
              <w:t>Services: Business</w:t>
            </w:r>
          </w:p>
        </w:tc>
        <w:tc>
          <w:tcPr>
            <w:tcW w:w="880" w:type="dxa"/>
            <w:vAlign w:val="bottom"/>
            <w:shd w:val="clear" w:color="auto" w:fill="CCEEFF"/>
          </w:tcPr>
          <w:p>
            <w:pPr>
              <w:ind w:left="120"/>
              <w:spacing w:after="0" w:line="138" w:lineRule="exact"/>
              <w:rPr>
                <w:sz w:val="20"/>
                <w:szCs w:val="20"/>
                <w:color w:val="auto"/>
              </w:rPr>
            </w:pPr>
            <w:r>
              <w:rPr>
                <w:rFonts w:ascii="Arial" w:cs="Arial" w:eastAsia="Arial" w:hAnsi="Arial"/>
                <w:sz w:val="14"/>
                <w:szCs w:val="14"/>
                <w:color w:val="auto"/>
              </w:rPr>
              <w:t>Term Loan</w:t>
            </w:r>
          </w:p>
        </w:tc>
        <w:tc>
          <w:tcPr>
            <w:tcW w:w="560" w:type="dxa"/>
            <w:vAlign w:val="bottom"/>
            <w:shd w:val="clear" w:color="auto" w:fill="CCEEFF"/>
          </w:tcPr>
          <w:p>
            <w:pPr>
              <w:ind w:left="60"/>
              <w:spacing w:after="0" w:line="138" w:lineRule="exact"/>
              <w:rPr>
                <w:sz w:val="20"/>
                <w:szCs w:val="20"/>
                <w:color w:val="auto"/>
              </w:rPr>
            </w:pPr>
            <w:r>
              <w:rPr>
                <w:rFonts w:ascii="Arial" w:cs="Arial" w:eastAsia="Arial" w:hAnsi="Arial"/>
                <w:sz w:val="14"/>
                <w:szCs w:val="14"/>
                <w:color w:val="auto"/>
              </w:rPr>
              <w:t>Loan</w:t>
            </w:r>
          </w:p>
        </w:tc>
        <w:tc>
          <w:tcPr>
            <w:tcW w:w="6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r>
      <w:tr>
        <w:trPr>
          <w:trHeight w:val="159"/>
        </w:trPr>
        <w:tc>
          <w:tcPr>
            <w:tcW w:w="4080" w:type="dxa"/>
            <w:vAlign w:val="bottom"/>
            <w:shd w:val="clear" w:color="auto" w:fill="CCEEFF"/>
          </w:tcPr>
          <w:p>
            <w:pPr>
              <w:spacing w:after="0"/>
              <w:rPr>
                <w:sz w:val="13"/>
                <w:szCs w:val="13"/>
                <w:color w:val="auto"/>
              </w:rPr>
            </w:pPr>
          </w:p>
        </w:tc>
        <w:tc>
          <w:tcPr>
            <w:tcW w:w="2020" w:type="dxa"/>
            <w:vAlign w:val="bottom"/>
            <w:shd w:val="clear" w:color="auto" w:fill="CCEEFF"/>
          </w:tcPr>
          <w:p>
            <w:pPr>
              <w:spacing w:after="0"/>
              <w:rPr>
                <w:sz w:val="13"/>
                <w:szCs w:val="13"/>
                <w:color w:val="auto"/>
              </w:rPr>
            </w:pPr>
          </w:p>
        </w:tc>
        <w:tc>
          <w:tcPr>
            <w:tcW w:w="880" w:type="dxa"/>
            <w:vAlign w:val="bottom"/>
            <w:shd w:val="clear" w:color="auto" w:fill="CCEEFF"/>
          </w:tcPr>
          <w:p>
            <w:pPr>
              <w:ind w:left="120"/>
              <w:spacing w:after="0" w:line="159" w:lineRule="exact"/>
              <w:rPr>
                <w:sz w:val="20"/>
                <w:szCs w:val="20"/>
                <w:color w:val="auto"/>
              </w:rPr>
            </w:pPr>
            <w:r>
              <w:rPr>
                <w:rFonts w:ascii="Arial" w:cs="Arial" w:eastAsia="Arial" w:hAnsi="Arial"/>
                <w:sz w:val="14"/>
                <w:szCs w:val="14"/>
                <w:color w:val="auto"/>
              </w:rPr>
              <w:t>(First Lien)</w:t>
            </w:r>
          </w:p>
        </w:tc>
        <w:tc>
          <w:tcPr>
            <w:tcW w:w="56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4.50%</w:t>
            </w:r>
          </w:p>
        </w:tc>
        <w:tc>
          <w:tcPr>
            <w:tcW w:w="7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4/15/2021</w:t>
            </w:r>
          </w:p>
        </w:tc>
        <w:tc>
          <w:tcPr>
            <w:tcW w:w="1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112"/>
              <w:spacing w:after="0" w:line="159" w:lineRule="exact"/>
              <w:rPr>
                <w:sz w:val="20"/>
                <w:szCs w:val="20"/>
                <w:color w:val="auto"/>
              </w:rPr>
            </w:pPr>
            <w:r>
              <w:rPr>
                <w:rFonts w:ascii="Arial" w:cs="Arial" w:eastAsia="Arial" w:hAnsi="Arial"/>
                <w:sz w:val="14"/>
                <w:szCs w:val="14"/>
                <w:color w:val="auto"/>
                <w:w w:val="83"/>
              </w:rPr>
              <w:t>1,494,994</w:t>
            </w:r>
          </w:p>
        </w:tc>
        <w:tc>
          <w:tcPr>
            <w:tcW w:w="900" w:type="dxa"/>
            <w:vAlign w:val="bottom"/>
            <w:shd w:val="clear" w:color="auto" w:fill="CCEEFF"/>
          </w:tcPr>
          <w:p>
            <w:pPr>
              <w:jc w:val="right"/>
              <w:ind w:right="112"/>
              <w:spacing w:after="0" w:line="159" w:lineRule="exact"/>
              <w:rPr>
                <w:sz w:val="20"/>
                <w:szCs w:val="20"/>
                <w:color w:val="auto"/>
              </w:rPr>
            </w:pPr>
            <w:r>
              <w:rPr>
                <w:rFonts w:ascii="Arial" w:cs="Arial" w:eastAsia="Arial" w:hAnsi="Arial"/>
                <w:sz w:val="14"/>
                <w:szCs w:val="14"/>
                <w:color w:val="auto"/>
              </w:rPr>
              <w:t>1,492,711</w:t>
            </w:r>
          </w:p>
        </w:tc>
        <w:tc>
          <w:tcPr>
            <w:tcW w:w="8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1,494,755</w:t>
            </w:r>
          </w:p>
        </w:tc>
      </w:tr>
      <w:tr>
        <w:trPr>
          <w:trHeight w:val="138"/>
        </w:trPr>
        <w:tc>
          <w:tcPr>
            <w:tcW w:w="4080" w:type="dxa"/>
            <w:vAlign w:val="bottom"/>
          </w:tcPr>
          <w:p>
            <w:pPr>
              <w:spacing w:after="0" w:line="138" w:lineRule="exact"/>
              <w:rPr>
                <w:sz w:val="20"/>
                <w:szCs w:val="20"/>
                <w:color w:val="auto"/>
              </w:rPr>
            </w:pPr>
            <w:r>
              <w:rPr>
                <w:rFonts w:ascii="Arial" w:cs="Arial" w:eastAsia="Arial" w:hAnsi="Arial"/>
                <w:sz w:val="14"/>
                <w:szCs w:val="14"/>
                <w:color w:val="auto"/>
              </w:rPr>
              <w:t>P.F. Chang’s China Bistro, Inc. (Wok Acquisition Corp.)</w:t>
            </w:r>
          </w:p>
        </w:tc>
        <w:tc>
          <w:tcPr>
            <w:tcW w:w="2020" w:type="dxa"/>
            <w:vAlign w:val="bottom"/>
          </w:tcPr>
          <w:p>
            <w:pPr>
              <w:ind w:left="440"/>
              <w:spacing w:after="0" w:line="138" w:lineRule="exact"/>
              <w:rPr>
                <w:sz w:val="20"/>
                <w:szCs w:val="20"/>
                <w:color w:val="auto"/>
              </w:rPr>
            </w:pPr>
            <w:r>
              <w:rPr>
                <w:rFonts w:ascii="Arial" w:cs="Arial" w:eastAsia="Arial" w:hAnsi="Arial"/>
                <w:sz w:val="14"/>
                <w:szCs w:val="14"/>
                <w:color w:val="auto"/>
              </w:rPr>
              <w:t>Food/Drug Retailers</w:t>
            </w:r>
          </w:p>
        </w:tc>
        <w:tc>
          <w:tcPr>
            <w:tcW w:w="880" w:type="dxa"/>
            <w:vAlign w:val="bottom"/>
          </w:tcPr>
          <w:p>
            <w:pPr>
              <w:ind w:left="120"/>
              <w:spacing w:after="0" w:line="138" w:lineRule="exact"/>
              <w:rPr>
                <w:sz w:val="20"/>
                <w:szCs w:val="20"/>
                <w:color w:val="auto"/>
              </w:rPr>
            </w:pPr>
            <w:r>
              <w:rPr>
                <w:rFonts w:ascii="Arial" w:cs="Arial" w:eastAsia="Arial" w:hAnsi="Arial"/>
                <w:sz w:val="14"/>
                <w:szCs w:val="14"/>
                <w:color w:val="auto"/>
              </w:rPr>
              <w:t>Term</w:t>
            </w:r>
          </w:p>
        </w:tc>
        <w:tc>
          <w:tcPr>
            <w:tcW w:w="560" w:type="dxa"/>
            <w:vAlign w:val="bottom"/>
          </w:tcPr>
          <w:p>
            <w:pPr>
              <w:ind w:left="60"/>
              <w:spacing w:after="0" w:line="138" w:lineRule="exact"/>
              <w:rPr>
                <w:sz w:val="20"/>
                <w:szCs w:val="20"/>
                <w:color w:val="auto"/>
              </w:rPr>
            </w:pPr>
            <w:r>
              <w:rPr>
                <w:rFonts w:ascii="Arial" w:cs="Arial" w:eastAsia="Arial" w:hAnsi="Arial"/>
                <w:sz w:val="14"/>
                <w:szCs w:val="14"/>
                <w:color w:val="auto"/>
              </w:rPr>
              <w:t>Loan</w:t>
            </w: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59"/>
        </w:trPr>
        <w:tc>
          <w:tcPr>
            <w:tcW w:w="408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880" w:type="dxa"/>
            <w:vAlign w:val="bottom"/>
          </w:tcPr>
          <w:p>
            <w:pPr>
              <w:ind w:left="120"/>
              <w:spacing w:after="0" w:line="159" w:lineRule="exact"/>
              <w:rPr>
                <w:sz w:val="20"/>
                <w:szCs w:val="20"/>
                <w:color w:val="auto"/>
              </w:rPr>
            </w:pPr>
            <w:r>
              <w:rPr>
                <w:rFonts w:ascii="Arial" w:cs="Arial" w:eastAsia="Arial" w:hAnsi="Arial"/>
                <w:sz w:val="14"/>
                <w:szCs w:val="14"/>
                <w:color w:val="auto"/>
              </w:rPr>
              <w:t>Borrowing</w:t>
            </w:r>
          </w:p>
        </w:tc>
        <w:tc>
          <w:tcPr>
            <w:tcW w:w="560" w:type="dxa"/>
            <w:vAlign w:val="bottom"/>
          </w:tcPr>
          <w:p>
            <w:pPr>
              <w:spacing w:after="0"/>
              <w:rPr>
                <w:sz w:val="13"/>
                <w:szCs w:val="13"/>
                <w:color w:val="auto"/>
              </w:rPr>
            </w:pPr>
          </w:p>
        </w:tc>
        <w:tc>
          <w:tcPr>
            <w:tcW w:w="640" w:type="dxa"/>
            <w:vAlign w:val="bottom"/>
          </w:tcPr>
          <w:p>
            <w:pPr>
              <w:jc w:val="right"/>
              <w:spacing w:after="0" w:line="159" w:lineRule="exact"/>
              <w:rPr>
                <w:sz w:val="20"/>
                <w:szCs w:val="20"/>
                <w:color w:val="auto"/>
              </w:rPr>
            </w:pPr>
            <w:r>
              <w:rPr>
                <w:rFonts w:ascii="Arial" w:cs="Arial" w:eastAsia="Arial" w:hAnsi="Arial"/>
                <w:sz w:val="14"/>
                <w:szCs w:val="14"/>
                <w:color w:val="auto"/>
              </w:rPr>
              <w:t>4.25%</w:t>
            </w:r>
          </w:p>
        </w:tc>
        <w:tc>
          <w:tcPr>
            <w:tcW w:w="700" w:type="dxa"/>
            <w:vAlign w:val="bottom"/>
          </w:tcPr>
          <w:p>
            <w:pPr>
              <w:jc w:val="right"/>
              <w:spacing w:after="0" w:line="159" w:lineRule="exact"/>
              <w:rPr>
                <w:sz w:val="20"/>
                <w:szCs w:val="20"/>
                <w:color w:val="auto"/>
              </w:rPr>
            </w:pPr>
            <w:r>
              <w:rPr>
                <w:rFonts w:ascii="Arial" w:cs="Arial" w:eastAsia="Arial" w:hAnsi="Arial"/>
                <w:sz w:val="14"/>
                <w:szCs w:val="14"/>
                <w:color w:val="auto"/>
              </w:rPr>
              <w:t>6/24/2019</w:t>
            </w:r>
          </w:p>
        </w:tc>
        <w:tc>
          <w:tcPr>
            <w:tcW w:w="12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112"/>
              <w:spacing w:after="0" w:line="159" w:lineRule="exact"/>
              <w:rPr>
                <w:sz w:val="20"/>
                <w:szCs w:val="20"/>
                <w:color w:val="auto"/>
              </w:rPr>
            </w:pPr>
            <w:r>
              <w:rPr>
                <w:rFonts w:ascii="Arial" w:cs="Arial" w:eastAsia="Arial" w:hAnsi="Arial"/>
                <w:sz w:val="14"/>
                <w:szCs w:val="14"/>
                <w:color w:val="auto"/>
                <w:w w:val="83"/>
              </w:rPr>
              <w:t>1,447,901</w:t>
            </w:r>
          </w:p>
        </w:tc>
        <w:tc>
          <w:tcPr>
            <w:tcW w:w="900" w:type="dxa"/>
            <w:vAlign w:val="bottom"/>
          </w:tcPr>
          <w:p>
            <w:pPr>
              <w:jc w:val="right"/>
              <w:ind w:right="112"/>
              <w:spacing w:after="0" w:line="159" w:lineRule="exact"/>
              <w:rPr>
                <w:sz w:val="20"/>
                <w:szCs w:val="20"/>
                <w:color w:val="auto"/>
              </w:rPr>
            </w:pPr>
            <w:r>
              <w:rPr>
                <w:rFonts w:ascii="Arial" w:cs="Arial" w:eastAsia="Arial" w:hAnsi="Arial"/>
                <w:sz w:val="14"/>
                <w:szCs w:val="14"/>
                <w:color w:val="auto"/>
              </w:rPr>
              <w:t>1,440,712</w:t>
            </w:r>
          </w:p>
        </w:tc>
        <w:tc>
          <w:tcPr>
            <w:tcW w:w="800" w:type="dxa"/>
            <w:vAlign w:val="bottom"/>
          </w:tcPr>
          <w:p>
            <w:pPr>
              <w:jc w:val="right"/>
              <w:spacing w:after="0" w:line="159" w:lineRule="exact"/>
              <w:rPr>
                <w:sz w:val="20"/>
                <w:szCs w:val="20"/>
                <w:color w:val="auto"/>
              </w:rPr>
            </w:pPr>
            <w:r>
              <w:rPr>
                <w:rFonts w:ascii="Arial" w:cs="Arial" w:eastAsia="Arial" w:hAnsi="Arial"/>
                <w:sz w:val="14"/>
                <w:szCs w:val="14"/>
                <w:color w:val="auto"/>
              </w:rPr>
              <w:t>1,406,274</w:t>
            </w:r>
          </w:p>
        </w:tc>
      </w:tr>
      <w:tr>
        <w:trPr>
          <w:trHeight w:val="138"/>
        </w:trPr>
        <w:tc>
          <w:tcPr>
            <w:tcW w:w="408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P2 Upstream Acquisition Co. (P2 Upstream Canada BC ULC)</w:t>
            </w:r>
          </w:p>
        </w:tc>
        <w:tc>
          <w:tcPr>
            <w:tcW w:w="2020" w:type="dxa"/>
            <w:vAlign w:val="bottom"/>
            <w:shd w:val="clear" w:color="auto" w:fill="CCEEFF"/>
          </w:tcPr>
          <w:p>
            <w:pPr>
              <w:ind w:left="440"/>
              <w:spacing w:after="0" w:line="138" w:lineRule="exact"/>
              <w:rPr>
                <w:sz w:val="20"/>
                <w:szCs w:val="20"/>
                <w:color w:val="auto"/>
              </w:rPr>
            </w:pPr>
            <w:r>
              <w:rPr>
                <w:rFonts w:ascii="Arial" w:cs="Arial" w:eastAsia="Arial" w:hAnsi="Arial"/>
                <w:sz w:val="14"/>
                <w:szCs w:val="14"/>
                <w:color w:val="auto"/>
              </w:rPr>
              <w:t>Services: Business</w:t>
            </w:r>
          </w:p>
        </w:tc>
        <w:tc>
          <w:tcPr>
            <w:tcW w:w="880" w:type="dxa"/>
            <w:vAlign w:val="bottom"/>
            <w:shd w:val="clear" w:color="auto" w:fill="CCEEFF"/>
          </w:tcPr>
          <w:p>
            <w:pPr>
              <w:ind w:left="120"/>
              <w:spacing w:after="0" w:line="138" w:lineRule="exact"/>
              <w:rPr>
                <w:sz w:val="20"/>
                <w:szCs w:val="20"/>
                <w:color w:val="auto"/>
              </w:rPr>
            </w:pPr>
            <w:r>
              <w:rPr>
                <w:rFonts w:ascii="Arial" w:cs="Arial" w:eastAsia="Arial" w:hAnsi="Arial"/>
                <w:sz w:val="14"/>
                <w:szCs w:val="14"/>
                <w:color w:val="auto"/>
              </w:rPr>
              <w:t>Term Loan</w:t>
            </w:r>
          </w:p>
        </w:tc>
        <w:tc>
          <w:tcPr>
            <w:tcW w:w="560" w:type="dxa"/>
            <w:vAlign w:val="bottom"/>
            <w:shd w:val="clear" w:color="auto" w:fill="CCEEFF"/>
          </w:tcPr>
          <w:p>
            <w:pPr>
              <w:ind w:left="60"/>
              <w:spacing w:after="0" w:line="138" w:lineRule="exact"/>
              <w:rPr>
                <w:sz w:val="20"/>
                <w:szCs w:val="20"/>
                <w:color w:val="auto"/>
              </w:rPr>
            </w:pPr>
            <w:r>
              <w:rPr>
                <w:rFonts w:ascii="Arial" w:cs="Arial" w:eastAsia="Arial" w:hAnsi="Arial"/>
                <w:sz w:val="14"/>
                <w:szCs w:val="14"/>
                <w:color w:val="auto"/>
              </w:rPr>
              <w:t>Loan</w:t>
            </w:r>
          </w:p>
        </w:tc>
        <w:tc>
          <w:tcPr>
            <w:tcW w:w="6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r>
      <w:tr>
        <w:trPr>
          <w:trHeight w:val="159"/>
        </w:trPr>
        <w:tc>
          <w:tcPr>
            <w:tcW w:w="4080" w:type="dxa"/>
            <w:vAlign w:val="bottom"/>
            <w:shd w:val="clear" w:color="auto" w:fill="CCEEFF"/>
          </w:tcPr>
          <w:p>
            <w:pPr>
              <w:spacing w:after="0"/>
              <w:rPr>
                <w:sz w:val="13"/>
                <w:szCs w:val="13"/>
                <w:color w:val="auto"/>
              </w:rPr>
            </w:pPr>
          </w:p>
        </w:tc>
        <w:tc>
          <w:tcPr>
            <w:tcW w:w="2020" w:type="dxa"/>
            <w:vAlign w:val="bottom"/>
            <w:shd w:val="clear" w:color="auto" w:fill="CCEEFF"/>
          </w:tcPr>
          <w:p>
            <w:pPr>
              <w:spacing w:after="0"/>
              <w:rPr>
                <w:sz w:val="13"/>
                <w:szCs w:val="13"/>
                <w:color w:val="auto"/>
              </w:rPr>
            </w:pPr>
          </w:p>
        </w:tc>
        <w:tc>
          <w:tcPr>
            <w:tcW w:w="880" w:type="dxa"/>
            <w:vAlign w:val="bottom"/>
            <w:shd w:val="clear" w:color="auto" w:fill="CCEEFF"/>
          </w:tcPr>
          <w:p>
            <w:pPr>
              <w:ind w:left="120"/>
              <w:spacing w:after="0" w:line="159" w:lineRule="exact"/>
              <w:rPr>
                <w:sz w:val="20"/>
                <w:szCs w:val="20"/>
                <w:color w:val="auto"/>
              </w:rPr>
            </w:pPr>
            <w:r>
              <w:rPr>
                <w:rFonts w:ascii="Arial" w:cs="Arial" w:eastAsia="Arial" w:hAnsi="Arial"/>
                <w:sz w:val="14"/>
                <w:szCs w:val="14"/>
                <w:color w:val="auto"/>
              </w:rPr>
              <w:t>(First Lien)</w:t>
            </w:r>
          </w:p>
        </w:tc>
        <w:tc>
          <w:tcPr>
            <w:tcW w:w="56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5.00%</w:t>
            </w:r>
          </w:p>
        </w:tc>
        <w:tc>
          <w:tcPr>
            <w:tcW w:w="7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91"/>
              </w:rPr>
              <w:t>10/30/2020</w:t>
            </w:r>
          </w:p>
        </w:tc>
        <w:tc>
          <w:tcPr>
            <w:tcW w:w="1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112"/>
              <w:spacing w:after="0" w:line="159" w:lineRule="exact"/>
              <w:rPr>
                <w:sz w:val="20"/>
                <w:szCs w:val="20"/>
                <w:color w:val="auto"/>
              </w:rPr>
            </w:pPr>
            <w:r>
              <w:rPr>
                <w:rFonts w:ascii="Arial" w:cs="Arial" w:eastAsia="Arial" w:hAnsi="Arial"/>
                <w:sz w:val="14"/>
                <w:szCs w:val="14"/>
                <w:color w:val="auto"/>
              </w:rPr>
              <w:t>990,000</w:t>
            </w:r>
          </w:p>
        </w:tc>
        <w:tc>
          <w:tcPr>
            <w:tcW w:w="900" w:type="dxa"/>
            <w:vAlign w:val="bottom"/>
            <w:shd w:val="clear" w:color="auto" w:fill="CCEEFF"/>
          </w:tcPr>
          <w:p>
            <w:pPr>
              <w:jc w:val="right"/>
              <w:ind w:right="112"/>
              <w:spacing w:after="0" w:line="159" w:lineRule="exact"/>
              <w:rPr>
                <w:sz w:val="20"/>
                <w:szCs w:val="20"/>
                <w:color w:val="auto"/>
              </w:rPr>
            </w:pPr>
            <w:r>
              <w:rPr>
                <w:rFonts w:ascii="Arial" w:cs="Arial" w:eastAsia="Arial" w:hAnsi="Arial"/>
                <w:sz w:val="14"/>
                <w:szCs w:val="14"/>
                <w:color w:val="auto"/>
              </w:rPr>
              <w:t>985,444</w:t>
            </w:r>
          </w:p>
        </w:tc>
        <w:tc>
          <w:tcPr>
            <w:tcW w:w="8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947,925</w:t>
            </w:r>
          </w:p>
        </w:tc>
      </w:tr>
      <w:tr>
        <w:trPr>
          <w:trHeight w:val="138"/>
        </w:trPr>
        <w:tc>
          <w:tcPr>
            <w:tcW w:w="4080" w:type="dxa"/>
            <w:vAlign w:val="bottom"/>
          </w:tcPr>
          <w:p>
            <w:pPr>
              <w:spacing w:after="0" w:line="138" w:lineRule="exact"/>
              <w:rPr>
                <w:sz w:val="20"/>
                <w:szCs w:val="20"/>
                <w:color w:val="auto"/>
              </w:rPr>
            </w:pPr>
            <w:r>
              <w:rPr>
                <w:rFonts w:ascii="Arial" w:cs="Arial" w:eastAsia="Arial" w:hAnsi="Arial"/>
                <w:sz w:val="14"/>
                <w:szCs w:val="14"/>
                <w:color w:val="auto"/>
              </w:rPr>
              <w:t>Par Pharmaceutical</w:t>
            </w:r>
          </w:p>
        </w:tc>
        <w:tc>
          <w:tcPr>
            <w:tcW w:w="2020" w:type="dxa"/>
            <w:vAlign w:val="bottom"/>
          </w:tcPr>
          <w:p>
            <w:pPr>
              <w:ind w:left="440"/>
              <w:spacing w:after="0" w:line="138" w:lineRule="exact"/>
              <w:rPr>
                <w:sz w:val="20"/>
                <w:szCs w:val="20"/>
                <w:color w:val="auto"/>
              </w:rPr>
            </w:pPr>
            <w:r>
              <w:rPr>
                <w:rFonts w:ascii="Arial" w:cs="Arial" w:eastAsia="Arial" w:hAnsi="Arial"/>
                <w:sz w:val="14"/>
                <w:szCs w:val="14"/>
                <w:color w:val="auto"/>
              </w:rPr>
              <w:t>Healthcare &amp;</w:t>
            </w:r>
          </w:p>
        </w:tc>
        <w:tc>
          <w:tcPr>
            <w:tcW w:w="880" w:type="dxa"/>
            <w:vAlign w:val="bottom"/>
          </w:tcPr>
          <w:p>
            <w:pPr>
              <w:ind w:left="120"/>
              <w:spacing w:after="0" w:line="138" w:lineRule="exact"/>
              <w:rPr>
                <w:sz w:val="20"/>
                <w:szCs w:val="20"/>
                <w:color w:val="auto"/>
              </w:rPr>
            </w:pPr>
            <w:r>
              <w:rPr>
                <w:rFonts w:ascii="Arial" w:cs="Arial" w:eastAsia="Arial" w:hAnsi="Arial"/>
                <w:sz w:val="14"/>
                <w:szCs w:val="14"/>
                <w:color w:val="auto"/>
              </w:rPr>
              <w:t>Term Loan</w:t>
            </w:r>
          </w:p>
        </w:tc>
        <w:tc>
          <w:tcPr>
            <w:tcW w:w="560" w:type="dxa"/>
            <w:vAlign w:val="bottom"/>
          </w:tcPr>
          <w:p>
            <w:pPr>
              <w:ind w:left="60"/>
              <w:spacing w:after="0" w:line="138" w:lineRule="exact"/>
              <w:rPr>
                <w:sz w:val="20"/>
                <w:szCs w:val="20"/>
                <w:color w:val="auto"/>
              </w:rPr>
            </w:pPr>
            <w:r>
              <w:rPr>
                <w:rFonts w:ascii="Arial" w:cs="Arial" w:eastAsia="Arial" w:hAnsi="Arial"/>
                <w:sz w:val="14"/>
                <w:szCs w:val="14"/>
                <w:color w:val="auto"/>
              </w:rPr>
              <w:t>Loan</w:t>
            </w: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59"/>
        </w:trPr>
        <w:tc>
          <w:tcPr>
            <w:tcW w:w="4080" w:type="dxa"/>
            <w:vAlign w:val="bottom"/>
          </w:tcPr>
          <w:p>
            <w:pPr>
              <w:spacing w:after="0"/>
              <w:rPr>
                <w:sz w:val="13"/>
                <w:szCs w:val="13"/>
                <w:color w:val="auto"/>
              </w:rPr>
            </w:pPr>
          </w:p>
        </w:tc>
        <w:tc>
          <w:tcPr>
            <w:tcW w:w="2020" w:type="dxa"/>
            <w:vAlign w:val="bottom"/>
          </w:tcPr>
          <w:p>
            <w:pPr>
              <w:ind w:left="440"/>
              <w:spacing w:after="0" w:line="159" w:lineRule="exact"/>
              <w:rPr>
                <w:sz w:val="20"/>
                <w:szCs w:val="20"/>
                <w:color w:val="auto"/>
              </w:rPr>
            </w:pPr>
            <w:r>
              <w:rPr>
                <w:rFonts w:ascii="Arial" w:cs="Arial" w:eastAsia="Arial" w:hAnsi="Arial"/>
                <w:sz w:val="14"/>
                <w:szCs w:val="14"/>
                <w:color w:val="auto"/>
              </w:rPr>
              <w:t>Pharmaceuticals</w:t>
            </w:r>
          </w:p>
        </w:tc>
        <w:tc>
          <w:tcPr>
            <w:tcW w:w="880" w:type="dxa"/>
            <w:vAlign w:val="bottom"/>
          </w:tcPr>
          <w:p>
            <w:pPr>
              <w:ind w:left="120"/>
              <w:spacing w:after="0" w:line="159" w:lineRule="exact"/>
              <w:rPr>
                <w:sz w:val="20"/>
                <w:szCs w:val="20"/>
                <w:color w:val="auto"/>
              </w:rPr>
            </w:pPr>
            <w:r>
              <w:rPr>
                <w:rFonts w:ascii="Arial" w:cs="Arial" w:eastAsia="Arial" w:hAnsi="Arial"/>
                <w:sz w:val="14"/>
                <w:szCs w:val="14"/>
                <w:color w:val="auto"/>
              </w:rPr>
              <w:t>B3</w:t>
            </w:r>
          </w:p>
        </w:tc>
        <w:tc>
          <w:tcPr>
            <w:tcW w:w="560" w:type="dxa"/>
            <w:vAlign w:val="bottom"/>
          </w:tcPr>
          <w:p>
            <w:pPr>
              <w:spacing w:after="0"/>
              <w:rPr>
                <w:sz w:val="13"/>
                <w:szCs w:val="13"/>
                <w:color w:val="auto"/>
              </w:rPr>
            </w:pPr>
          </w:p>
        </w:tc>
        <w:tc>
          <w:tcPr>
            <w:tcW w:w="640" w:type="dxa"/>
            <w:vAlign w:val="bottom"/>
          </w:tcPr>
          <w:p>
            <w:pPr>
              <w:jc w:val="right"/>
              <w:spacing w:after="0" w:line="159" w:lineRule="exact"/>
              <w:rPr>
                <w:sz w:val="20"/>
                <w:szCs w:val="20"/>
                <w:color w:val="auto"/>
              </w:rPr>
            </w:pPr>
            <w:r>
              <w:rPr>
                <w:rFonts w:ascii="Arial" w:cs="Arial" w:eastAsia="Arial" w:hAnsi="Arial"/>
                <w:sz w:val="14"/>
                <w:szCs w:val="14"/>
                <w:color w:val="auto"/>
              </w:rPr>
              <w:t>4.25%</w:t>
            </w:r>
          </w:p>
        </w:tc>
        <w:tc>
          <w:tcPr>
            <w:tcW w:w="700" w:type="dxa"/>
            <w:vAlign w:val="bottom"/>
          </w:tcPr>
          <w:p>
            <w:pPr>
              <w:jc w:val="right"/>
              <w:spacing w:after="0" w:line="159" w:lineRule="exact"/>
              <w:rPr>
                <w:sz w:val="20"/>
                <w:szCs w:val="20"/>
                <w:color w:val="auto"/>
              </w:rPr>
            </w:pPr>
            <w:r>
              <w:rPr>
                <w:rFonts w:ascii="Arial" w:cs="Arial" w:eastAsia="Arial" w:hAnsi="Arial"/>
                <w:sz w:val="14"/>
                <w:szCs w:val="14"/>
                <w:color w:val="auto"/>
              </w:rPr>
              <w:t>9/28/2019</w:t>
            </w:r>
          </w:p>
        </w:tc>
        <w:tc>
          <w:tcPr>
            <w:tcW w:w="12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112"/>
              <w:spacing w:after="0" w:line="159" w:lineRule="exact"/>
              <w:rPr>
                <w:sz w:val="20"/>
                <w:szCs w:val="20"/>
                <w:color w:val="auto"/>
              </w:rPr>
            </w:pPr>
            <w:r>
              <w:rPr>
                <w:rFonts w:ascii="Arial" w:cs="Arial" w:eastAsia="Arial" w:hAnsi="Arial"/>
                <w:sz w:val="14"/>
                <w:szCs w:val="14"/>
                <w:color w:val="auto"/>
              </w:rPr>
              <w:t>500,000</w:t>
            </w:r>
          </w:p>
        </w:tc>
        <w:tc>
          <w:tcPr>
            <w:tcW w:w="900" w:type="dxa"/>
            <w:vAlign w:val="bottom"/>
          </w:tcPr>
          <w:p>
            <w:pPr>
              <w:jc w:val="right"/>
              <w:ind w:right="112"/>
              <w:spacing w:after="0" w:line="159" w:lineRule="exact"/>
              <w:rPr>
                <w:sz w:val="20"/>
                <w:szCs w:val="20"/>
                <w:color w:val="auto"/>
              </w:rPr>
            </w:pPr>
            <w:r>
              <w:rPr>
                <w:rFonts w:ascii="Arial" w:cs="Arial" w:eastAsia="Arial" w:hAnsi="Arial"/>
                <w:sz w:val="14"/>
                <w:szCs w:val="14"/>
                <w:color w:val="auto"/>
              </w:rPr>
              <w:t>497,502</w:t>
            </w:r>
          </w:p>
        </w:tc>
        <w:tc>
          <w:tcPr>
            <w:tcW w:w="800" w:type="dxa"/>
            <w:vAlign w:val="bottom"/>
          </w:tcPr>
          <w:p>
            <w:pPr>
              <w:jc w:val="right"/>
              <w:spacing w:after="0" w:line="159" w:lineRule="exact"/>
              <w:rPr>
                <w:sz w:val="20"/>
                <w:szCs w:val="20"/>
                <w:color w:val="auto"/>
              </w:rPr>
            </w:pPr>
            <w:r>
              <w:rPr>
                <w:rFonts w:ascii="Arial" w:cs="Arial" w:eastAsia="Arial" w:hAnsi="Arial"/>
                <w:sz w:val="14"/>
                <w:szCs w:val="14"/>
                <w:color w:val="auto"/>
              </w:rPr>
              <w:t>499,065</w:t>
            </w:r>
          </w:p>
        </w:tc>
      </w:tr>
      <w:tr>
        <w:trPr>
          <w:trHeight w:val="138"/>
        </w:trPr>
        <w:tc>
          <w:tcPr>
            <w:tcW w:w="408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PetCo Animal Supplies Stores, Inc.</w:t>
            </w:r>
          </w:p>
        </w:tc>
        <w:tc>
          <w:tcPr>
            <w:tcW w:w="2020" w:type="dxa"/>
            <w:vAlign w:val="bottom"/>
            <w:shd w:val="clear" w:color="auto" w:fill="CCEEFF"/>
          </w:tcPr>
          <w:p>
            <w:pPr>
              <w:ind w:left="440"/>
              <w:spacing w:after="0" w:line="138" w:lineRule="exact"/>
              <w:rPr>
                <w:sz w:val="20"/>
                <w:szCs w:val="20"/>
                <w:color w:val="auto"/>
              </w:rPr>
            </w:pPr>
            <w:r>
              <w:rPr>
                <w:rFonts w:ascii="Arial" w:cs="Arial" w:eastAsia="Arial" w:hAnsi="Arial"/>
                <w:sz w:val="14"/>
                <w:szCs w:val="14"/>
                <w:color w:val="auto"/>
                <w:w w:val="91"/>
              </w:rPr>
              <w:t>Retailers (Except Food and</w:t>
            </w:r>
          </w:p>
        </w:tc>
        <w:tc>
          <w:tcPr>
            <w:tcW w:w="880" w:type="dxa"/>
            <w:vAlign w:val="bottom"/>
            <w:shd w:val="clear" w:color="auto" w:fill="CCEEFF"/>
          </w:tcPr>
          <w:p>
            <w:pPr>
              <w:ind w:left="120"/>
              <w:spacing w:after="0" w:line="138" w:lineRule="exact"/>
              <w:rPr>
                <w:sz w:val="20"/>
                <w:szCs w:val="20"/>
                <w:color w:val="auto"/>
              </w:rPr>
            </w:pPr>
            <w:r>
              <w:rPr>
                <w:rFonts w:ascii="Arial" w:cs="Arial" w:eastAsia="Arial" w:hAnsi="Arial"/>
                <w:sz w:val="14"/>
                <w:szCs w:val="14"/>
                <w:color w:val="auto"/>
              </w:rPr>
              <w:t>New Loans</w:t>
            </w:r>
          </w:p>
        </w:tc>
        <w:tc>
          <w:tcPr>
            <w:tcW w:w="560" w:type="dxa"/>
            <w:vAlign w:val="bottom"/>
            <w:shd w:val="clear" w:color="auto" w:fill="CCEEFF"/>
          </w:tcPr>
          <w:p>
            <w:pPr>
              <w:ind w:left="60"/>
              <w:spacing w:after="0" w:line="138" w:lineRule="exact"/>
              <w:rPr>
                <w:sz w:val="20"/>
                <w:szCs w:val="20"/>
                <w:color w:val="auto"/>
              </w:rPr>
            </w:pPr>
            <w:r>
              <w:rPr>
                <w:rFonts w:ascii="Arial" w:cs="Arial" w:eastAsia="Arial" w:hAnsi="Arial"/>
                <w:sz w:val="14"/>
                <w:szCs w:val="14"/>
                <w:color w:val="auto"/>
              </w:rPr>
              <w:t>Loan</w:t>
            </w:r>
          </w:p>
        </w:tc>
        <w:tc>
          <w:tcPr>
            <w:tcW w:w="6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r>
      <w:tr>
        <w:trPr>
          <w:trHeight w:val="159"/>
        </w:trPr>
        <w:tc>
          <w:tcPr>
            <w:tcW w:w="4080" w:type="dxa"/>
            <w:vAlign w:val="bottom"/>
            <w:shd w:val="clear" w:color="auto" w:fill="CCEEFF"/>
          </w:tcPr>
          <w:p>
            <w:pPr>
              <w:spacing w:after="0"/>
              <w:rPr>
                <w:sz w:val="13"/>
                <w:szCs w:val="13"/>
                <w:color w:val="auto"/>
              </w:rPr>
            </w:pPr>
          </w:p>
        </w:tc>
        <w:tc>
          <w:tcPr>
            <w:tcW w:w="2020" w:type="dxa"/>
            <w:vAlign w:val="bottom"/>
            <w:shd w:val="clear" w:color="auto" w:fill="CCEEFF"/>
          </w:tcPr>
          <w:p>
            <w:pPr>
              <w:ind w:left="440"/>
              <w:spacing w:after="0" w:line="159" w:lineRule="exact"/>
              <w:rPr>
                <w:sz w:val="20"/>
                <w:szCs w:val="20"/>
                <w:color w:val="auto"/>
              </w:rPr>
            </w:pPr>
            <w:r>
              <w:rPr>
                <w:rFonts w:ascii="Arial" w:cs="Arial" w:eastAsia="Arial" w:hAnsi="Arial"/>
                <w:sz w:val="14"/>
                <w:szCs w:val="14"/>
                <w:color w:val="auto"/>
              </w:rPr>
              <w:t>Drugs)</w:t>
            </w:r>
          </w:p>
        </w:tc>
        <w:tc>
          <w:tcPr>
            <w:tcW w:w="8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4.00%</w:t>
            </w:r>
          </w:p>
        </w:tc>
        <w:tc>
          <w:tcPr>
            <w:tcW w:w="7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91"/>
              </w:rPr>
              <w:t>11/24/2017</w:t>
            </w:r>
          </w:p>
        </w:tc>
        <w:tc>
          <w:tcPr>
            <w:tcW w:w="1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112"/>
              <w:spacing w:after="0" w:line="159" w:lineRule="exact"/>
              <w:rPr>
                <w:sz w:val="20"/>
                <w:szCs w:val="20"/>
                <w:color w:val="auto"/>
              </w:rPr>
            </w:pPr>
            <w:r>
              <w:rPr>
                <w:rFonts w:ascii="Arial" w:cs="Arial" w:eastAsia="Arial" w:hAnsi="Arial"/>
                <w:sz w:val="14"/>
                <w:szCs w:val="14"/>
                <w:color w:val="auto"/>
                <w:w w:val="83"/>
              </w:rPr>
              <w:t>1,469,388</w:t>
            </w:r>
          </w:p>
        </w:tc>
        <w:tc>
          <w:tcPr>
            <w:tcW w:w="900" w:type="dxa"/>
            <w:vAlign w:val="bottom"/>
            <w:shd w:val="clear" w:color="auto" w:fill="CCEEFF"/>
          </w:tcPr>
          <w:p>
            <w:pPr>
              <w:jc w:val="right"/>
              <w:ind w:right="112"/>
              <w:spacing w:after="0" w:line="159" w:lineRule="exact"/>
              <w:rPr>
                <w:sz w:val="20"/>
                <w:szCs w:val="20"/>
                <w:color w:val="auto"/>
              </w:rPr>
            </w:pPr>
            <w:r>
              <w:rPr>
                <w:rFonts w:ascii="Arial" w:cs="Arial" w:eastAsia="Arial" w:hAnsi="Arial"/>
                <w:sz w:val="14"/>
                <w:szCs w:val="14"/>
                <w:color w:val="auto"/>
              </w:rPr>
              <w:t>1,468,520</w:t>
            </w:r>
          </w:p>
        </w:tc>
        <w:tc>
          <w:tcPr>
            <w:tcW w:w="8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1,467,066</w:t>
            </w:r>
          </w:p>
        </w:tc>
      </w:tr>
      <w:tr>
        <w:trPr>
          <w:trHeight w:val="138"/>
        </w:trPr>
        <w:tc>
          <w:tcPr>
            <w:tcW w:w="4080" w:type="dxa"/>
            <w:vAlign w:val="bottom"/>
          </w:tcPr>
          <w:p>
            <w:pPr>
              <w:spacing w:after="0" w:line="138" w:lineRule="exact"/>
              <w:rPr>
                <w:sz w:val="20"/>
                <w:szCs w:val="20"/>
                <w:color w:val="auto"/>
              </w:rPr>
            </w:pPr>
            <w:r>
              <w:rPr>
                <w:rFonts w:ascii="Arial" w:cs="Arial" w:eastAsia="Arial" w:hAnsi="Arial"/>
                <w:sz w:val="14"/>
                <w:szCs w:val="14"/>
                <w:color w:val="auto"/>
              </w:rPr>
              <w:t>PetSmart</w:t>
            </w:r>
          </w:p>
        </w:tc>
        <w:tc>
          <w:tcPr>
            <w:tcW w:w="2020" w:type="dxa"/>
            <w:vAlign w:val="bottom"/>
          </w:tcPr>
          <w:p>
            <w:pPr>
              <w:ind w:left="440"/>
              <w:spacing w:after="0" w:line="138" w:lineRule="exact"/>
              <w:rPr>
                <w:sz w:val="20"/>
                <w:szCs w:val="20"/>
                <w:color w:val="auto"/>
              </w:rPr>
            </w:pPr>
            <w:r>
              <w:rPr>
                <w:rFonts w:ascii="Arial" w:cs="Arial" w:eastAsia="Arial" w:hAnsi="Arial"/>
                <w:sz w:val="14"/>
                <w:szCs w:val="14"/>
                <w:color w:val="auto"/>
              </w:rPr>
              <w:t>Retail</w:t>
            </w:r>
          </w:p>
        </w:tc>
        <w:tc>
          <w:tcPr>
            <w:tcW w:w="880" w:type="dxa"/>
            <w:vAlign w:val="bottom"/>
          </w:tcPr>
          <w:p>
            <w:pPr>
              <w:ind w:left="120"/>
              <w:spacing w:after="0" w:line="138" w:lineRule="exact"/>
              <w:rPr>
                <w:sz w:val="20"/>
                <w:szCs w:val="20"/>
                <w:color w:val="auto"/>
              </w:rPr>
            </w:pPr>
            <w:r>
              <w:rPr>
                <w:rFonts w:ascii="Arial" w:cs="Arial" w:eastAsia="Arial" w:hAnsi="Arial"/>
                <w:sz w:val="14"/>
                <w:szCs w:val="14"/>
                <w:color w:val="auto"/>
              </w:rPr>
              <w:t>Term Loan</w:t>
            </w:r>
          </w:p>
        </w:tc>
        <w:tc>
          <w:tcPr>
            <w:tcW w:w="560" w:type="dxa"/>
            <w:vAlign w:val="bottom"/>
          </w:tcPr>
          <w:p>
            <w:pPr>
              <w:ind w:left="60"/>
              <w:spacing w:after="0" w:line="138" w:lineRule="exact"/>
              <w:rPr>
                <w:sz w:val="20"/>
                <w:szCs w:val="20"/>
                <w:color w:val="auto"/>
              </w:rPr>
            </w:pPr>
            <w:r>
              <w:rPr>
                <w:rFonts w:ascii="Arial" w:cs="Arial" w:eastAsia="Arial" w:hAnsi="Arial"/>
                <w:sz w:val="14"/>
                <w:szCs w:val="14"/>
                <w:color w:val="auto"/>
              </w:rPr>
              <w:t>Loan</w:t>
            </w: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59"/>
        </w:trPr>
        <w:tc>
          <w:tcPr>
            <w:tcW w:w="408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880" w:type="dxa"/>
            <w:vAlign w:val="bottom"/>
          </w:tcPr>
          <w:p>
            <w:pPr>
              <w:ind w:left="120"/>
              <w:spacing w:after="0" w:line="159" w:lineRule="exact"/>
              <w:rPr>
                <w:sz w:val="20"/>
                <w:szCs w:val="20"/>
                <w:color w:val="auto"/>
              </w:rPr>
            </w:pPr>
            <w:r>
              <w:rPr>
                <w:rFonts w:ascii="Arial" w:cs="Arial" w:eastAsia="Arial" w:hAnsi="Arial"/>
                <w:sz w:val="14"/>
                <w:szCs w:val="14"/>
                <w:color w:val="auto"/>
              </w:rPr>
              <w:t>B</w:t>
            </w:r>
          </w:p>
        </w:tc>
        <w:tc>
          <w:tcPr>
            <w:tcW w:w="560" w:type="dxa"/>
            <w:vAlign w:val="bottom"/>
          </w:tcPr>
          <w:p>
            <w:pPr>
              <w:spacing w:after="0"/>
              <w:rPr>
                <w:sz w:val="13"/>
                <w:szCs w:val="13"/>
                <w:color w:val="auto"/>
              </w:rPr>
            </w:pPr>
          </w:p>
        </w:tc>
        <w:tc>
          <w:tcPr>
            <w:tcW w:w="640" w:type="dxa"/>
            <w:vAlign w:val="bottom"/>
          </w:tcPr>
          <w:p>
            <w:pPr>
              <w:jc w:val="right"/>
              <w:spacing w:after="0" w:line="159" w:lineRule="exact"/>
              <w:rPr>
                <w:sz w:val="20"/>
                <w:szCs w:val="20"/>
                <w:color w:val="auto"/>
              </w:rPr>
            </w:pPr>
            <w:r>
              <w:rPr>
                <w:rFonts w:ascii="Arial" w:cs="Arial" w:eastAsia="Arial" w:hAnsi="Arial"/>
                <w:sz w:val="14"/>
                <w:szCs w:val="14"/>
                <w:color w:val="auto"/>
              </w:rPr>
              <w:t>5.00%</w:t>
            </w:r>
          </w:p>
        </w:tc>
        <w:tc>
          <w:tcPr>
            <w:tcW w:w="700" w:type="dxa"/>
            <w:vAlign w:val="bottom"/>
          </w:tcPr>
          <w:p>
            <w:pPr>
              <w:jc w:val="right"/>
              <w:spacing w:after="0" w:line="159" w:lineRule="exact"/>
              <w:rPr>
                <w:sz w:val="20"/>
                <w:szCs w:val="20"/>
                <w:color w:val="auto"/>
              </w:rPr>
            </w:pPr>
            <w:r>
              <w:rPr>
                <w:rFonts w:ascii="Arial" w:cs="Arial" w:eastAsia="Arial" w:hAnsi="Arial"/>
                <w:sz w:val="14"/>
                <w:szCs w:val="14"/>
                <w:color w:val="auto"/>
              </w:rPr>
              <w:t>3/11/2022</w:t>
            </w:r>
          </w:p>
        </w:tc>
        <w:tc>
          <w:tcPr>
            <w:tcW w:w="12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112"/>
              <w:spacing w:after="0" w:line="159" w:lineRule="exact"/>
              <w:rPr>
                <w:sz w:val="20"/>
                <w:szCs w:val="20"/>
                <w:color w:val="auto"/>
              </w:rPr>
            </w:pPr>
            <w:r>
              <w:rPr>
                <w:rFonts w:ascii="Arial" w:cs="Arial" w:eastAsia="Arial" w:hAnsi="Arial"/>
                <w:sz w:val="14"/>
                <w:szCs w:val="14"/>
                <w:color w:val="auto"/>
                <w:w w:val="83"/>
              </w:rPr>
              <w:t>1,000,000</w:t>
            </w:r>
          </w:p>
        </w:tc>
        <w:tc>
          <w:tcPr>
            <w:tcW w:w="900" w:type="dxa"/>
            <w:vAlign w:val="bottom"/>
          </w:tcPr>
          <w:p>
            <w:pPr>
              <w:jc w:val="right"/>
              <w:ind w:right="112"/>
              <w:spacing w:after="0" w:line="159" w:lineRule="exact"/>
              <w:rPr>
                <w:sz w:val="20"/>
                <w:szCs w:val="20"/>
                <w:color w:val="auto"/>
              </w:rPr>
            </w:pPr>
            <w:r>
              <w:rPr>
                <w:rFonts w:ascii="Arial" w:cs="Arial" w:eastAsia="Arial" w:hAnsi="Arial"/>
                <w:sz w:val="14"/>
                <w:szCs w:val="14"/>
                <w:color w:val="auto"/>
              </w:rPr>
              <w:t>995,000</w:t>
            </w:r>
          </w:p>
        </w:tc>
        <w:tc>
          <w:tcPr>
            <w:tcW w:w="800" w:type="dxa"/>
            <w:vAlign w:val="bottom"/>
          </w:tcPr>
          <w:p>
            <w:pPr>
              <w:jc w:val="right"/>
              <w:spacing w:after="0" w:line="159" w:lineRule="exact"/>
              <w:rPr>
                <w:sz w:val="20"/>
                <w:szCs w:val="20"/>
                <w:color w:val="auto"/>
              </w:rPr>
            </w:pPr>
            <w:r>
              <w:rPr>
                <w:rFonts w:ascii="Arial" w:cs="Arial" w:eastAsia="Arial" w:hAnsi="Arial"/>
                <w:sz w:val="14"/>
                <w:szCs w:val="14"/>
                <w:color w:val="auto"/>
              </w:rPr>
              <w:t>1,007,050</w:t>
            </w:r>
          </w:p>
        </w:tc>
      </w:tr>
      <w:tr>
        <w:trPr>
          <w:trHeight w:val="149"/>
        </w:trPr>
        <w:tc>
          <w:tcPr>
            <w:tcW w:w="4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PGX Holdings, Inc.</w:t>
            </w:r>
          </w:p>
        </w:tc>
        <w:tc>
          <w:tcPr>
            <w:tcW w:w="202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Financial Intermediaries</w:t>
            </w:r>
          </w:p>
        </w:tc>
        <w:tc>
          <w:tcPr>
            <w:tcW w:w="88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Term Loan</w:t>
            </w:r>
          </w:p>
        </w:tc>
        <w:tc>
          <w:tcPr>
            <w:tcW w:w="56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Loan</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6.25%</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9/29/2020</w:t>
            </w: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993,750</w:t>
            </w:r>
          </w:p>
        </w:tc>
        <w:tc>
          <w:tcPr>
            <w:tcW w:w="90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984,482</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993,750</w:t>
            </w:r>
          </w:p>
        </w:tc>
      </w:tr>
      <w:tr>
        <w:trPr>
          <w:trHeight w:val="138"/>
        </w:trPr>
        <w:tc>
          <w:tcPr>
            <w:tcW w:w="4080" w:type="dxa"/>
            <w:vAlign w:val="bottom"/>
          </w:tcPr>
          <w:p>
            <w:pPr>
              <w:spacing w:after="0" w:line="138" w:lineRule="exact"/>
              <w:rPr>
                <w:sz w:val="20"/>
                <w:szCs w:val="20"/>
                <w:color w:val="auto"/>
              </w:rPr>
            </w:pPr>
            <w:r>
              <w:rPr>
                <w:rFonts w:ascii="Arial" w:cs="Arial" w:eastAsia="Arial" w:hAnsi="Arial"/>
                <w:sz w:val="14"/>
                <w:szCs w:val="14"/>
                <w:color w:val="auto"/>
                <w:w w:val="98"/>
              </w:rPr>
              <w:t>Pharmaceutical Product Development, Inc. (Jaguar Holdings, LLC)</w:t>
            </w:r>
          </w:p>
        </w:tc>
        <w:tc>
          <w:tcPr>
            <w:tcW w:w="2020" w:type="dxa"/>
            <w:vAlign w:val="bottom"/>
          </w:tcPr>
          <w:p>
            <w:pPr>
              <w:ind w:left="440"/>
              <w:spacing w:after="0" w:line="138" w:lineRule="exact"/>
              <w:rPr>
                <w:sz w:val="20"/>
                <w:szCs w:val="20"/>
                <w:color w:val="auto"/>
              </w:rPr>
            </w:pPr>
            <w:r>
              <w:rPr>
                <w:rFonts w:ascii="Arial" w:cs="Arial" w:eastAsia="Arial" w:hAnsi="Arial"/>
                <w:sz w:val="14"/>
                <w:szCs w:val="14"/>
                <w:color w:val="auto"/>
              </w:rPr>
              <w:t>Conglomerate</w:t>
            </w:r>
          </w:p>
        </w:tc>
        <w:tc>
          <w:tcPr>
            <w:tcW w:w="880" w:type="dxa"/>
            <w:vAlign w:val="bottom"/>
          </w:tcPr>
          <w:p>
            <w:pPr>
              <w:ind w:left="120"/>
              <w:spacing w:after="0" w:line="138" w:lineRule="exact"/>
              <w:rPr>
                <w:sz w:val="20"/>
                <w:szCs w:val="20"/>
                <w:color w:val="auto"/>
              </w:rPr>
            </w:pPr>
            <w:r>
              <w:rPr>
                <w:rFonts w:ascii="Arial" w:cs="Arial" w:eastAsia="Arial" w:hAnsi="Arial"/>
                <w:sz w:val="14"/>
                <w:szCs w:val="14"/>
                <w:color w:val="auto"/>
              </w:rPr>
              <w:t>2013 Term</w:t>
            </w:r>
          </w:p>
        </w:tc>
        <w:tc>
          <w:tcPr>
            <w:tcW w:w="560" w:type="dxa"/>
            <w:vAlign w:val="bottom"/>
          </w:tcPr>
          <w:p>
            <w:pPr>
              <w:ind w:left="60"/>
              <w:spacing w:after="0" w:line="138" w:lineRule="exact"/>
              <w:rPr>
                <w:sz w:val="20"/>
                <w:szCs w:val="20"/>
                <w:color w:val="auto"/>
              </w:rPr>
            </w:pPr>
            <w:r>
              <w:rPr>
                <w:rFonts w:ascii="Arial" w:cs="Arial" w:eastAsia="Arial" w:hAnsi="Arial"/>
                <w:sz w:val="14"/>
                <w:szCs w:val="14"/>
                <w:color w:val="auto"/>
              </w:rPr>
              <w:t>Loan</w:t>
            </w: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59"/>
        </w:trPr>
        <w:tc>
          <w:tcPr>
            <w:tcW w:w="408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880" w:type="dxa"/>
            <w:vAlign w:val="bottom"/>
          </w:tcPr>
          <w:p>
            <w:pPr>
              <w:ind w:left="120"/>
              <w:spacing w:after="0" w:line="159" w:lineRule="exact"/>
              <w:rPr>
                <w:sz w:val="20"/>
                <w:szCs w:val="20"/>
                <w:color w:val="auto"/>
              </w:rPr>
            </w:pPr>
            <w:r>
              <w:rPr>
                <w:rFonts w:ascii="Arial" w:cs="Arial" w:eastAsia="Arial" w:hAnsi="Arial"/>
                <w:sz w:val="14"/>
                <w:szCs w:val="14"/>
                <w:color w:val="auto"/>
              </w:rPr>
              <w:t>Loan</w:t>
            </w:r>
          </w:p>
        </w:tc>
        <w:tc>
          <w:tcPr>
            <w:tcW w:w="560" w:type="dxa"/>
            <w:vAlign w:val="bottom"/>
          </w:tcPr>
          <w:p>
            <w:pPr>
              <w:spacing w:after="0"/>
              <w:rPr>
                <w:sz w:val="13"/>
                <w:szCs w:val="13"/>
                <w:color w:val="auto"/>
              </w:rPr>
            </w:pPr>
          </w:p>
        </w:tc>
        <w:tc>
          <w:tcPr>
            <w:tcW w:w="640" w:type="dxa"/>
            <w:vAlign w:val="bottom"/>
          </w:tcPr>
          <w:p>
            <w:pPr>
              <w:jc w:val="right"/>
              <w:spacing w:after="0" w:line="159" w:lineRule="exact"/>
              <w:rPr>
                <w:sz w:val="20"/>
                <w:szCs w:val="20"/>
                <w:color w:val="auto"/>
              </w:rPr>
            </w:pPr>
            <w:r>
              <w:rPr>
                <w:rFonts w:ascii="Arial" w:cs="Arial" w:eastAsia="Arial" w:hAnsi="Arial"/>
                <w:sz w:val="14"/>
                <w:szCs w:val="14"/>
                <w:color w:val="auto"/>
              </w:rPr>
              <w:t>4.00%</w:t>
            </w:r>
          </w:p>
        </w:tc>
        <w:tc>
          <w:tcPr>
            <w:tcW w:w="700" w:type="dxa"/>
            <w:vAlign w:val="bottom"/>
          </w:tcPr>
          <w:p>
            <w:pPr>
              <w:jc w:val="right"/>
              <w:spacing w:after="0" w:line="159" w:lineRule="exact"/>
              <w:rPr>
                <w:sz w:val="20"/>
                <w:szCs w:val="20"/>
                <w:color w:val="auto"/>
              </w:rPr>
            </w:pPr>
            <w:r>
              <w:rPr>
                <w:rFonts w:ascii="Arial" w:cs="Arial" w:eastAsia="Arial" w:hAnsi="Arial"/>
                <w:sz w:val="14"/>
                <w:szCs w:val="14"/>
                <w:color w:val="auto"/>
              </w:rPr>
              <w:t>12/5/2018</w:t>
            </w:r>
          </w:p>
        </w:tc>
        <w:tc>
          <w:tcPr>
            <w:tcW w:w="12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112"/>
              <w:spacing w:after="0" w:line="159" w:lineRule="exact"/>
              <w:rPr>
                <w:sz w:val="20"/>
                <w:szCs w:val="20"/>
                <w:color w:val="auto"/>
              </w:rPr>
            </w:pPr>
            <w:r>
              <w:rPr>
                <w:rFonts w:ascii="Arial" w:cs="Arial" w:eastAsia="Arial" w:hAnsi="Arial"/>
                <w:sz w:val="14"/>
                <w:szCs w:val="14"/>
                <w:color w:val="auto"/>
                <w:w w:val="83"/>
              </w:rPr>
              <w:t>1,940,400</w:t>
            </w:r>
          </w:p>
        </w:tc>
        <w:tc>
          <w:tcPr>
            <w:tcW w:w="900" w:type="dxa"/>
            <w:vAlign w:val="bottom"/>
          </w:tcPr>
          <w:p>
            <w:pPr>
              <w:jc w:val="right"/>
              <w:ind w:right="112"/>
              <w:spacing w:after="0" w:line="159" w:lineRule="exact"/>
              <w:rPr>
                <w:sz w:val="20"/>
                <w:szCs w:val="20"/>
                <w:color w:val="auto"/>
              </w:rPr>
            </w:pPr>
            <w:r>
              <w:rPr>
                <w:rFonts w:ascii="Arial" w:cs="Arial" w:eastAsia="Arial" w:hAnsi="Arial"/>
                <w:sz w:val="14"/>
                <w:szCs w:val="14"/>
                <w:color w:val="auto"/>
              </w:rPr>
              <w:t>1,918,409</w:t>
            </w:r>
          </w:p>
        </w:tc>
        <w:tc>
          <w:tcPr>
            <w:tcW w:w="800" w:type="dxa"/>
            <w:vAlign w:val="bottom"/>
          </w:tcPr>
          <w:p>
            <w:pPr>
              <w:jc w:val="right"/>
              <w:spacing w:after="0" w:line="159" w:lineRule="exact"/>
              <w:rPr>
                <w:sz w:val="20"/>
                <w:szCs w:val="20"/>
                <w:color w:val="auto"/>
              </w:rPr>
            </w:pPr>
            <w:r>
              <w:rPr>
                <w:rFonts w:ascii="Arial" w:cs="Arial" w:eastAsia="Arial" w:hAnsi="Arial"/>
                <w:sz w:val="14"/>
                <w:szCs w:val="14"/>
                <w:color w:val="auto"/>
              </w:rPr>
              <w:t>1,935,898</w:t>
            </w:r>
          </w:p>
        </w:tc>
      </w:tr>
      <w:tr>
        <w:trPr>
          <w:trHeight w:val="138"/>
        </w:trPr>
        <w:tc>
          <w:tcPr>
            <w:tcW w:w="408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Phillips-Medisize Corporation</w:t>
            </w:r>
          </w:p>
        </w:tc>
        <w:tc>
          <w:tcPr>
            <w:tcW w:w="2020" w:type="dxa"/>
            <w:vAlign w:val="bottom"/>
            <w:shd w:val="clear" w:color="auto" w:fill="CCEEFF"/>
          </w:tcPr>
          <w:p>
            <w:pPr>
              <w:ind w:left="440"/>
              <w:spacing w:after="0" w:line="138" w:lineRule="exact"/>
              <w:rPr>
                <w:sz w:val="20"/>
                <w:szCs w:val="20"/>
                <w:color w:val="auto"/>
              </w:rPr>
            </w:pPr>
            <w:r>
              <w:rPr>
                <w:rFonts w:ascii="Arial" w:cs="Arial" w:eastAsia="Arial" w:hAnsi="Arial"/>
                <w:sz w:val="14"/>
                <w:szCs w:val="14"/>
                <w:color w:val="auto"/>
              </w:rPr>
              <w:t>Healthcare &amp;</w:t>
            </w:r>
          </w:p>
        </w:tc>
        <w:tc>
          <w:tcPr>
            <w:tcW w:w="880" w:type="dxa"/>
            <w:vAlign w:val="bottom"/>
            <w:shd w:val="clear" w:color="auto" w:fill="CCEEFF"/>
          </w:tcPr>
          <w:p>
            <w:pPr>
              <w:ind w:left="120"/>
              <w:spacing w:after="0" w:line="138" w:lineRule="exact"/>
              <w:rPr>
                <w:sz w:val="20"/>
                <w:szCs w:val="20"/>
                <w:color w:val="auto"/>
              </w:rPr>
            </w:pPr>
            <w:r>
              <w:rPr>
                <w:rFonts w:ascii="Arial" w:cs="Arial" w:eastAsia="Arial" w:hAnsi="Arial"/>
                <w:sz w:val="14"/>
                <w:szCs w:val="14"/>
                <w:color w:val="auto"/>
              </w:rPr>
              <w:t>Term Loan</w:t>
            </w:r>
          </w:p>
        </w:tc>
        <w:tc>
          <w:tcPr>
            <w:tcW w:w="560" w:type="dxa"/>
            <w:vAlign w:val="bottom"/>
            <w:shd w:val="clear" w:color="auto" w:fill="CCEEFF"/>
          </w:tcPr>
          <w:p>
            <w:pPr>
              <w:ind w:left="60"/>
              <w:spacing w:after="0" w:line="138" w:lineRule="exact"/>
              <w:rPr>
                <w:sz w:val="20"/>
                <w:szCs w:val="20"/>
                <w:color w:val="auto"/>
              </w:rPr>
            </w:pPr>
            <w:r>
              <w:rPr>
                <w:rFonts w:ascii="Arial" w:cs="Arial" w:eastAsia="Arial" w:hAnsi="Arial"/>
                <w:sz w:val="14"/>
                <w:szCs w:val="14"/>
                <w:color w:val="auto"/>
              </w:rPr>
              <w:t>Loan</w:t>
            </w:r>
          </w:p>
        </w:tc>
        <w:tc>
          <w:tcPr>
            <w:tcW w:w="6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r>
      <w:tr>
        <w:trPr>
          <w:trHeight w:val="159"/>
        </w:trPr>
        <w:tc>
          <w:tcPr>
            <w:tcW w:w="4080" w:type="dxa"/>
            <w:vAlign w:val="bottom"/>
            <w:shd w:val="clear" w:color="auto" w:fill="CCEEFF"/>
          </w:tcPr>
          <w:p>
            <w:pPr>
              <w:spacing w:after="0"/>
              <w:rPr>
                <w:sz w:val="13"/>
                <w:szCs w:val="13"/>
                <w:color w:val="auto"/>
              </w:rPr>
            </w:pPr>
          </w:p>
        </w:tc>
        <w:tc>
          <w:tcPr>
            <w:tcW w:w="2020" w:type="dxa"/>
            <w:vAlign w:val="bottom"/>
            <w:shd w:val="clear" w:color="auto" w:fill="CCEEFF"/>
          </w:tcPr>
          <w:p>
            <w:pPr>
              <w:ind w:left="440"/>
              <w:spacing w:after="0" w:line="159" w:lineRule="exact"/>
              <w:rPr>
                <w:sz w:val="20"/>
                <w:szCs w:val="20"/>
                <w:color w:val="auto"/>
              </w:rPr>
            </w:pPr>
            <w:r>
              <w:rPr>
                <w:rFonts w:ascii="Arial" w:cs="Arial" w:eastAsia="Arial" w:hAnsi="Arial"/>
                <w:sz w:val="14"/>
                <w:szCs w:val="14"/>
                <w:color w:val="auto"/>
              </w:rPr>
              <w:t>Pharmaceuticals</w:t>
            </w:r>
          </w:p>
        </w:tc>
        <w:tc>
          <w:tcPr>
            <w:tcW w:w="8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4.75%</w:t>
            </w:r>
          </w:p>
        </w:tc>
        <w:tc>
          <w:tcPr>
            <w:tcW w:w="7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6/16/2021</w:t>
            </w:r>
          </w:p>
        </w:tc>
        <w:tc>
          <w:tcPr>
            <w:tcW w:w="1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112"/>
              <w:spacing w:after="0" w:line="159" w:lineRule="exact"/>
              <w:rPr>
                <w:sz w:val="20"/>
                <w:szCs w:val="20"/>
                <w:color w:val="auto"/>
              </w:rPr>
            </w:pPr>
            <w:r>
              <w:rPr>
                <w:rFonts w:ascii="Arial" w:cs="Arial" w:eastAsia="Arial" w:hAnsi="Arial"/>
                <w:sz w:val="14"/>
                <w:szCs w:val="14"/>
                <w:color w:val="auto"/>
              </w:rPr>
              <w:t>497,500</w:t>
            </w:r>
          </w:p>
        </w:tc>
        <w:tc>
          <w:tcPr>
            <w:tcW w:w="900" w:type="dxa"/>
            <w:vAlign w:val="bottom"/>
            <w:shd w:val="clear" w:color="auto" w:fill="CCEEFF"/>
          </w:tcPr>
          <w:p>
            <w:pPr>
              <w:jc w:val="right"/>
              <w:ind w:right="112"/>
              <w:spacing w:after="0" w:line="159" w:lineRule="exact"/>
              <w:rPr>
                <w:sz w:val="20"/>
                <w:szCs w:val="20"/>
                <w:color w:val="auto"/>
              </w:rPr>
            </w:pPr>
            <w:r>
              <w:rPr>
                <w:rFonts w:ascii="Arial" w:cs="Arial" w:eastAsia="Arial" w:hAnsi="Arial"/>
                <w:sz w:val="14"/>
                <w:szCs w:val="14"/>
                <w:color w:val="auto"/>
              </w:rPr>
              <w:t>495,245</w:t>
            </w:r>
          </w:p>
        </w:tc>
        <w:tc>
          <w:tcPr>
            <w:tcW w:w="8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495,948</w:t>
            </w:r>
          </w:p>
        </w:tc>
      </w:tr>
      <w:tr>
        <w:trPr>
          <w:trHeight w:val="138"/>
        </w:trPr>
        <w:tc>
          <w:tcPr>
            <w:tcW w:w="4080" w:type="dxa"/>
            <w:vAlign w:val="bottom"/>
          </w:tcPr>
          <w:p>
            <w:pPr>
              <w:spacing w:after="0" w:line="138" w:lineRule="exact"/>
              <w:rPr>
                <w:sz w:val="20"/>
                <w:szCs w:val="20"/>
                <w:color w:val="auto"/>
              </w:rPr>
            </w:pPr>
            <w:r>
              <w:rPr>
                <w:rFonts w:ascii="Arial" w:cs="Arial" w:eastAsia="Arial" w:hAnsi="Arial"/>
                <w:sz w:val="14"/>
                <w:szCs w:val="14"/>
                <w:color w:val="auto"/>
              </w:rPr>
              <w:t>Pinnacle Foods Finance LLC</w:t>
            </w:r>
          </w:p>
        </w:tc>
        <w:tc>
          <w:tcPr>
            <w:tcW w:w="2020" w:type="dxa"/>
            <w:vAlign w:val="bottom"/>
          </w:tcPr>
          <w:p>
            <w:pPr>
              <w:ind w:left="440"/>
              <w:spacing w:after="0" w:line="138" w:lineRule="exact"/>
              <w:rPr>
                <w:sz w:val="20"/>
                <w:szCs w:val="20"/>
                <w:color w:val="auto"/>
              </w:rPr>
            </w:pPr>
            <w:r>
              <w:rPr>
                <w:rFonts w:ascii="Arial" w:cs="Arial" w:eastAsia="Arial" w:hAnsi="Arial"/>
                <w:sz w:val="14"/>
                <w:szCs w:val="14"/>
                <w:color w:val="auto"/>
              </w:rPr>
              <w:t>Food Products</w:t>
            </w:r>
          </w:p>
        </w:tc>
        <w:tc>
          <w:tcPr>
            <w:tcW w:w="880" w:type="dxa"/>
            <w:vAlign w:val="bottom"/>
          </w:tcPr>
          <w:p>
            <w:pPr>
              <w:ind w:left="120"/>
              <w:spacing w:after="0" w:line="138" w:lineRule="exact"/>
              <w:rPr>
                <w:sz w:val="20"/>
                <w:szCs w:val="20"/>
                <w:color w:val="auto"/>
              </w:rPr>
            </w:pPr>
            <w:r>
              <w:rPr>
                <w:rFonts w:ascii="Arial" w:cs="Arial" w:eastAsia="Arial" w:hAnsi="Arial"/>
                <w:sz w:val="14"/>
                <w:szCs w:val="14"/>
                <w:color w:val="auto"/>
              </w:rPr>
              <w:t>New Term</w:t>
            </w:r>
          </w:p>
        </w:tc>
        <w:tc>
          <w:tcPr>
            <w:tcW w:w="560" w:type="dxa"/>
            <w:vAlign w:val="bottom"/>
          </w:tcPr>
          <w:p>
            <w:pPr>
              <w:ind w:left="60"/>
              <w:spacing w:after="0" w:line="138" w:lineRule="exact"/>
              <w:rPr>
                <w:sz w:val="20"/>
                <w:szCs w:val="20"/>
                <w:color w:val="auto"/>
              </w:rPr>
            </w:pPr>
            <w:r>
              <w:rPr>
                <w:rFonts w:ascii="Arial" w:cs="Arial" w:eastAsia="Arial" w:hAnsi="Arial"/>
                <w:sz w:val="14"/>
                <w:szCs w:val="14"/>
                <w:color w:val="auto"/>
              </w:rPr>
              <w:t>Loan</w:t>
            </w: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59"/>
        </w:trPr>
        <w:tc>
          <w:tcPr>
            <w:tcW w:w="408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880" w:type="dxa"/>
            <w:vAlign w:val="bottom"/>
          </w:tcPr>
          <w:p>
            <w:pPr>
              <w:ind w:left="120"/>
              <w:spacing w:after="0" w:line="159" w:lineRule="exact"/>
              <w:rPr>
                <w:sz w:val="20"/>
                <w:szCs w:val="20"/>
                <w:color w:val="auto"/>
              </w:rPr>
            </w:pPr>
            <w:r>
              <w:rPr>
                <w:rFonts w:ascii="Arial" w:cs="Arial" w:eastAsia="Arial" w:hAnsi="Arial"/>
                <w:sz w:val="14"/>
                <w:szCs w:val="14"/>
                <w:color w:val="auto"/>
              </w:rPr>
              <w:t>Loan G</w:t>
            </w:r>
          </w:p>
        </w:tc>
        <w:tc>
          <w:tcPr>
            <w:tcW w:w="560" w:type="dxa"/>
            <w:vAlign w:val="bottom"/>
          </w:tcPr>
          <w:p>
            <w:pPr>
              <w:spacing w:after="0"/>
              <w:rPr>
                <w:sz w:val="13"/>
                <w:szCs w:val="13"/>
                <w:color w:val="auto"/>
              </w:rPr>
            </w:pPr>
          </w:p>
        </w:tc>
        <w:tc>
          <w:tcPr>
            <w:tcW w:w="640" w:type="dxa"/>
            <w:vAlign w:val="bottom"/>
          </w:tcPr>
          <w:p>
            <w:pPr>
              <w:jc w:val="right"/>
              <w:spacing w:after="0" w:line="159" w:lineRule="exact"/>
              <w:rPr>
                <w:sz w:val="20"/>
                <w:szCs w:val="20"/>
                <w:color w:val="auto"/>
              </w:rPr>
            </w:pPr>
            <w:r>
              <w:rPr>
                <w:rFonts w:ascii="Arial" w:cs="Arial" w:eastAsia="Arial" w:hAnsi="Arial"/>
                <w:sz w:val="14"/>
                <w:szCs w:val="14"/>
                <w:color w:val="auto"/>
              </w:rPr>
              <w:t>3.00%</w:t>
            </w:r>
          </w:p>
        </w:tc>
        <w:tc>
          <w:tcPr>
            <w:tcW w:w="700" w:type="dxa"/>
            <w:vAlign w:val="bottom"/>
          </w:tcPr>
          <w:p>
            <w:pPr>
              <w:jc w:val="right"/>
              <w:spacing w:after="0" w:line="159" w:lineRule="exact"/>
              <w:rPr>
                <w:sz w:val="20"/>
                <w:szCs w:val="20"/>
                <w:color w:val="auto"/>
              </w:rPr>
            </w:pPr>
            <w:r>
              <w:rPr>
                <w:rFonts w:ascii="Arial" w:cs="Arial" w:eastAsia="Arial" w:hAnsi="Arial"/>
                <w:sz w:val="14"/>
                <w:szCs w:val="14"/>
                <w:color w:val="auto"/>
              </w:rPr>
              <w:t>4/29/2020</w:t>
            </w:r>
          </w:p>
        </w:tc>
        <w:tc>
          <w:tcPr>
            <w:tcW w:w="12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112"/>
              <w:spacing w:after="0" w:line="159" w:lineRule="exact"/>
              <w:rPr>
                <w:sz w:val="20"/>
                <w:szCs w:val="20"/>
                <w:color w:val="auto"/>
              </w:rPr>
            </w:pPr>
            <w:r>
              <w:rPr>
                <w:rFonts w:ascii="Arial" w:cs="Arial" w:eastAsia="Arial" w:hAnsi="Arial"/>
                <w:sz w:val="14"/>
                <w:szCs w:val="14"/>
                <w:color w:val="auto"/>
                <w:w w:val="83"/>
              </w:rPr>
              <w:t>2,581,332</w:t>
            </w:r>
          </w:p>
        </w:tc>
        <w:tc>
          <w:tcPr>
            <w:tcW w:w="900" w:type="dxa"/>
            <w:vAlign w:val="bottom"/>
          </w:tcPr>
          <w:p>
            <w:pPr>
              <w:jc w:val="right"/>
              <w:ind w:right="112"/>
              <w:spacing w:after="0" w:line="159" w:lineRule="exact"/>
              <w:rPr>
                <w:sz w:val="20"/>
                <w:szCs w:val="20"/>
                <w:color w:val="auto"/>
              </w:rPr>
            </w:pPr>
            <w:r>
              <w:rPr>
                <w:rFonts w:ascii="Arial" w:cs="Arial" w:eastAsia="Arial" w:hAnsi="Arial"/>
                <w:sz w:val="14"/>
                <w:szCs w:val="14"/>
                <w:color w:val="auto"/>
              </w:rPr>
              <w:t>2,576,466</w:t>
            </w:r>
          </w:p>
        </w:tc>
        <w:tc>
          <w:tcPr>
            <w:tcW w:w="800" w:type="dxa"/>
            <w:vAlign w:val="bottom"/>
          </w:tcPr>
          <w:p>
            <w:pPr>
              <w:jc w:val="right"/>
              <w:spacing w:after="0" w:line="159" w:lineRule="exact"/>
              <w:rPr>
                <w:sz w:val="20"/>
                <w:szCs w:val="20"/>
                <w:color w:val="auto"/>
              </w:rPr>
            </w:pPr>
            <w:r>
              <w:rPr>
                <w:rFonts w:ascii="Arial" w:cs="Arial" w:eastAsia="Arial" w:hAnsi="Arial"/>
                <w:sz w:val="14"/>
                <w:szCs w:val="14"/>
                <w:color w:val="auto"/>
              </w:rPr>
              <w:t>2,565,560</w:t>
            </w:r>
          </w:p>
        </w:tc>
      </w:tr>
      <w:tr>
        <w:trPr>
          <w:trHeight w:val="138"/>
        </w:trPr>
        <w:tc>
          <w:tcPr>
            <w:tcW w:w="408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Planet Fitness Holdings LLC</w:t>
            </w:r>
          </w:p>
        </w:tc>
        <w:tc>
          <w:tcPr>
            <w:tcW w:w="2020" w:type="dxa"/>
            <w:vAlign w:val="bottom"/>
            <w:shd w:val="clear" w:color="auto" w:fill="CCEEFF"/>
          </w:tcPr>
          <w:p>
            <w:pPr>
              <w:ind w:left="440"/>
              <w:spacing w:after="0" w:line="138" w:lineRule="exact"/>
              <w:rPr>
                <w:sz w:val="20"/>
                <w:szCs w:val="20"/>
                <w:color w:val="auto"/>
              </w:rPr>
            </w:pPr>
            <w:r>
              <w:rPr>
                <w:rFonts w:ascii="Arial" w:cs="Arial" w:eastAsia="Arial" w:hAnsi="Arial"/>
                <w:sz w:val="14"/>
                <w:szCs w:val="14"/>
                <w:color w:val="auto"/>
              </w:rPr>
              <w:t>Leisure</w:t>
            </w:r>
          </w:p>
        </w:tc>
        <w:tc>
          <w:tcPr>
            <w:tcW w:w="880" w:type="dxa"/>
            <w:vAlign w:val="bottom"/>
            <w:shd w:val="clear" w:color="auto" w:fill="CCEEFF"/>
          </w:tcPr>
          <w:p>
            <w:pPr>
              <w:ind w:left="120"/>
              <w:spacing w:after="0" w:line="138" w:lineRule="exact"/>
              <w:rPr>
                <w:sz w:val="20"/>
                <w:szCs w:val="20"/>
                <w:color w:val="auto"/>
              </w:rPr>
            </w:pPr>
            <w:r>
              <w:rPr>
                <w:rFonts w:ascii="Arial" w:cs="Arial" w:eastAsia="Arial" w:hAnsi="Arial"/>
                <w:sz w:val="14"/>
                <w:szCs w:val="14"/>
                <w:color w:val="auto"/>
              </w:rPr>
              <w:t>Term Loan</w:t>
            </w:r>
          </w:p>
        </w:tc>
        <w:tc>
          <w:tcPr>
            <w:tcW w:w="560" w:type="dxa"/>
            <w:vAlign w:val="bottom"/>
            <w:shd w:val="clear" w:color="auto" w:fill="CCEEFF"/>
          </w:tcPr>
          <w:p>
            <w:pPr>
              <w:ind w:left="60"/>
              <w:spacing w:after="0" w:line="138" w:lineRule="exact"/>
              <w:rPr>
                <w:sz w:val="20"/>
                <w:szCs w:val="20"/>
                <w:color w:val="auto"/>
              </w:rPr>
            </w:pPr>
            <w:r>
              <w:rPr>
                <w:rFonts w:ascii="Arial" w:cs="Arial" w:eastAsia="Arial" w:hAnsi="Arial"/>
                <w:sz w:val="14"/>
                <w:szCs w:val="14"/>
                <w:color w:val="auto"/>
              </w:rPr>
              <w:t>Loan</w:t>
            </w:r>
          </w:p>
        </w:tc>
        <w:tc>
          <w:tcPr>
            <w:tcW w:w="6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r>
      <w:tr>
        <w:trPr>
          <w:trHeight w:val="159"/>
        </w:trPr>
        <w:tc>
          <w:tcPr>
            <w:tcW w:w="4080" w:type="dxa"/>
            <w:vAlign w:val="bottom"/>
            <w:shd w:val="clear" w:color="auto" w:fill="CCEEFF"/>
          </w:tcPr>
          <w:p>
            <w:pPr>
              <w:spacing w:after="0"/>
              <w:rPr>
                <w:sz w:val="13"/>
                <w:szCs w:val="13"/>
                <w:color w:val="auto"/>
              </w:rPr>
            </w:pPr>
          </w:p>
        </w:tc>
        <w:tc>
          <w:tcPr>
            <w:tcW w:w="2020" w:type="dxa"/>
            <w:vAlign w:val="bottom"/>
            <w:shd w:val="clear" w:color="auto" w:fill="CCEEFF"/>
          </w:tcPr>
          <w:p>
            <w:pPr>
              <w:ind w:left="440"/>
              <w:spacing w:after="0" w:line="159" w:lineRule="exact"/>
              <w:rPr>
                <w:sz w:val="20"/>
                <w:szCs w:val="20"/>
                <w:color w:val="auto"/>
              </w:rPr>
            </w:pPr>
            <w:r>
              <w:rPr>
                <w:rFonts w:ascii="Arial" w:cs="Arial" w:eastAsia="Arial" w:hAnsi="Arial"/>
                <w:sz w:val="14"/>
                <w:szCs w:val="14"/>
                <w:color w:val="auto"/>
              </w:rPr>
              <w:t>Goods/Activities/Movies</w:t>
            </w:r>
          </w:p>
        </w:tc>
        <w:tc>
          <w:tcPr>
            <w:tcW w:w="8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4.75%</w:t>
            </w:r>
          </w:p>
        </w:tc>
        <w:tc>
          <w:tcPr>
            <w:tcW w:w="7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3/31/2021</w:t>
            </w:r>
          </w:p>
        </w:tc>
        <w:tc>
          <w:tcPr>
            <w:tcW w:w="1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112"/>
              <w:spacing w:after="0" w:line="159" w:lineRule="exact"/>
              <w:rPr>
                <w:sz w:val="20"/>
                <w:szCs w:val="20"/>
                <w:color w:val="auto"/>
              </w:rPr>
            </w:pPr>
            <w:r>
              <w:rPr>
                <w:rFonts w:ascii="Arial" w:cs="Arial" w:eastAsia="Arial" w:hAnsi="Arial"/>
                <w:sz w:val="14"/>
                <w:szCs w:val="14"/>
                <w:color w:val="auto"/>
                <w:w w:val="83"/>
              </w:rPr>
              <w:t>1,488,750</w:t>
            </w:r>
          </w:p>
        </w:tc>
        <w:tc>
          <w:tcPr>
            <w:tcW w:w="900" w:type="dxa"/>
            <w:vAlign w:val="bottom"/>
            <w:shd w:val="clear" w:color="auto" w:fill="CCEEFF"/>
          </w:tcPr>
          <w:p>
            <w:pPr>
              <w:jc w:val="right"/>
              <w:ind w:right="112"/>
              <w:spacing w:after="0" w:line="159" w:lineRule="exact"/>
              <w:rPr>
                <w:sz w:val="20"/>
                <w:szCs w:val="20"/>
                <w:color w:val="auto"/>
              </w:rPr>
            </w:pPr>
            <w:r>
              <w:rPr>
                <w:rFonts w:ascii="Arial" w:cs="Arial" w:eastAsia="Arial" w:hAnsi="Arial"/>
                <w:sz w:val="14"/>
                <w:szCs w:val="14"/>
                <w:color w:val="auto"/>
              </w:rPr>
              <w:t>1,482,052</w:t>
            </w:r>
          </w:p>
        </w:tc>
        <w:tc>
          <w:tcPr>
            <w:tcW w:w="8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1,488,750</w:t>
            </w:r>
          </w:p>
        </w:tc>
      </w:tr>
      <w:tr>
        <w:trPr>
          <w:trHeight w:val="149"/>
        </w:trPr>
        <w:tc>
          <w:tcPr>
            <w:tcW w:w="4080" w:type="dxa"/>
            <w:vAlign w:val="bottom"/>
          </w:tcPr>
          <w:p>
            <w:pPr>
              <w:spacing w:after="0" w:line="149" w:lineRule="exact"/>
              <w:rPr>
                <w:sz w:val="20"/>
                <w:szCs w:val="20"/>
                <w:color w:val="auto"/>
              </w:rPr>
            </w:pPr>
            <w:r>
              <w:rPr>
                <w:rFonts w:ascii="Arial" w:cs="Arial" w:eastAsia="Arial" w:hAnsi="Arial"/>
                <w:sz w:val="14"/>
                <w:szCs w:val="14"/>
                <w:color w:val="auto"/>
              </w:rPr>
              <w:t>Polymer Group, Inc.</w:t>
            </w:r>
          </w:p>
        </w:tc>
        <w:tc>
          <w:tcPr>
            <w:tcW w:w="2020" w:type="dxa"/>
            <w:vAlign w:val="bottom"/>
          </w:tcPr>
          <w:p>
            <w:pPr>
              <w:ind w:left="440"/>
              <w:spacing w:after="0" w:line="149" w:lineRule="exact"/>
              <w:rPr>
                <w:sz w:val="20"/>
                <w:szCs w:val="20"/>
                <w:color w:val="auto"/>
              </w:rPr>
            </w:pPr>
            <w:r>
              <w:rPr>
                <w:rFonts w:ascii="Arial" w:cs="Arial" w:eastAsia="Arial" w:hAnsi="Arial"/>
                <w:sz w:val="14"/>
                <w:szCs w:val="14"/>
                <w:color w:val="auto"/>
              </w:rPr>
              <w:t>Chemicals/Plastics</w:t>
            </w:r>
          </w:p>
        </w:tc>
        <w:tc>
          <w:tcPr>
            <w:tcW w:w="880" w:type="dxa"/>
            <w:vAlign w:val="bottom"/>
          </w:tcPr>
          <w:p>
            <w:pPr>
              <w:ind w:left="120"/>
              <w:spacing w:after="0" w:line="149" w:lineRule="exact"/>
              <w:rPr>
                <w:sz w:val="20"/>
                <w:szCs w:val="20"/>
                <w:color w:val="auto"/>
              </w:rPr>
            </w:pPr>
            <w:r>
              <w:rPr>
                <w:rFonts w:ascii="Arial" w:cs="Arial" w:eastAsia="Arial" w:hAnsi="Arial"/>
                <w:sz w:val="14"/>
                <w:szCs w:val="14"/>
                <w:color w:val="auto"/>
              </w:rPr>
              <w:t>Initial Loan</w:t>
            </w:r>
          </w:p>
        </w:tc>
        <w:tc>
          <w:tcPr>
            <w:tcW w:w="560" w:type="dxa"/>
            <w:vAlign w:val="bottom"/>
          </w:tcPr>
          <w:p>
            <w:pPr>
              <w:ind w:left="60"/>
              <w:spacing w:after="0" w:line="149" w:lineRule="exact"/>
              <w:rPr>
                <w:sz w:val="20"/>
                <w:szCs w:val="20"/>
                <w:color w:val="auto"/>
              </w:rPr>
            </w:pPr>
            <w:r>
              <w:rPr>
                <w:rFonts w:ascii="Arial" w:cs="Arial" w:eastAsia="Arial" w:hAnsi="Arial"/>
                <w:sz w:val="14"/>
                <w:szCs w:val="14"/>
                <w:color w:val="auto"/>
              </w:rPr>
              <w:t>Loan</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5.25%</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w w:val="91"/>
              </w:rPr>
              <w:t>12/19/2019</w:t>
            </w:r>
          </w:p>
        </w:tc>
        <w:tc>
          <w:tcPr>
            <w:tcW w:w="1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495,000</w:t>
            </w:r>
          </w:p>
        </w:tc>
        <w:tc>
          <w:tcPr>
            <w:tcW w:w="90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492,860</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495,619</w:t>
            </w:r>
          </w:p>
        </w:tc>
      </w:tr>
      <w:tr>
        <w:trPr>
          <w:trHeight w:val="138"/>
        </w:trPr>
        <w:tc>
          <w:tcPr>
            <w:tcW w:w="408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Presidio</w:t>
            </w:r>
          </w:p>
        </w:tc>
        <w:tc>
          <w:tcPr>
            <w:tcW w:w="2020" w:type="dxa"/>
            <w:vAlign w:val="bottom"/>
            <w:shd w:val="clear" w:color="auto" w:fill="CCEEFF"/>
          </w:tcPr>
          <w:p>
            <w:pPr>
              <w:ind w:left="440"/>
              <w:spacing w:after="0" w:line="138" w:lineRule="exact"/>
              <w:rPr>
                <w:sz w:val="20"/>
                <w:szCs w:val="20"/>
                <w:color w:val="auto"/>
              </w:rPr>
            </w:pPr>
            <w:r>
              <w:rPr>
                <w:rFonts w:ascii="Arial" w:cs="Arial" w:eastAsia="Arial" w:hAnsi="Arial"/>
                <w:sz w:val="14"/>
                <w:szCs w:val="14"/>
                <w:color w:val="auto"/>
              </w:rPr>
              <w:t>Services: Business</w:t>
            </w:r>
          </w:p>
        </w:tc>
        <w:tc>
          <w:tcPr>
            <w:tcW w:w="880" w:type="dxa"/>
            <w:vAlign w:val="bottom"/>
            <w:shd w:val="clear" w:color="auto" w:fill="CCEEFF"/>
          </w:tcPr>
          <w:p>
            <w:pPr>
              <w:ind w:left="120"/>
              <w:spacing w:after="0" w:line="138" w:lineRule="exact"/>
              <w:rPr>
                <w:sz w:val="20"/>
                <w:szCs w:val="20"/>
                <w:color w:val="auto"/>
              </w:rPr>
            </w:pPr>
            <w:r>
              <w:rPr>
                <w:rFonts w:ascii="Arial" w:cs="Arial" w:eastAsia="Arial" w:hAnsi="Arial"/>
                <w:sz w:val="14"/>
                <w:szCs w:val="14"/>
                <w:color w:val="auto"/>
              </w:rPr>
              <w:t>Term Loan</w:t>
            </w:r>
          </w:p>
        </w:tc>
        <w:tc>
          <w:tcPr>
            <w:tcW w:w="560" w:type="dxa"/>
            <w:vAlign w:val="bottom"/>
            <w:shd w:val="clear" w:color="auto" w:fill="CCEEFF"/>
          </w:tcPr>
          <w:p>
            <w:pPr>
              <w:ind w:left="60"/>
              <w:spacing w:after="0" w:line="138" w:lineRule="exact"/>
              <w:rPr>
                <w:sz w:val="20"/>
                <w:szCs w:val="20"/>
                <w:color w:val="auto"/>
              </w:rPr>
            </w:pPr>
            <w:r>
              <w:rPr>
                <w:rFonts w:ascii="Arial" w:cs="Arial" w:eastAsia="Arial" w:hAnsi="Arial"/>
                <w:sz w:val="14"/>
                <w:szCs w:val="14"/>
                <w:color w:val="auto"/>
              </w:rPr>
              <w:t>Loan</w:t>
            </w:r>
          </w:p>
        </w:tc>
        <w:tc>
          <w:tcPr>
            <w:tcW w:w="6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r>
      <w:tr>
        <w:trPr>
          <w:trHeight w:val="159"/>
        </w:trPr>
        <w:tc>
          <w:tcPr>
            <w:tcW w:w="4080" w:type="dxa"/>
            <w:vAlign w:val="bottom"/>
            <w:shd w:val="clear" w:color="auto" w:fill="CCEEFF"/>
          </w:tcPr>
          <w:p>
            <w:pPr>
              <w:spacing w:after="0"/>
              <w:rPr>
                <w:sz w:val="13"/>
                <w:szCs w:val="13"/>
                <w:color w:val="auto"/>
              </w:rPr>
            </w:pPr>
          </w:p>
        </w:tc>
        <w:tc>
          <w:tcPr>
            <w:tcW w:w="2020" w:type="dxa"/>
            <w:vAlign w:val="bottom"/>
            <w:shd w:val="clear" w:color="auto" w:fill="CCEEFF"/>
          </w:tcPr>
          <w:p>
            <w:pPr>
              <w:spacing w:after="0"/>
              <w:rPr>
                <w:sz w:val="13"/>
                <w:szCs w:val="13"/>
                <w:color w:val="auto"/>
              </w:rPr>
            </w:pPr>
          </w:p>
        </w:tc>
        <w:tc>
          <w:tcPr>
            <w:tcW w:w="880" w:type="dxa"/>
            <w:vAlign w:val="bottom"/>
            <w:shd w:val="clear" w:color="auto" w:fill="CCEEFF"/>
          </w:tcPr>
          <w:p>
            <w:pPr>
              <w:ind w:left="120"/>
              <w:spacing w:after="0" w:line="159" w:lineRule="exact"/>
              <w:rPr>
                <w:sz w:val="20"/>
                <w:szCs w:val="20"/>
                <w:color w:val="auto"/>
              </w:rPr>
            </w:pPr>
            <w:r>
              <w:rPr>
                <w:rFonts w:ascii="Arial" w:cs="Arial" w:eastAsia="Arial" w:hAnsi="Arial"/>
                <w:sz w:val="14"/>
                <w:szCs w:val="14"/>
                <w:color w:val="auto"/>
              </w:rPr>
              <w:t>B</w:t>
            </w:r>
          </w:p>
        </w:tc>
        <w:tc>
          <w:tcPr>
            <w:tcW w:w="56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6.25%</w:t>
            </w:r>
          </w:p>
        </w:tc>
        <w:tc>
          <w:tcPr>
            <w:tcW w:w="7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2/2/2022</w:t>
            </w:r>
          </w:p>
        </w:tc>
        <w:tc>
          <w:tcPr>
            <w:tcW w:w="1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112"/>
              <w:spacing w:after="0" w:line="159" w:lineRule="exact"/>
              <w:rPr>
                <w:sz w:val="20"/>
                <w:szCs w:val="20"/>
                <w:color w:val="auto"/>
              </w:rPr>
            </w:pPr>
            <w:r>
              <w:rPr>
                <w:rFonts w:ascii="Arial" w:cs="Arial" w:eastAsia="Arial" w:hAnsi="Arial"/>
                <w:sz w:val="14"/>
                <w:szCs w:val="14"/>
                <w:color w:val="auto"/>
                <w:w w:val="83"/>
              </w:rPr>
              <w:t>2,000,000</w:t>
            </w:r>
          </w:p>
        </w:tc>
        <w:tc>
          <w:tcPr>
            <w:tcW w:w="900" w:type="dxa"/>
            <w:vAlign w:val="bottom"/>
            <w:shd w:val="clear" w:color="auto" w:fill="CCEEFF"/>
          </w:tcPr>
          <w:p>
            <w:pPr>
              <w:jc w:val="right"/>
              <w:ind w:right="112"/>
              <w:spacing w:after="0" w:line="159" w:lineRule="exact"/>
              <w:rPr>
                <w:sz w:val="20"/>
                <w:szCs w:val="20"/>
                <w:color w:val="auto"/>
              </w:rPr>
            </w:pPr>
            <w:r>
              <w:rPr>
                <w:rFonts w:ascii="Arial" w:cs="Arial" w:eastAsia="Arial" w:hAnsi="Arial"/>
                <w:sz w:val="14"/>
                <w:szCs w:val="14"/>
                <w:color w:val="auto"/>
              </w:rPr>
              <w:t>1,940,655</w:t>
            </w:r>
          </w:p>
        </w:tc>
        <w:tc>
          <w:tcPr>
            <w:tcW w:w="8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1,973,760</w:t>
            </w:r>
          </w:p>
        </w:tc>
      </w:tr>
      <w:tr>
        <w:trPr>
          <w:trHeight w:val="138"/>
        </w:trPr>
        <w:tc>
          <w:tcPr>
            <w:tcW w:w="4080" w:type="dxa"/>
            <w:vAlign w:val="bottom"/>
          </w:tcPr>
          <w:p>
            <w:pPr>
              <w:spacing w:after="0" w:line="138" w:lineRule="exact"/>
              <w:rPr>
                <w:sz w:val="20"/>
                <w:szCs w:val="20"/>
                <w:color w:val="auto"/>
              </w:rPr>
            </w:pPr>
            <w:r>
              <w:rPr>
                <w:rFonts w:ascii="Arial" w:cs="Arial" w:eastAsia="Arial" w:hAnsi="Arial"/>
                <w:sz w:val="14"/>
                <w:szCs w:val="14"/>
                <w:color w:val="auto"/>
              </w:rPr>
              <w:t>Prestige Brands, Inc.</w:t>
            </w:r>
          </w:p>
        </w:tc>
        <w:tc>
          <w:tcPr>
            <w:tcW w:w="2020" w:type="dxa"/>
            <w:vAlign w:val="bottom"/>
          </w:tcPr>
          <w:p>
            <w:pPr>
              <w:ind w:left="440"/>
              <w:spacing w:after="0" w:line="138" w:lineRule="exact"/>
              <w:rPr>
                <w:sz w:val="20"/>
                <w:szCs w:val="20"/>
                <w:color w:val="auto"/>
              </w:rPr>
            </w:pPr>
            <w:r>
              <w:rPr>
                <w:rFonts w:ascii="Arial" w:cs="Arial" w:eastAsia="Arial" w:hAnsi="Arial"/>
                <w:sz w:val="14"/>
                <w:szCs w:val="14"/>
                <w:color w:val="auto"/>
              </w:rPr>
              <w:t>Drugs</w:t>
            </w:r>
          </w:p>
        </w:tc>
        <w:tc>
          <w:tcPr>
            <w:tcW w:w="880" w:type="dxa"/>
            <w:vAlign w:val="bottom"/>
          </w:tcPr>
          <w:p>
            <w:pPr>
              <w:ind w:left="120"/>
              <w:spacing w:after="0" w:line="138" w:lineRule="exact"/>
              <w:rPr>
                <w:sz w:val="20"/>
                <w:szCs w:val="20"/>
                <w:color w:val="auto"/>
              </w:rPr>
            </w:pPr>
            <w:r>
              <w:rPr>
                <w:rFonts w:ascii="Arial" w:cs="Arial" w:eastAsia="Arial" w:hAnsi="Arial"/>
                <w:sz w:val="14"/>
                <w:szCs w:val="14"/>
                <w:color w:val="auto"/>
              </w:rPr>
              <w:t>Term B-1</w:t>
            </w:r>
          </w:p>
        </w:tc>
        <w:tc>
          <w:tcPr>
            <w:tcW w:w="560" w:type="dxa"/>
            <w:vAlign w:val="bottom"/>
          </w:tcPr>
          <w:p>
            <w:pPr>
              <w:ind w:left="60"/>
              <w:spacing w:after="0" w:line="138" w:lineRule="exact"/>
              <w:rPr>
                <w:sz w:val="20"/>
                <w:szCs w:val="20"/>
                <w:color w:val="auto"/>
              </w:rPr>
            </w:pPr>
            <w:r>
              <w:rPr>
                <w:rFonts w:ascii="Arial" w:cs="Arial" w:eastAsia="Arial" w:hAnsi="Arial"/>
                <w:sz w:val="14"/>
                <w:szCs w:val="14"/>
                <w:color w:val="auto"/>
              </w:rPr>
              <w:t>Loan</w:t>
            </w: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59"/>
        </w:trPr>
        <w:tc>
          <w:tcPr>
            <w:tcW w:w="408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880" w:type="dxa"/>
            <w:vAlign w:val="bottom"/>
          </w:tcPr>
          <w:p>
            <w:pPr>
              <w:ind w:left="120"/>
              <w:spacing w:after="0" w:line="159" w:lineRule="exact"/>
              <w:rPr>
                <w:sz w:val="20"/>
                <w:szCs w:val="20"/>
                <w:color w:val="auto"/>
              </w:rPr>
            </w:pPr>
            <w:r>
              <w:rPr>
                <w:rFonts w:ascii="Arial" w:cs="Arial" w:eastAsia="Arial" w:hAnsi="Arial"/>
                <w:sz w:val="14"/>
                <w:szCs w:val="14"/>
                <w:color w:val="auto"/>
              </w:rPr>
              <w:t>Loan</w:t>
            </w:r>
          </w:p>
        </w:tc>
        <w:tc>
          <w:tcPr>
            <w:tcW w:w="560" w:type="dxa"/>
            <w:vAlign w:val="bottom"/>
          </w:tcPr>
          <w:p>
            <w:pPr>
              <w:spacing w:after="0"/>
              <w:rPr>
                <w:sz w:val="13"/>
                <w:szCs w:val="13"/>
                <w:color w:val="auto"/>
              </w:rPr>
            </w:pPr>
          </w:p>
        </w:tc>
        <w:tc>
          <w:tcPr>
            <w:tcW w:w="640" w:type="dxa"/>
            <w:vAlign w:val="bottom"/>
          </w:tcPr>
          <w:p>
            <w:pPr>
              <w:jc w:val="right"/>
              <w:spacing w:after="0" w:line="159" w:lineRule="exact"/>
              <w:rPr>
                <w:sz w:val="20"/>
                <w:szCs w:val="20"/>
                <w:color w:val="auto"/>
              </w:rPr>
            </w:pPr>
            <w:r>
              <w:rPr>
                <w:rFonts w:ascii="Arial" w:cs="Arial" w:eastAsia="Arial" w:hAnsi="Arial"/>
                <w:sz w:val="14"/>
                <w:szCs w:val="14"/>
                <w:color w:val="auto"/>
              </w:rPr>
              <w:t>4.13%</w:t>
            </w:r>
          </w:p>
        </w:tc>
        <w:tc>
          <w:tcPr>
            <w:tcW w:w="700" w:type="dxa"/>
            <w:vAlign w:val="bottom"/>
          </w:tcPr>
          <w:p>
            <w:pPr>
              <w:jc w:val="right"/>
              <w:spacing w:after="0" w:line="159" w:lineRule="exact"/>
              <w:rPr>
                <w:sz w:val="20"/>
                <w:szCs w:val="20"/>
                <w:color w:val="auto"/>
              </w:rPr>
            </w:pPr>
            <w:r>
              <w:rPr>
                <w:rFonts w:ascii="Arial" w:cs="Arial" w:eastAsia="Arial" w:hAnsi="Arial"/>
                <w:sz w:val="14"/>
                <w:szCs w:val="14"/>
                <w:color w:val="auto"/>
              </w:rPr>
              <w:t>1/31/2019</w:t>
            </w:r>
          </w:p>
        </w:tc>
        <w:tc>
          <w:tcPr>
            <w:tcW w:w="12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112"/>
              <w:spacing w:after="0" w:line="159" w:lineRule="exact"/>
              <w:rPr>
                <w:sz w:val="20"/>
                <w:szCs w:val="20"/>
                <w:color w:val="auto"/>
              </w:rPr>
            </w:pPr>
            <w:r>
              <w:rPr>
                <w:rFonts w:ascii="Arial" w:cs="Arial" w:eastAsia="Arial" w:hAnsi="Arial"/>
                <w:sz w:val="14"/>
                <w:szCs w:val="14"/>
                <w:color w:val="auto"/>
              </w:rPr>
              <w:t>344,697</w:t>
            </w:r>
          </w:p>
        </w:tc>
        <w:tc>
          <w:tcPr>
            <w:tcW w:w="900" w:type="dxa"/>
            <w:vAlign w:val="bottom"/>
          </w:tcPr>
          <w:p>
            <w:pPr>
              <w:jc w:val="right"/>
              <w:ind w:right="112"/>
              <w:spacing w:after="0" w:line="159" w:lineRule="exact"/>
              <w:rPr>
                <w:sz w:val="20"/>
                <w:szCs w:val="20"/>
                <w:color w:val="auto"/>
              </w:rPr>
            </w:pPr>
            <w:r>
              <w:rPr>
                <w:rFonts w:ascii="Arial" w:cs="Arial" w:eastAsia="Arial" w:hAnsi="Arial"/>
                <w:sz w:val="14"/>
                <w:szCs w:val="14"/>
                <w:color w:val="auto"/>
              </w:rPr>
              <w:t>341,112</w:t>
            </w:r>
          </w:p>
        </w:tc>
        <w:tc>
          <w:tcPr>
            <w:tcW w:w="800" w:type="dxa"/>
            <w:vAlign w:val="bottom"/>
          </w:tcPr>
          <w:p>
            <w:pPr>
              <w:jc w:val="right"/>
              <w:spacing w:after="0" w:line="159" w:lineRule="exact"/>
              <w:rPr>
                <w:sz w:val="20"/>
                <w:szCs w:val="20"/>
                <w:color w:val="auto"/>
              </w:rPr>
            </w:pPr>
            <w:r>
              <w:rPr>
                <w:rFonts w:ascii="Arial" w:cs="Arial" w:eastAsia="Arial" w:hAnsi="Arial"/>
                <w:sz w:val="14"/>
                <w:szCs w:val="14"/>
                <w:color w:val="auto"/>
              </w:rPr>
              <w:t>344,697</w:t>
            </w:r>
          </w:p>
        </w:tc>
      </w:tr>
      <w:tr>
        <w:trPr>
          <w:trHeight w:val="138"/>
        </w:trPr>
        <w:tc>
          <w:tcPr>
            <w:tcW w:w="408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Prestige Brands, Inc.</w:t>
            </w:r>
          </w:p>
        </w:tc>
        <w:tc>
          <w:tcPr>
            <w:tcW w:w="2020" w:type="dxa"/>
            <w:vAlign w:val="bottom"/>
            <w:shd w:val="clear" w:color="auto" w:fill="CCEEFF"/>
          </w:tcPr>
          <w:p>
            <w:pPr>
              <w:ind w:left="440"/>
              <w:spacing w:after="0" w:line="138" w:lineRule="exact"/>
              <w:rPr>
                <w:sz w:val="20"/>
                <w:szCs w:val="20"/>
                <w:color w:val="auto"/>
              </w:rPr>
            </w:pPr>
            <w:r>
              <w:rPr>
                <w:rFonts w:ascii="Arial" w:cs="Arial" w:eastAsia="Arial" w:hAnsi="Arial"/>
                <w:sz w:val="14"/>
                <w:szCs w:val="14"/>
                <w:color w:val="auto"/>
              </w:rPr>
              <w:t>Leisure</w:t>
            </w:r>
          </w:p>
        </w:tc>
        <w:tc>
          <w:tcPr>
            <w:tcW w:w="880" w:type="dxa"/>
            <w:vAlign w:val="bottom"/>
            <w:shd w:val="clear" w:color="auto" w:fill="CCEEFF"/>
          </w:tcPr>
          <w:p>
            <w:pPr>
              <w:ind w:left="120"/>
              <w:spacing w:after="0" w:line="138" w:lineRule="exact"/>
              <w:rPr>
                <w:sz w:val="20"/>
                <w:szCs w:val="20"/>
                <w:color w:val="auto"/>
              </w:rPr>
            </w:pPr>
            <w:r>
              <w:rPr>
                <w:rFonts w:ascii="Arial" w:cs="Arial" w:eastAsia="Arial" w:hAnsi="Arial"/>
                <w:sz w:val="14"/>
                <w:szCs w:val="14"/>
                <w:color w:val="auto"/>
              </w:rPr>
              <w:t>Term Loan</w:t>
            </w:r>
          </w:p>
        </w:tc>
        <w:tc>
          <w:tcPr>
            <w:tcW w:w="560" w:type="dxa"/>
            <w:vAlign w:val="bottom"/>
            <w:shd w:val="clear" w:color="auto" w:fill="CCEEFF"/>
          </w:tcPr>
          <w:p>
            <w:pPr>
              <w:ind w:left="60"/>
              <w:spacing w:after="0" w:line="138" w:lineRule="exact"/>
              <w:rPr>
                <w:sz w:val="20"/>
                <w:szCs w:val="20"/>
                <w:color w:val="auto"/>
              </w:rPr>
            </w:pPr>
            <w:r>
              <w:rPr>
                <w:rFonts w:ascii="Arial" w:cs="Arial" w:eastAsia="Arial" w:hAnsi="Arial"/>
                <w:sz w:val="14"/>
                <w:szCs w:val="14"/>
                <w:color w:val="auto"/>
              </w:rPr>
              <w:t>Loan</w:t>
            </w:r>
          </w:p>
        </w:tc>
        <w:tc>
          <w:tcPr>
            <w:tcW w:w="6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r>
      <w:tr>
        <w:trPr>
          <w:trHeight w:val="159"/>
        </w:trPr>
        <w:tc>
          <w:tcPr>
            <w:tcW w:w="4080" w:type="dxa"/>
            <w:vAlign w:val="bottom"/>
            <w:shd w:val="clear" w:color="auto" w:fill="CCEEFF"/>
          </w:tcPr>
          <w:p>
            <w:pPr>
              <w:spacing w:after="0"/>
              <w:rPr>
                <w:sz w:val="13"/>
                <w:szCs w:val="13"/>
                <w:color w:val="auto"/>
              </w:rPr>
            </w:pPr>
          </w:p>
        </w:tc>
        <w:tc>
          <w:tcPr>
            <w:tcW w:w="2020" w:type="dxa"/>
            <w:vAlign w:val="bottom"/>
            <w:shd w:val="clear" w:color="auto" w:fill="CCEEFF"/>
          </w:tcPr>
          <w:p>
            <w:pPr>
              <w:ind w:left="440"/>
              <w:spacing w:after="0" w:line="159" w:lineRule="exact"/>
              <w:rPr>
                <w:sz w:val="20"/>
                <w:szCs w:val="20"/>
                <w:color w:val="auto"/>
              </w:rPr>
            </w:pPr>
            <w:r>
              <w:rPr>
                <w:rFonts w:ascii="Arial" w:cs="Arial" w:eastAsia="Arial" w:hAnsi="Arial"/>
                <w:sz w:val="14"/>
                <w:szCs w:val="14"/>
                <w:color w:val="auto"/>
              </w:rPr>
              <w:t>Goods/Activities/Movies</w:t>
            </w:r>
          </w:p>
        </w:tc>
        <w:tc>
          <w:tcPr>
            <w:tcW w:w="8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4.50%</w:t>
            </w:r>
          </w:p>
        </w:tc>
        <w:tc>
          <w:tcPr>
            <w:tcW w:w="7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9/3/2021</w:t>
            </w:r>
          </w:p>
        </w:tc>
        <w:tc>
          <w:tcPr>
            <w:tcW w:w="1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112"/>
              <w:spacing w:after="0" w:line="159" w:lineRule="exact"/>
              <w:rPr>
                <w:sz w:val="20"/>
                <w:szCs w:val="20"/>
                <w:color w:val="auto"/>
              </w:rPr>
            </w:pPr>
            <w:r>
              <w:rPr>
                <w:rFonts w:ascii="Arial" w:cs="Arial" w:eastAsia="Arial" w:hAnsi="Arial"/>
                <w:sz w:val="14"/>
                <w:szCs w:val="14"/>
                <w:color w:val="auto"/>
                <w:w w:val="83"/>
              </w:rPr>
              <w:t>1,861,111</w:t>
            </w:r>
          </w:p>
        </w:tc>
        <w:tc>
          <w:tcPr>
            <w:tcW w:w="900" w:type="dxa"/>
            <w:vAlign w:val="bottom"/>
            <w:shd w:val="clear" w:color="auto" w:fill="CCEEFF"/>
          </w:tcPr>
          <w:p>
            <w:pPr>
              <w:jc w:val="right"/>
              <w:ind w:right="112"/>
              <w:spacing w:after="0" w:line="159" w:lineRule="exact"/>
              <w:rPr>
                <w:sz w:val="20"/>
                <w:szCs w:val="20"/>
                <w:color w:val="auto"/>
              </w:rPr>
            </w:pPr>
            <w:r>
              <w:rPr>
                <w:rFonts w:ascii="Arial" w:cs="Arial" w:eastAsia="Arial" w:hAnsi="Arial"/>
                <w:sz w:val="14"/>
                <w:szCs w:val="14"/>
                <w:color w:val="auto"/>
              </w:rPr>
              <w:t>1,858,280</w:t>
            </w:r>
          </w:p>
        </w:tc>
        <w:tc>
          <w:tcPr>
            <w:tcW w:w="8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1,860,534</w:t>
            </w:r>
          </w:p>
        </w:tc>
      </w:tr>
      <w:tr>
        <w:trPr>
          <w:trHeight w:val="138"/>
        </w:trPr>
        <w:tc>
          <w:tcPr>
            <w:tcW w:w="4080" w:type="dxa"/>
            <w:vAlign w:val="bottom"/>
          </w:tcPr>
          <w:p>
            <w:pPr>
              <w:spacing w:after="0" w:line="138" w:lineRule="exact"/>
              <w:rPr>
                <w:sz w:val="20"/>
                <w:szCs w:val="20"/>
                <w:color w:val="auto"/>
              </w:rPr>
            </w:pPr>
            <w:r>
              <w:rPr>
                <w:rFonts w:ascii="Arial" w:cs="Arial" w:eastAsia="Arial" w:hAnsi="Arial"/>
                <w:sz w:val="14"/>
                <w:szCs w:val="14"/>
                <w:color w:val="auto"/>
              </w:rPr>
              <w:t>QoL Meds, LLC</w:t>
            </w:r>
          </w:p>
        </w:tc>
        <w:tc>
          <w:tcPr>
            <w:tcW w:w="2020" w:type="dxa"/>
            <w:vAlign w:val="bottom"/>
          </w:tcPr>
          <w:p>
            <w:pPr>
              <w:ind w:left="440"/>
              <w:spacing w:after="0" w:line="138" w:lineRule="exact"/>
              <w:rPr>
                <w:sz w:val="20"/>
                <w:szCs w:val="20"/>
                <w:color w:val="auto"/>
              </w:rPr>
            </w:pPr>
            <w:r>
              <w:rPr>
                <w:rFonts w:ascii="Arial" w:cs="Arial" w:eastAsia="Arial" w:hAnsi="Arial"/>
                <w:sz w:val="14"/>
                <w:szCs w:val="14"/>
                <w:color w:val="auto"/>
              </w:rPr>
              <w:t>Healthcare &amp;</w:t>
            </w:r>
          </w:p>
        </w:tc>
        <w:tc>
          <w:tcPr>
            <w:tcW w:w="880" w:type="dxa"/>
            <w:vAlign w:val="bottom"/>
          </w:tcPr>
          <w:p>
            <w:pPr>
              <w:ind w:left="120"/>
              <w:spacing w:after="0" w:line="138" w:lineRule="exact"/>
              <w:rPr>
                <w:sz w:val="20"/>
                <w:szCs w:val="20"/>
                <w:color w:val="auto"/>
              </w:rPr>
            </w:pPr>
            <w:r>
              <w:rPr>
                <w:rFonts w:ascii="Arial" w:cs="Arial" w:eastAsia="Arial" w:hAnsi="Arial"/>
                <w:sz w:val="14"/>
                <w:szCs w:val="14"/>
                <w:color w:val="auto"/>
              </w:rPr>
              <w:t>Term Loan</w:t>
            </w:r>
          </w:p>
        </w:tc>
        <w:tc>
          <w:tcPr>
            <w:tcW w:w="560" w:type="dxa"/>
            <w:vAlign w:val="bottom"/>
          </w:tcPr>
          <w:p>
            <w:pPr>
              <w:ind w:left="60"/>
              <w:spacing w:after="0" w:line="138" w:lineRule="exact"/>
              <w:rPr>
                <w:sz w:val="20"/>
                <w:szCs w:val="20"/>
                <w:color w:val="auto"/>
              </w:rPr>
            </w:pPr>
            <w:r>
              <w:rPr>
                <w:rFonts w:ascii="Arial" w:cs="Arial" w:eastAsia="Arial" w:hAnsi="Arial"/>
                <w:sz w:val="14"/>
                <w:szCs w:val="14"/>
                <w:color w:val="auto"/>
              </w:rPr>
              <w:t>Loan</w:t>
            </w: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59"/>
        </w:trPr>
        <w:tc>
          <w:tcPr>
            <w:tcW w:w="4080" w:type="dxa"/>
            <w:vAlign w:val="bottom"/>
          </w:tcPr>
          <w:p>
            <w:pPr>
              <w:spacing w:after="0"/>
              <w:rPr>
                <w:sz w:val="13"/>
                <w:szCs w:val="13"/>
                <w:color w:val="auto"/>
              </w:rPr>
            </w:pPr>
          </w:p>
        </w:tc>
        <w:tc>
          <w:tcPr>
            <w:tcW w:w="2020" w:type="dxa"/>
            <w:vAlign w:val="bottom"/>
          </w:tcPr>
          <w:p>
            <w:pPr>
              <w:ind w:left="440"/>
              <w:spacing w:after="0" w:line="159" w:lineRule="exact"/>
              <w:rPr>
                <w:sz w:val="20"/>
                <w:szCs w:val="20"/>
                <w:color w:val="auto"/>
              </w:rPr>
            </w:pPr>
            <w:r>
              <w:rPr>
                <w:rFonts w:ascii="Arial" w:cs="Arial" w:eastAsia="Arial" w:hAnsi="Arial"/>
                <w:sz w:val="14"/>
                <w:szCs w:val="14"/>
                <w:color w:val="auto"/>
              </w:rPr>
              <w:t>Pharmaceuticals</w:t>
            </w:r>
          </w:p>
        </w:tc>
        <w:tc>
          <w:tcPr>
            <w:tcW w:w="880" w:type="dxa"/>
            <w:vAlign w:val="bottom"/>
          </w:tcPr>
          <w:p>
            <w:pPr>
              <w:ind w:left="120"/>
              <w:spacing w:after="0" w:line="159" w:lineRule="exact"/>
              <w:rPr>
                <w:sz w:val="20"/>
                <w:szCs w:val="20"/>
                <w:color w:val="auto"/>
              </w:rPr>
            </w:pPr>
            <w:r>
              <w:rPr>
                <w:rFonts w:ascii="Arial" w:cs="Arial" w:eastAsia="Arial" w:hAnsi="Arial"/>
                <w:sz w:val="14"/>
                <w:szCs w:val="14"/>
                <w:color w:val="auto"/>
              </w:rPr>
              <w:t>B</w:t>
            </w:r>
          </w:p>
        </w:tc>
        <w:tc>
          <w:tcPr>
            <w:tcW w:w="560" w:type="dxa"/>
            <w:vAlign w:val="bottom"/>
          </w:tcPr>
          <w:p>
            <w:pPr>
              <w:spacing w:after="0"/>
              <w:rPr>
                <w:sz w:val="13"/>
                <w:szCs w:val="13"/>
                <w:color w:val="auto"/>
              </w:rPr>
            </w:pPr>
          </w:p>
        </w:tc>
        <w:tc>
          <w:tcPr>
            <w:tcW w:w="640" w:type="dxa"/>
            <w:vAlign w:val="bottom"/>
          </w:tcPr>
          <w:p>
            <w:pPr>
              <w:jc w:val="right"/>
              <w:spacing w:after="0" w:line="159" w:lineRule="exact"/>
              <w:rPr>
                <w:sz w:val="20"/>
                <w:szCs w:val="20"/>
                <w:color w:val="auto"/>
              </w:rPr>
            </w:pPr>
            <w:r>
              <w:rPr>
                <w:rFonts w:ascii="Arial" w:cs="Arial" w:eastAsia="Arial" w:hAnsi="Arial"/>
                <w:sz w:val="14"/>
                <w:szCs w:val="14"/>
                <w:color w:val="auto"/>
              </w:rPr>
              <w:t>5.50%</w:t>
            </w:r>
          </w:p>
        </w:tc>
        <w:tc>
          <w:tcPr>
            <w:tcW w:w="700" w:type="dxa"/>
            <w:vAlign w:val="bottom"/>
          </w:tcPr>
          <w:p>
            <w:pPr>
              <w:jc w:val="right"/>
              <w:spacing w:after="0" w:line="159" w:lineRule="exact"/>
              <w:rPr>
                <w:sz w:val="20"/>
                <w:szCs w:val="20"/>
                <w:color w:val="auto"/>
              </w:rPr>
            </w:pPr>
            <w:r>
              <w:rPr>
                <w:rFonts w:ascii="Arial" w:cs="Arial" w:eastAsia="Arial" w:hAnsi="Arial"/>
                <w:sz w:val="14"/>
                <w:szCs w:val="14"/>
                <w:color w:val="auto"/>
              </w:rPr>
              <w:t>7/15/2020</w:t>
            </w:r>
          </w:p>
        </w:tc>
        <w:tc>
          <w:tcPr>
            <w:tcW w:w="12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112"/>
              <w:spacing w:after="0" w:line="159" w:lineRule="exact"/>
              <w:rPr>
                <w:sz w:val="20"/>
                <w:szCs w:val="20"/>
                <w:color w:val="auto"/>
              </w:rPr>
            </w:pPr>
            <w:r>
              <w:rPr>
                <w:rFonts w:ascii="Arial" w:cs="Arial" w:eastAsia="Arial" w:hAnsi="Arial"/>
                <w:sz w:val="14"/>
                <w:szCs w:val="14"/>
                <w:color w:val="auto"/>
                <w:w w:val="83"/>
              </w:rPr>
              <w:t>1,995,000</w:t>
            </w:r>
          </w:p>
        </w:tc>
        <w:tc>
          <w:tcPr>
            <w:tcW w:w="900" w:type="dxa"/>
            <w:vAlign w:val="bottom"/>
          </w:tcPr>
          <w:p>
            <w:pPr>
              <w:jc w:val="right"/>
              <w:ind w:right="112"/>
              <w:spacing w:after="0" w:line="159" w:lineRule="exact"/>
              <w:rPr>
                <w:sz w:val="20"/>
                <w:szCs w:val="20"/>
                <w:color w:val="auto"/>
              </w:rPr>
            </w:pPr>
            <w:r>
              <w:rPr>
                <w:rFonts w:ascii="Arial" w:cs="Arial" w:eastAsia="Arial" w:hAnsi="Arial"/>
                <w:sz w:val="14"/>
                <w:szCs w:val="14"/>
                <w:color w:val="auto"/>
              </w:rPr>
              <w:t>1,985,909</w:t>
            </w:r>
          </w:p>
        </w:tc>
        <w:tc>
          <w:tcPr>
            <w:tcW w:w="800" w:type="dxa"/>
            <w:vAlign w:val="bottom"/>
          </w:tcPr>
          <w:p>
            <w:pPr>
              <w:jc w:val="right"/>
              <w:spacing w:after="0" w:line="159" w:lineRule="exact"/>
              <w:rPr>
                <w:sz w:val="20"/>
                <w:szCs w:val="20"/>
                <w:color w:val="auto"/>
              </w:rPr>
            </w:pPr>
            <w:r>
              <w:rPr>
                <w:rFonts w:ascii="Arial" w:cs="Arial" w:eastAsia="Arial" w:hAnsi="Arial"/>
                <w:sz w:val="14"/>
                <w:szCs w:val="14"/>
                <w:color w:val="auto"/>
              </w:rPr>
              <w:t>1,990,013</w:t>
            </w:r>
          </w:p>
        </w:tc>
      </w:tr>
      <w:tr>
        <w:trPr>
          <w:trHeight w:val="138"/>
        </w:trPr>
        <w:tc>
          <w:tcPr>
            <w:tcW w:w="408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Quintiles Transnational Corp.</w:t>
            </w:r>
          </w:p>
        </w:tc>
        <w:tc>
          <w:tcPr>
            <w:tcW w:w="2020" w:type="dxa"/>
            <w:vAlign w:val="bottom"/>
            <w:shd w:val="clear" w:color="auto" w:fill="CCEEFF"/>
          </w:tcPr>
          <w:p>
            <w:pPr>
              <w:ind w:left="440"/>
              <w:spacing w:after="0" w:line="138" w:lineRule="exact"/>
              <w:rPr>
                <w:sz w:val="20"/>
                <w:szCs w:val="20"/>
                <w:color w:val="auto"/>
              </w:rPr>
            </w:pPr>
            <w:r>
              <w:rPr>
                <w:rFonts w:ascii="Arial" w:cs="Arial" w:eastAsia="Arial" w:hAnsi="Arial"/>
                <w:sz w:val="14"/>
                <w:szCs w:val="14"/>
                <w:color w:val="auto"/>
              </w:rPr>
              <w:t>Conglomerate</w:t>
            </w:r>
          </w:p>
        </w:tc>
        <w:tc>
          <w:tcPr>
            <w:tcW w:w="880" w:type="dxa"/>
            <w:vAlign w:val="bottom"/>
            <w:shd w:val="clear" w:color="auto" w:fill="CCEEFF"/>
          </w:tcPr>
          <w:p>
            <w:pPr>
              <w:ind w:left="120"/>
              <w:spacing w:after="0" w:line="138" w:lineRule="exact"/>
              <w:rPr>
                <w:sz w:val="20"/>
                <w:szCs w:val="20"/>
                <w:color w:val="auto"/>
              </w:rPr>
            </w:pPr>
            <w:r>
              <w:rPr>
                <w:rFonts w:ascii="Arial" w:cs="Arial" w:eastAsia="Arial" w:hAnsi="Arial"/>
                <w:sz w:val="14"/>
                <w:szCs w:val="14"/>
                <w:color w:val="auto"/>
              </w:rPr>
              <w:t>Term B-3</w:t>
            </w:r>
          </w:p>
        </w:tc>
        <w:tc>
          <w:tcPr>
            <w:tcW w:w="560" w:type="dxa"/>
            <w:vAlign w:val="bottom"/>
            <w:shd w:val="clear" w:color="auto" w:fill="CCEEFF"/>
          </w:tcPr>
          <w:p>
            <w:pPr>
              <w:ind w:left="60"/>
              <w:spacing w:after="0" w:line="138" w:lineRule="exact"/>
              <w:rPr>
                <w:sz w:val="20"/>
                <w:szCs w:val="20"/>
                <w:color w:val="auto"/>
              </w:rPr>
            </w:pPr>
            <w:r>
              <w:rPr>
                <w:rFonts w:ascii="Arial" w:cs="Arial" w:eastAsia="Arial" w:hAnsi="Arial"/>
                <w:sz w:val="14"/>
                <w:szCs w:val="14"/>
                <w:color w:val="auto"/>
              </w:rPr>
              <w:t>Loan</w:t>
            </w:r>
          </w:p>
        </w:tc>
        <w:tc>
          <w:tcPr>
            <w:tcW w:w="6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r>
      <w:tr>
        <w:trPr>
          <w:trHeight w:val="159"/>
        </w:trPr>
        <w:tc>
          <w:tcPr>
            <w:tcW w:w="4080" w:type="dxa"/>
            <w:vAlign w:val="bottom"/>
            <w:shd w:val="clear" w:color="auto" w:fill="CCEEFF"/>
          </w:tcPr>
          <w:p>
            <w:pPr>
              <w:spacing w:after="0"/>
              <w:rPr>
                <w:sz w:val="13"/>
                <w:szCs w:val="13"/>
                <w:color w:val="auto"/>
              </w:rPr>
            </w:pPr>
          </w:p>
        </w:tc>
        <w:tc>
          <w:tcPr>
            <w:tcW w:w="2020" w:type="dxa"/>
            <w:vAlign w:val="bottom"/>
            <w:shd w:val="clear" w:color="auto" w:fill="CCEEFF"/>
          </w:tcPr>
          <w:p>
            <w:pPr>
              <w:spacing w:after="0"/>
              <w:rPr>
                <w:sz w:val="13"/>
                <w:szCs w:val="13"/>
                <w:color w:val="auto"/>
              </w:rPr>
            </w:pPr>
          </w:p>
        </w:tc>
        <w:tc>
          <w:tcPr>
            <w:tcW w:w="880" w:type="dxa"/>
            <w:vAlign w:val="bottom"/>
            <w:shd w:val="clear" w:color="auto" w:fill="CCEEFF"/>
          </w:tcPr>
          <w:p>
            <w:pPr>
              <w:ind w:left="120"/>
              <w:spacing w:after="0" w:line="159" w:lineRule="exact"/>
              <w:rPr>
                <w:sz w:val="20"/>
                <w:szCs w:val="20"/>
                <w:color w:val="auto"/>
              </w:rPr>
            </w:pPr>
            <w:r>
              <w:rPr>
                <w:rFonts w:ascii="Arial" w:cs="Arial" w:eastAsia="Arial" w:hAnsi="Arial"/>
                <w:sz w:val="14"/>
                <w:szCs w:val="14"/>
                <w:color w:val="auto"/>
              </w:rPr>
              <w:t>Loan</w:t>
            </w:r>
          </w:p>
        </w:tc>
        <w:tc>
          <w:tcPr>
            <w:tcW w:w="56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3.75%</w:t>
            </w:r>
          </w:p>
        </w:tc>
        <w:tc>
          <w:tcPr>
            <w:tcW w:w="7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6/8/2018</w:t>
            </w:r>
          </w:p>
        </w:tc>
        <w:tc>
          <w:tcPr>
            <w:tcW w:w="1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112"/>
              <w:spacing w:after="0" w:line="159" w:lineRule="exact"/>
              <w:rPr>
                <w:sz w:val="20"/>
                <w:szCs w:val="20"/>
                <w:color w:val="auto"/>
              </w:rPr>
            </w:pPr>
            <w:r>
              <w:rPr>
                <w:rFonts w:ascii="Arial" w:cs="Arial" w:eastAsia="Arial" w:hAnsi="Arial"/>
                <w:sz w:val="14"/>
                <w:szCs w:val="14"/>
                <w:color w:val="auto"/>
                <w:w w:val="83"/>
              </w:rPr>
              <w:t>3,627,678</w:t>
            </w:r>
          </w:p>
        </w:tc>
        <w:tc>
          <w:tcPr>
            <w:tcW w:w="900" w:type="dxa"/>
            <w:vAlign w:val="bottom"/>
            <w:shd w:val="clear" w:color="auto" w:fill="CCEEFF"/>
          </w:tcPr>
          <w:p>
            <w:pPr>
              <w:jc w:val="right"/>
              <w:ind w:right="112"/>
              <w:spacing w:after="0" w:line="159" w:lineRule="exact"/>
              <w:rPr>
                <w:sz w:val="20"/>
                <w:szCs w:val="20"/>
                <w:color w:val="auto"/>
              </w:rPr>
            </w:pPr>
            <w:r>
              <w:rPr>
                <w:rFonts w:ascii="Arial" w:cs="Arial" w:eastAsia="Arial" w:hAnsi="Arial"/>
                <w:sz w:val="14"/>
                <w:szCs w:val="14"/>
                <w:color w:val="auto"/>
              </w:rPr>
              <w:t>3,600,425</w:t>
            </w:r>
          </w:p>
        </w:tc>
        <w:tc>
          <w:tcPr>
            <w:tcW w:w="8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3,628,802</w:t>
            </w:r>
          </w:p>
        </w:tc>
      </w:tr>
      <w:tr>
        <w:trPr>
          <w:trHeight w:val="149"/>
        </w:trPr>
        <w:tc>
          <w:tcPr>
            <w:tcW w:w="4080" w:type="dxa"/>
            <w:vAlign w:val="bottom"/>
          </w:tcPr>
          <w:p>
            <w:pPr>
              <w:spacing w:after="0" w:line="149" w:lineRule="exact"/>
              <w:rPr>
                <w:sz w:val="20"/>
                <w:szCs w:val="20"/>
                <w:color w:val="auto"/>
              </w:rPr>
            </w:pPr>
            <w:r>
              <w:rPr>
                <w:rFonts w:ascii="Arial" w:cs="Arial" w:eastAsia="Arial" w:hAnsi="Arial"/>
                <w:sz w:val="14"/>
                <w:szCs w:val="14"/>
                <w:color w:val="auto"/>
              </w:rPr>
              <w:t>Ranpak Holdings, Inc.</w:t>
            </w:r>
          </w:p>
        </w:tc>
        <w:tc>
          <w:tcPr>
            <w:tcW w:w="2020" w:type="dxa"/>
            <w:vAlign w:val="bottom"/>
          </w:tcPr>
          <w:p>
            <w:pPr>
              <w:ind w:left="440"/>
              <w:spacing w:after="0" w:line="149" w:lineRule="exact"/>
              <w:rPr>
                <w:sz w:val="20"/>
                <w:szCs w:val="20"/>
                <w:color w:val="auto"/>
              </w:rPr>
            </w:pPr>
            <w:r>
              <w:rPr>
                <w:rFonts w:ascii="Arial" w:cs="Arial" w:eastAsia="Arial" w:hAnsi="Arial"/>
                <w:sz w:val="14"/>
                <w:szCs w:val="14"/>
                <w:color w:val="auto"/>
              </w:rPr>
              <w:t>Services: Business</w:t>
            </w:r>
          </w:p>
        </w:tc>
        <w:tc>
          <w:tcPr>
            <w:tcW w:w="880" w:type="dxa"/>
            <w:vAlign w:val="bottom"/>
          </w:tcPr>
          <w:p>
            <w:pPr>
              <w:ind w:left="120"/>
              <w:spacing w:after="0" w:line="149" w:lineRule="exact"/>
              <w:rPr>
                <w:sz w:val="20"/>
                <w:szCs w:val="20"/>
                <w:color w:val="auto"/>
              </w:rPr>
            </w:pPr>
            <w:r>
              <w:rPr>
                <w:rFonts w:ascii="Arial" w:cs="Arial" w:eastAsia="Arial" w:hAnsi="Arial"/>
                <w:sz w:val="14"/>
                <w:szCs w:val="14"/>
                <w:color w:val="auto"/>
              </w:rPr>
              <w:t>Term Loan</w:t>
            </w:r>
          </w:p>
        </w:tc>
        <w:tc>
          <w:tcPr>
            <w:tcW w:w="560" w:type="dxa"/>
            <w:vAlign w:val="bottom"/>
          </w:tcPr>
          <w:p>
            <w:pPr>
              <w:ind w:left="60"/>
              <w:spacing w:after="0" w:line="149" w:lineRule="exact"/>
              <w:rPr>
                <w:sz w:val="20"/>
                <w:szCs w:val="20"/>
                <w:color w:val="auto"/>
              </w:rPr>
            </w:pPr>
            <w:r>
              <w:rPr>
                <w:rFonts w:ascii="Arial" w:cs="Arial" w:eastAsia="Arial" w:hAnsi="Arial"/>
                <w:sz w:val="14"/>
                <w:szCs w:val="14"/>
                <w:color w:val="auto"/>
              </w:rPr>
              <w:t>Loan</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4.75%</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10/1/2021</w:t>
            </w:r>
          </w:p>
        </w:tc>
        <w:tc>
          <w:tcPr>
            <w:tcW w:w="1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997,500</w:t>
            </w:r>
          </w:p>
        </w:tc>
        <w:tc>
          <w:tcPr>
            <w:tcW w:w="90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995,145</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996,882</w:t>
            </w:r>
          </w:p>
        </w:tc>
      </w:tr>
      <w:tr>
        <w:trPr>
          <w:trHeight w:val="138"/>
        </w:trPr>
        <w:tc>
          <w:tcPr>
            <w:tcW w:w="408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Ranpak Holdings, Inc.</w:t>
            </w:r>
          </w:p>
        </w:tc>
        <w:tc>
          <w:tcPr>
            <w:tcW w:w="2020" w:type="dxa"/>
            <w:vAlign w:val="bottom"/>
            <w:shd w:val="clear" w:color="auto" w:fill="CCEEFF"/>
          </w:tcPr>
          <w:p>
            <w:pPr>
              <w:ind w:left="440"/>
              <w:spacing w:after="0" w:line="138" w:lineRule="exact"/>
              <w:rPr>
                <w:sz w:val="20"/>
                <w:szCs w:val="20"/>
                <w:color w:val="auto"/>
              </w:rPr>
            </w:pPr>
            <w:r>
              <w:rPr>
                <w:rFonts w:ascii="Arial" w:cs="Arial" w:eastAsia="Arial" w:hAnsi="Arial"/>
                <w:sz w:val="14"/>
                <w:szCs w:val="14"/>
                <w:color w:val="auto"/>
              </w:rPr>
              <w:t>Services: Business</w:t>
            </w:r>
          </w:p>
        </w:tc>
        <w:tc>
          <w:tcPr>
            <w:tcW w:w="880" w:type="dxa"/>
            <w:vAlign w:val="bottom"/>
            <w:shd w:val="clear" w:color="auto" w:fill="CCEEFF"/>
          </w:tcPr>
          <w:p>
            <w:pPr>
              <w:ind w:left="120"/>
              <w:spacing w:after="0" w:line="138" w:lineRule="exact"/>
              <w:rPr>
                <w:sz w:val="20"/>
                <w:szCs w:val="20"/>
                <w:color w:val="auto"/>
              </w:rPr>
            </w:pPr>
            <w:r>
              <w:rPr>
                <w:rFonts w:ascii="Arial" w:cs="Arial" w:eastAsia="Arial" w:hAnsi="Arial"/>
                <w:sz w:val="14"/>
                <w:szCs w:val="14"/>
                <w:color w:val="auto"/>
              </w:rPr>
              <w:t>Term Loan</w:t>
            </w:r>
          </w:p>
        </w:tc>
        <w:tc>
          <w:tcPr>
            <w:tcW w:w="560" w:type="dxa"/>
            <w:vAlign w:val="bottom"/>
            <w:shd w:val="clear" w:color="auto" w:fill="CCEEFF"/>
          </w:tcPr>
          <w:p>
            <w:pPr>
              <w:ind w:left="60"/>
              <w:spacing w:after="0" w:line="138" w:lineRule="exact"/>
              <w:rPr>
                <w:sz w:val="20"/>
                <w:szCs w:val="20"/>
                <w:color w:val="auto"/>
              </w:rPr>
            </w:pPr>
            <w:r>
              <w:rPr>
                <w:rFonts w:ascii="Arial" w:cs="Arial" w:eastAsia="Arial" w:hAnsi="Arial"/>
                <w:sz w:val="14"/>
                <w:szCs w:val="14"/>
                <w:color w:val="auto"/>
              </w:rPr>
              <w:t>Loan</w:t>
            </w:r>
          </w:p>
        </w:tc>
        <w:tc>
          <w:tcPr>
            <w:tcW w:w="6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r>
      <w:tr>
        <w:trPr>
          <w:trHeight w:val="149"/>
        </w:trPr>
        <w:tc>
          <w:tcPr>
            <w:tcW w:w="4080" w:type="dxa"/>
            <w:vAlign w:val="bottom"/>
            <w:shd w:val="clear" w:color="auto" w:fill="CCEEFF"/>
          </w:tcPr>
          <w:p>
            <w:pPr>
              <w:spacing w:after="0"/>
              <w:rPr>
                <w:sz w:val="12"/>
                <w:szCs w:val="12"/>
                <w:color w:val="auto"/>
              </w:rPr>
            </w:pPr>
          </w:p>
        </w:tc>
        <w:tc>
          <w:tcPr>
            <w:tcW w:w="2020" w:type="dxa"/>
            <w:vAlign w:val="bottom"/>
            <w:shd w:val="clear" w:color="auto" w:fill="CCEEFF"/>
          </w:tcPr>
          <w:p>
            <w:pPr>
              <w:spacing w:after="0"/>
              <w:rPr>
                <w:sz w:val="12"/>
                <w:szCs w:val="12"/>
                <w:color w:val="auto"/>
              </w:rPr>
            </w:pPr>
          </w:p>
        </w:tc>
        <w:tc>
          <w:tcPr>
            <w:tcW w:w="88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(Second</w:t>
            </w:r>
          </w:p>
        </w:tc>
        <w:tc>
          <w:tcPr>
            <w:tcW w:w="5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r>
      <w:tr>
        <w:trPr>
          <w:trHeight w:val="159"/>
        </w:trPr>
        <w:tc>
          <w:tcPr>
            <w:tcW w:w="4080" w:type="dxa"/>
            <w:vAlign w:val="bottom"/>
            <w:shd w:val="clear" w:color="auto" w:fill="CCEEFF"/>
          </w:tcPr>
          <w:p>
            <w:pPr>
              <w:spacing w:after="0"/>
              <w:rPr>
                <w:sz w:val="13"/>
                <w:szCs w:val="13"/>
                <w:color w:val="auto"/>
              </w:rPr>
            </w:pPr>
          </w:p>
        </w:tc>
        <w:tc>
          <w:tcPr>
            <w:tcW w:w="2020" w:type="dxa"/>
            <w:vAlign w:val="bottom"/>
            <w:shd w:val="clear" w:color="auto" w:fill="CCEEFF"/>
          </w:tcPr>
          <w:p>
            <w:pPr>
              <w:spacing w:after="0"/>
              <w:rPr>
                <w:sz w:val="13"/>
                <w:szCs w:val="13"/>
                <w:color w:val="auto"/>
              </w:rPr>
            </w:pPr>
          </w:p>
        </w:tc>
        <w:tc>
          <w:tcPr>
            <w:tcW w:w="880" w:type="dxa"/>
            <w:vAlign w:val="bottom"/>
            <w:shd w:val="clear" w:color="auto" w:fill="CCEEFF"/>
          </w:tcPr>
          <w:p>
            <w:pPr>
              <w:ind w:left="120"/>
              <w:spacing w:after="0" w:line="159" w:lineRule="exact"/>
              <w:rPr>
                <w:sz w:val="20"/>
                <w:szCs w:val="20"/>
                <w:color w:val="auto"/>
              </w:rPr>
            </w:pPr>
            <w:r>
              <w:rPr>
                <w:rFonts w:ascii="Arial" w:cs="Arial" w:eastAsia="Arial" w:hAnsi="Arial"/>
                <w:sz w:val="14"/>
                <w:szCs w:val="14"/>
                <w:color w:val="auto"/>
              </w:rPr>
              <w:t>Lien)</w:t>
            </w:r>
          </w:p>
        </w:tc>
        <w:tc>
          <w:tcPr>
            <w:tcW w:w="56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8.25%</w:t>
            </w:r>
          </w:p>
        </w:tc>
        <w:tc>
          <w:tcPr>
            <w:tcW w:w="7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9/30/2022</w:t>
            </w:r>
          </w:p>
        </w:tc>
        <w:tc>
          <w:tcPr>
            <w:tcW w:w="1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112"/>
              <w:spacing w:after="0" w:line="159" w:lineRule="exact"/>
              <w:rPr>
                <w:sz w:val="20"/>
                <w:szCs w:val="20"/>
                <w:color w:val="auto"/>
              </w:rPr>
            </w:pPr>
            <w:r>
              <w:rPr>
                <w:rFonts w:ascii="Arial" w:cs="Arial" w:eastAsia="Arial" w:hAnsi="Arial"/>
                <w:sz w:val="14"/>
                <w:szCs w:val="14"/>
                <w:color w:val="auto"/>
              </w:rPr>
              <w:t>500,000</w:t>
            </w:r>
          </w:p>
        </w:tc>
        <w:tc>
          <w:tcPr>
            <w:tcW w:w="900" w:type="dxa"/>
            <w:vAlign w:val="bottom"/>
            <w:shd w:val="clear" w:color="auto" w:fill="CCEEFF"/>
          </w:tcPr>
          <w:p>
            <w:pPr>
              <w:jc w:val="right"/>
              <w:ind w:right="112"/>
              <w:spacing w:after="0" w:line="159" w:lineRule="exact"/>
              <w:rPr>
                <w:sz w:val="20"/>
                <w:szCs w:val="20"/>
                <w:color w:val="auto"/>
              </w:rPr>
            </w:pPr>
            <w:r>
              <w:rPr>
                <w:rFonts w:ascii="Arial" w:cs="Arial" w:eastAsia="Arial" w:hAnsi="Arial"/>
                <w:sz w:val="14"/>
                <w:szCs w:val="14"/>
                <w:color w:val="auto"/>
              </w:rPr>
              <w:t>497,672</w:t>
            </w:r>
          </w:p>
        </w:tc>
        <w:tc>
          <w:tcPr>
            <w:tcW w:w="8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496,250</w:t>
            </w:r>
          </w:p>
        </w:tc>
      </w:tr>
      <w:tr>
        <w:trPr>
          <w:trHeight w:val="138"/>
        </w:trPr>
        <w:tc>
          <w:tcPr>
            <w:tcW w:w="4080" w:type="dxa"/>
            <w:vAlign w:val="bottom"/>
          </w:tcPr>
          <w:p>
            <w:pPr>
              <w:spacing w:after="0" w:line="138" w:lineRule="exact"/>
              <w:rPr>
                <w:sz w:val="20"/>
                <w:szCs w:val="20"/>
                <w:color w:val="auto"/>
              </w:rPr>
            </w:pPr>
            <w:r>
              <w:rPr>
                <w:rFonts w:ascii="Arial" w:cs="Arial" w:eastAsia="Arial" w:hAnsi="Arial"/>
                <w:sz w:val="14"/>
                <w:szCs w:val="14"/>
                <w:color w:val="auto"/>
              </w:rPr>
              <w:t>Redtop Acquisitions Limited</w:t>
            </w:r>
          </w:p>
        </w:tc>
        <w:tc>
          <w:tcPr>
            <w:tcW w:w="2020" w:type="dxa"/>
            <w:vAlign w:val="bottom"/>
          </w:tcPr>
          <w:p>
            <w:pPr>
              <w:ind w:left="440"/>
              <w:spacing w:after="0" w:line="138" w:lineRule="exact"/>
              <w:rPr>
                <w:sz w:val="20"/>
                <w:szCs w:val="20"/>
                <w:color w:val="auto"/>
              </w:rPr>
            </w:pPr>
            <w:r>
              <w:rPr>
                <w:rFonts w:ascii="Arial" w:cs="Arial" w:eastAsia="Arial" w:hAnsi="Arial"/>
                <w:sz w:val="14"/>
                <w:szCs w:val="14"/>
                <w:color w:val="auto"/>
              </w:rPr>
              <w:t>Electronics/Electric</w:t>
            </w:r>
          </w:p>
        </w:tc>
        <w:tc>
          <w:tcPr>
            <w:tcW w:w="880" w:type="dxa"/>
            <w:vAlign w:val="bottom"/>
          </w:tcPr>
          <w:p>
            <w:pPr>
              <w:ind w:left="120"/>
              <w:spacing w:after="0" w:line="138" w:lineRule="exact"/>
              <w:rPr>
                <w:sz w:val="20"/>
                <w:szCs w:val="20"/>
                <w:color w:val="auto"/>
              </w:rPr>
            </w:pPr>
            <w:r>
              <w:rPr>
                <w:rFonts w:ascii="Arial" w:cs="Arial" w:eastAsia="Arial" w:hAnsi="Arial"/>
                <w:sz w:val="14"/>
                <w:szCs w:val="14"/>
                <w:color w:val="auto"/>
              </w:rPr>
              <w:t>Initial Dollar</w:t>
            </w:r>
          </w:p>
        </w:tc>
        <w:tc>
          <w:tcPr>
            <w:tcW w:w="560" w:type="dxa"/>
            <w:vAlign w:val="bottom"/>
          </w:tcPr>
          <w:p>
            <w:pPr>
              <w:ind w:left="60"/>
              <w:spacing w:after="0" w:line="138" w:lineRule="exact"/>
              <w:rPr>
                <w:sz w:val="20"/>
                <w:szCs w:val="20"/>
                <w:color w:val="auto"/>
              </w:rPr>
            </w:pPr>
            <w:r>
              <w:rPr>
                <w:rFonts w:ascii="Arial" w:cs="Arial" w:eastAsia="Arial" w:hAnsi="Arial"/>
                <w:sz w:val="14"/>
                <w:szCs w:val="14"/>
                <w:color w:val="auto"/>
              </w:rPr>
              <w:t>Loan</w:t>
            </w: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49"/>
        </w:trPr>
        <w:tc>
          <w:tcPr>
            <w:tcW w:w="408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880" w:type="dxa"/>
            <w:vAlign w:val="bottom"/>
          </w:tcPr>
          <w:p>
            <w:pPr>
              <w:ind w:left="120"/>
              <w:spacing w:after="0" w:line="149" w:lineRule="exact"/>
              <w:rPr>
                <w:sz w:val="20"/>
                <w:szCs w:val="20"/>
                <w:color w:val="auto"/>
              </w:rPr>
            </w:pPr>
            <w:r>
              <w:rPr>
                <w:rFonts w:ascii="Arial" w:cs="Arial" w:eastAsia="Arial" w:hAnsi="Arial"/>
                <w:sz w:val="14"/>
                <w:szCs w:val="14"/>
                <w:color w:val="auto"/>
              </w:rPr>
              <w:t>Term Loan</w:t>
            </w:r>
          </w:p>
        </w:tc>
        <w:tc>
          <w:tcPr>
            <w:tcW w:w="5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59"/>
        </w:trPr>
        <w:tc>
          <w:tcPr>
            <w:tcW w:w="408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880" w:type="dxa"/>
            <w:vAlign w:val="bottom"/>
          </w:tcPr>
          <w:p>
            <w:pPr>
              <w:ind w:left="120"/>
              <w:spacing w:after="0" w:line="159" w:lineRule="exact"/>
              <w:rPr>
                <w:sz w:val="20"/>
                <w:szCs w:val="20"/>
                <w:color w:val="auto"/>
              </w:rPr>
            </w:pPr>
            <w:r>
              <w:rPr>
                <w:rFonts w:ascii="Arial" w:cs="Arial" w:eastAsia="Arial" w:hAnsi="Arial"/>
                <w:sz w:val="14"/>
                <w:szCs w:val="14"/>
                <w:color w:val="auto"/>
              </w:rPr>
              <w:t>(First Lien)</w:t>
            </w:r>
          </w:p>
        </w:tc>
        <w:tc>
          <w:tcPr>
            <w:tcW w:w="560" w:type="dxa"/>
            <w:vAlign w:val="bottom"/>
          </w:tcPr>
          <w:p>
            <w:pPr>
              <w:spacing w:after="0"/>
              <w:rPr>
                <w:sz w:val="13"/>
                <w:szCs w:val="13"/>
                <w:color w:val="auto"/>
              </w:rPr>
            </w:pPr>
          </w:p>
        </w:tc>
        <w:tc>
          <w:tcPr>
            <w:tcW w:w="640" w:type="dxa"/>
            <w:vAlign w:val="bottom"/>
          </w:tcPr>
          <w:p>
            <w:pPr>
              <w:jc w:val="right"/>
              <w:spacing w:after="0" w:line="159" w:lineRule="exact"/>
              <w:rPr>
                <w:sz w:val="20"/>
                <w:szCs w:val="20"/>
                <w:color w:val="auto"/>
              </w:rPr>
            </w:pPr>
            <w:r>
              <w:rPr>
                <w:rFonts w:ascii="Arial" w:cs="Arial" w:eastAsia="Arial" w:hAnsi="Arial"/>
                <w:sz w:val="14"/>
                <w:szCs w:val="14"/>
                <w:color w:val="auto"/>
              </w:rPr>
              <w:t>4.50%</w:t>
            </w:r>
          </w:p>
        </w:tc>
        <w:tc>
          <w:tcPr>
            <w:tcW w:w="700" w:type="dxa"/>
            <w:vAlign w:val="bottom"/>
          </w:tcPr>
          <w:p>
            <w:pPr>
              <w:jc w:val="right"/>
              <w:spacing w:after="0" w:line="159" w:lineRule="exact"/>
              <w:rPr>
                <w:sz w:val="20"/>
                <w:szCs w:val="20"/>
                <w:color w:val="auto"/>
              </w:rPr>
            </w:pPr>
            <w:r>
              <w:rPr>
                <w:rFonts w:ascii="Arial" w:cs="Arial" w:eastAsia="Arial" w:hAnsi="Arial"/>
                <w:sz w:val="14"/>
                <w:szCs w:val="14"/>
                <w:color w:val="auto"/>
              </w:rPr>
              <w:t>12/3/2020</w:t>
            </w:r>
          </w:p>
        </w:tc>
        <w:tc>
          <w:tcPr>
            <w:tcW w:w="12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112"/>
              <w:spacing w:after="0" w:line="159" w:lineRule="exact"/>
              <w:rPr>
                <w:sz w:val="20"/>
                <w:szCs w:val="20"/>
                <w:color w:val="auto"/>
              </w:rPr>
            </w:pPr>
            <w:r>
              <w:rPr>
                <w:rFonts w:ascii="Arial" w:cs="Arial" w:eastAsia="Arial" w:hAnsi="Arial"/>
                <w:sz w:val="14"/>
                <w:szCs w:val="14"/>
                <w:color w:val="auto"/>
              </w:rPr>
              <w:t>495,000</w:t>
            </w:r>
          </w:p>
        </w:tc>
        <w:tc>
          <w:tcPr>
            <w:tcW w:w="900" w:type="dxa"/>
            <w:vAlign w:val="bottom"/>
          </w:tcPr>
          <w:p>
            <w:pPr>
              <w:jc w:val="right"/>
              <w:ind w:right="112"/>
              <w:spacing w:after="0" w:line="159" w:lineRule="exact"/>
              <w:rPr>
                <w:sz w:val="20"/>
                <w:szCs w:val="20"/>
                <w:color w:val="auto"/>
              </w:rPr>
            </w:pPr>
            <w:r>
              <w:rPr>
                <w:rFonts w:ascii="Arial" w:cs="Arial" w:eastAsia="Arial" w:hAnsi="Arial"/>
                <w:sz w:val="14"/>
                <w:szCs w:val="14"/>
                <w:color w:val="auto"/>
              </w:rPr>
              <w:t>491,974</w:t>
            </w:r>
          </w:p>
        </w:tc>
        <w:tc>
          <w:tcPr>
            <w:tcW w:w="800" w:type="dxa"/>
            <w:vAlign w:val="bottom"/>
          </w:tcPr>
          <w:p>
            <w:pPr>
              <w:jc w:val="right"/>
              <w:spacing w:after="0" w:line="159" w:lineRule="exact"/>
              <w:rPr>
                <w:sz w:val="20"/>
                <w:szCs w:val="20"/>
                <w:color w:val="auto"/>
              </w:rPr>
            </w:pPr>
            <w:r>
              <w:rPr>
                <w:rFonts w:ascii="Arial" w:cs="Arial" w:eastAsia="Arial" w:hAnsi="Arial"/>
                <w:sz w:val="14"/>
                <w:szCs w:val="14"/>
                <w:color w:val="auto"/>
              </w:rPr>
              <w:t>494,381</w:t>
            </w:r>
          </w:p>
        </w:tc>
      </w:tr>
      <w:tr>
        <w:trPr>
          <w:trHeight w:val="138"/>
        </w:trPr>
        <w:tc>
          <w:tcPr>
            <w:tcW w:w="408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Rexnord LLC/RBS Global, Inc.</w:t>
            </w:r>
          </w:p>
        </w:tc>
        <w:tc>
          <w:tcPr>
            <w:tcW w:w="2020" w:type="dxa"/>
            <w:vAlign w:val="bottom"/>
            <w:shd w:val="clear" w:color="auto" w:fill="CCEEFF"/>
          </w:tcPr>
          <w:p>
            <w:pPr>
              <w:ind w:left="440"/>
              <w:spacing w:after="0" w:line="138" w:lineRule="exact"/>
              <w:rPr>
                <w:sz w:val="20"/>
                <w:szCs w:val="20"/>
                <w:color w:val="auto"/>
              </w:rPr>
            </w:pPr>
            <w:r>
              <w:rPr>
                <w:rFonts w:ascii="Arial" w:cs="Arial" w:eastAsia="Arial" w:hAnsi="Arial"/>
                <w:sz w:val="14"/>
                <w:szCs w:val="14"/>
                <w:color w:val="auto"/>
              </w:rPr>
              <w:t>Industrial Equipment</w:t>
            </w:r>
          </w:p>
        </w:tc>
        <w:tc>
          <w:tcPr>
            <w:tcW w:w="880" w:type="dxa"/>
            <w:vAlign w:val="bottom"/>
            <w:shd w:val="clear" w:color="auto" w:fill="CCEEFF"/>
          </w:tcPr>
          <w:p>
            <w:pPr>
              <w:ind w:left="120"/>
              <w:spacing w:after="0" w:line="138" w:lineRule="exact"/>
              <w:rPr>
                <w:sz w:val="20"/>
                <w:szCs w:val="20"/>
                <w:color w:val="auto"/>
              </w:rPr>
            </w:pPr>
            <w:r>
              <w:rPr>
                <w:rFonts w:ascii="Arial" w:cs="Arial" w:eastAsia="Arial" w:hAnsi="Arial"/>
                <w:sz w:val="14"/>
                <w:szCs w:val="14"/>
                <w:color w:val="auto"/>
              </w:rPr>
              <w:t>Term B</w:t>
            </w:r>
          </w:p>
        </w:tc>
        <w:tc>
          <w:tcPr>
            <w:tcW w:w="560" w:type="dxa"/>
            <w:vAlign w:val="bottom"/>
            <w:shd w:val="clear" w:color="auto" w:fill="CCEEFF"/>
          </w:tcPr>
          <w:p>
            <w:pPr>
              <w:ind w:left="60"/>
              <w:spacing w:after="0" w:line="138" w:lineRule="exact"/>
              <w:rPr>
                <w:sz w:val="20"/>
                <w:szCs w:val="20"/>
                <w:color w:val="auto"/>
              </w:rPr>
            </w:pPr>
            <w:r>
              <w:rPr>
                <w:rFonts w:ascii="Arial" w:cs="Arial" w:eastAsia="Arial" w:hAnsi="Arial"/>
                <w:sz w:val="14"/>
                <w:szCs w:val="14"/>
                <w:color w:val="auto"/>
              </w:rPr>
              <w:t>Loan</w:t>
            </w:r>
          </w:p>
        </w:tc>
        <w:tc>
          <w:tcPr>
            <w:tcW w:w="6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r>
      <w:tr>
        <w:trPr>
          <w:trHeight w:val="159"/>
        </w:trPr>
        <w:tc>
          <w:tcPr>
            <w:tcW w:w="4080" w:type="dxa"/>
            <w:vAlign w:val="bottom"/>
            <w:shd w:val="clear" w:color="auto" w:fill="CCEEFF"/>
          </w:tcPr>
          <w:p>
            <w:pPr>
              <w:spacing w:after="0"/>
              <w:rPr>
                <w:sz w:val="13"/>
                <w:szCs w:val="13"/>
                <w:color w:val="auto"/>
              </w:rPr>
            </w:pPr>
          </w:p>
        </w:tc>
        <w:tc>
          <w:tcPr>
            <w:tcW w:w="2020" w:type="dxa"/>
            <w:vAlign w:val="bottom"/>
            <w:shd w:val="clear" w:color="auto" w:fill="CCEEFF"/>
          </w:tcPr>
          <w:p>
            <w:pPr>
              <w:spacing w:after="0"/>
              <w:rPr>
                <w:sz w:val="13"/>
                <w:szCs w:val="13"/>
                <w:color w:val="auto"/>
              </w:rPr>
            </w:pPr>
          </w:p>
        </w:tc>
        <w:tc>
          <w:tcPr>
            <w:tcW w:w="880" w:type="dxa"/>
            <w:vAlign w:val="bottom"/>
            <w:shd w:val="clear" w:color="auto" w:fill="CCEEFF"/>
          </w:tcPr>
          <w:p>
            <w:pPr>
              <w:ind w:left="120"/>
              <w:spacing w:after="0" w:line="159" w:lineRule="exact"/>
              <w:rPr>
                <w:sz w:val="20"/>
                <w:szCs w:val="20"/>
                <w:color w:val="auto"/>
              </w:rPr>
            </w:pPr>
            <w:r>
              <w:rPr>
                <w:rFonts w:ascii="Arial" w:cs="Arial" w:eastAsia="Arial" w:hAnsi="Arial"/>
                <w:sz w:val="14"/>
                <w:szCs w:val="14"/>
                <w:color w:val="auto"/>
              </w:rPr>
              <w:t>Loan</w:t>
            </w:r>
          </w:p>
        </w:tc>
        <w:tc>
          <w:tcPr>
            <w:tcW w:w="56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4.00%</w:t>
            </w:r>
          </w:p>
        </w:tc>
        <w:tc>
          <w:tcPr>
            <w:tcW w:w="7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8/21/2020</w:t>
            </w:r>
          </w:p>
        </w:tc>
        <w:tc>
          <w:tcPr>
            <w:tcW w:w="1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112"/>
              <w:spacing w:after="0" w:line="159" w:lineRule="exact"/>
              <w:rPr>
                <w:sz w:val="20"/>
                <w:szCs w:val="20"/>
                <w:color w:val="auto"/>
              </w:rPr>
            </w:pPr>
            <w:r>
              <w:rPr>
                <w:rFonts w:ascii="Arial" w:cs="Arial" w:eastAsia="Arial" w:hAnsi="Arial"/>
                <w:sz w:val="14"/>
                <w:szCs w:val="14"/>
                <w:color w:val="auto"/>
                <w:w w:val="83"/>
              </w:rPr>
              <w:t>1,646,799</w:t>
            </w:r>
          </w:p>
        </w:tc>
        <w:tc>
          <w:tcPr>
            <w:tcW w:w="900" w:type="dxa"/>
            <w:vAlign w:val="bottom"/>
            <w:shd w:val="clear" w:color="auto" w:fill="CCEEFF"/>
          </w:tcPr>
          <w:p>
            <w:pPr>
              <w:jc w:val="right"/>
              <w:ind w:right="112"/>
              <w:spacing w:after="0" w:line="159" w:lineRule="exact"/>
              <w:rPr>
                <w:sz w:val="20"/>
                <w:szCs w:val="20"/>
                <w:color w:val="auto"/>
              </w:rPr>
            </w:pPr>
            <w:r>
              <w:rPr>
                <w:rFonts w:ascii="Arial" w:cs="Arial" w:eastAsia="Arial" w:hAnsi="Arial"/>
                <w:sz w:val="14"/>
                <w:szCs w:val="14"/>
                <w:color w:val="auto"/>
              </w:rPr>
              <w:t>1,648,172</w:t>
            </w:r>
          </w:p>
        </w:tc>
        <w:tc>
          <w:tcPr>
            <w:tcW w:w="8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1,642,172</w:t>
            </w:r>
          </w:p>
        </w:tc>
      </w:tr>
      <w:tr>
        <w:trPr>
          <w:trHeight w:val="138"/>
        </w:trPr>
        <w:tc>
          <w:tcPr>
            <w:tcW w:w="4080" w:type="dxa"/>
            <w:vAlign w:val="bottom"/>
          </w:tcPr>
          <w:p>
            <w:pPr>
              <w:spacing w:after="0" w:line="138" w:lineRule="exact"/>
              <w:rPr>
                <w:sz w:val="20"/>
                <w:szCs w:val="20"/>
                <w:color w:val="auto"/>
              </w:rPr>
            </w:pPr>
            <w:r>
              <w:rPr>
                <w:rFonts w:ascii="Arial" w:cs="Arial" w:eastAsia="Arial" w:hAnsi="Arial"/>
                <w:sz w:val="14"/>
                <w:szCs w:val="14"/>
                <w:color w:val="auto"/>
              </w:rPr>
              <w:t>Reynolds Group Holdings Inc.</w:t>
            </w:r>
          </w:p>
        </w:tc>
        <w:tc>
          <w:tcPr>
            <w:tcW w:w="2020" w:type="dxa"/>
            <w:vAlign w:val="bottom"/>
          </w:tcPr>
          <w:p>
            <w:pPr>
              <w:ind w:left="440"/>
              <w:spacing w:after="0" w:line="138" w:lineRule="exact"/>
              <w:rPr>
                <w:sz w:val="20"/>
                <w:szCs w:val="20"/>
                <w:color w:val="auto"/>
              </w:rPr>
            </w:pPr>
            <w:r>
              <w:rPr>
                <w:rFonts w:ascii="Arial" w:cs="Arial" w:eastAsia="Arial" w:hAnsi="Arial"/>
                <w:sz w:val="14"/>
                <w:szCs w:val="14"/>
                <w:color w:val="auto"/>
              </w:rPr>
              <w:t>Industrial Equipment</w:t>
            </w:r>
          </w:p>
        </w:tc>
        <w:tc>
          <w:tcPr>
            <w:tcW w:w="880" w:type="dxa"/>
            <w:vAlign w:val="bottom"/>
          </w:tcPr>
          <w:p>
            <w:pPr>
              <w:ind w:left="120"/>
              <w:spacing w:after="0" w:line="138" w:lineRule="exact"/>
              <w:rPr>
                <w:sz w:val="20"/>
                <w:szCs w:val="20"/>
                <w:color w:val="auto"/>
              </w:rPr>
            </w:pPr>
            <w:r>
              <w:rPr>
                <w:rFonts w:ascii="Arial" w:cs="Arial" w:eastAsia="Arial" w:hAnsi="Arial"/>
                <w:sz w:val="14"/>
                <w:szCs w:val="14"/>
                <w:color w:val="auto"/>
              </w:rPr>
              <w:t>Incremental</w:t>
            </w:r>
          </w:p>
        </w:tc>
        <w:tc>
          <w:tcPr>
            <w:tcW w:w="560" w:type="dxa"/>
            <w:vAlign w:val="bottom"/>
          </w:tcPr>
          <w:p>
            <w:pPr>
              <w:ind w:left="60"/>
              <w:spacing w:after="0" w:line="138" w:lineRule="exact"/>
              <w:rPr>
                <w:sz w:val="20"/>
                <w:szCs w:val="20"/>
                <w:color w:val="auto"/>
              </w:rPr>
            </w:pPr>
            <w:r>
              <w:rPr>
                <w:rFonts w:ascii="Arial" w:cs="Arial" w:eastAsia="Arial" w:hAnsi="Arial"/>
                <w:sz w:val="14"/>
                <w:szCs w:val="14"/>
                <w:color w:val="auto"/>
              </w:rPr>
              <w:t>Loan</w:t>
            </w:r>
          </w:p>
        </w:tc>
        <w:tc>
          <w:tcPr>
            <w:tcW w:w="640" w:type="dxa"/>
            <w:vAlign w:val="bottom"/>
          </w:tcPr>
          <w:p>
            <w:pPr>
              <w:jc w:val="right"/>
              <w:spacing w:after="0" w:line="138" w:lineRule="exact"/>
              <w:rPr>
                <w:sz w:val="20"/>
                <w:szCs w:val="20"/>
                <w:color w:val="auto"/>
              </w:rPr>
            </w:pPr>
            <w:r>
              <w:rPr>
                <w:rFonts w:ascii="Arial" w:cs="Arial" w:eastAsia="Arial" w:hAnsi="Arial"/>
                <w:sz w:val="14"/>
                <w:szCs w:val="14"/>
                <w:color w:val="auto"/>
              </w:rPr>
              <w:t>4.00%</w:t>
            </w:r>
          </w:p>
        </w:tc>
        <w:tc>
          <w:tcPr>
            <w:tcW w:w="700" w:type="dxa"/>
            <w:vAlign w:val="bottom"/>
          </w:tcPr>
          <w:p>
            <w:pPr>
              <w:jc w:val="right"/>
              <w:spacing w:after="0" w:line="138" w:lineRule="exact"/>
              <w:rPr>
                <w:sz w:val="20"/>
                <w:szCs w:val="20"/>
                <w:color w:val="auto"/>
              </w:rPr>
            </w:pPr>
            <w:r>
              <w:rPr>
                <w:rFonts w:ascii="Arial" w:cs="Arial" w:eastAsia="Arial" w:hAnsi="Arial"/>
                <w:sz w:val="14"/>
                <w:szCs w:val="14"/>
                <w:color w:val="auto"/>
              </w:rPr>
              <w:t>12/1/2018</w:t>
            </w:r>
          </w:p>
        </w:tc>
        <w:tc>
          <w:tcPr>
            <w:tcW w:w="120" w:type="dxa"/>
            <w:vAlign w:val="bottom"/>
          </w:tcPr>
          <w:p>
            <w:pPr>
              <w:jc w:val="right"/>
              <w:spacing w:after="0" w:line="138"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112"/>
              <w:spacing w:after="0" w:line="138" w:lineRule="exact"/>
              <w:rPr>
                <w:sz w:val="20"/>
                <w:szCs w:val="20"/>
                <w:color w:val="auto"/>
              </w:rPr>
            </w:pPr>
            <w:r>
              <w:rPr>
                <w:rFonts w:ascii="Arial" w:cs="Arial" w:eastAsia="Arial" w:hAnsi="Arial"/>
                <w:sz w:val="14"/>
                <w:szCs w:val="14"/>
                <w:color w:val="auto"/>
                <w:w w:val="83"/>
              </w:rPr>
              <w:t>1,960,200</w:t>
            </w:r>
          </w:p>
        </w:tc>
        <w:tc>
          <w:tcPr>
            <w:tcW w:w="900" w:type="dxa"/>
            <w:vAlign w:val="bottom"/>
          </w:tcPr>
          <w:p>
            <w:pPr>
              <w:jc w:val="right"/>
              <w:ind w:right="112"/>
              <w:spacing w:after="0" w:line="138" w:lineRule="exact"/>
              <w:rPr>
                <w:sz w:val="20"/>
                <w:szCs w:val="20"/>
                <w:color w:val="auto"/>
              </w:rPr>
            </w:pPr>
            <w:r>
              <w:rPr>
                <w:rFonts w:ascii="Arial" w:cs="Arial" w:eastAsia="Arial" w:hAnsi="Arial"/>
                <w:sz w:val="14"/>
                <w:szCs w:val="14"/>
                <w:color w:val="auto"/>
              </w:rPr>
              <w:t>1,960,200</w:t>
            </w:r>
          </w:p>
        </w:tc>
        <w:tc>
          <w:tcPr>
            <w:tcW w:w="800" w:type="dxa"/>
            <w:vAlign w:val="bottom"/>
          </w:tcPr>
          <w:p>
            <w:pPr>
              <w:jc w:val="right"/>
              <w:spacing w:after="0" w:line="138" w:lineRule="exact"/>
              <w:rPr>
                <w:sz w:val="20"/>
                <w:szCs w:val="20"/>
                <w:color w:val="auto"/>
              </w:rPr>
            </w:pPr>
            <w:r>
              <w:rPr>
                <w:rFonts w:ascii="Arial" w:cs="Arial" w:eastAsia="Arial" w:hAnsi="Arial"/>
                <w:sz w:val="14"/>
                <w:szCs w:val="14"/>
                <w:color w:val="auto"/>
              </w:rPr>
              <w:t>1,965,767</w:t>
            </w:r>
          </w:p>
        </w:tc>
      </w:tr>
      <w:tr>
        <w:trPr>
          <w:trHeight w:val="172"/>
        </w:trPr>
        <w:tc>
          <w:tcPr>
            <w:tcW w:w="408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880" w:type="dxa"/>
            <w:vAlign w:val="bottom"/>
          </w:tcPr>
          <w:p>
            <w:pPr>
              <w:ind w:left="120"/>
              <w:spacing w:after="0"/>
              <w:rPr>
                <w:sz w:val="20"/>
                <w:szCs w:val="20"/>
                <w:color w:val="auto"/>
              </w:rPr>
            </w:pPr>
            <w:r>
              <w:rPr>
                <w:rFonts w:ascii="Arial" w:cs="Arial" w:eastAsia="Arial" w:hAnsi="Arial"/>
                <w:sz w:val="14"/>
                <w:szCs w:val="14"/>
                <w:color w:val="auto"/>
              </w:rPr>
              <w:t>U.S. Term</w:t>
            </w:r>
          </w:p>
        </w:tc>
        <w:tc>
          <w:tcPr>
            <w:tcW w:w="5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0" w:type="dxa"/>
            <w:vAlign w:val="bottom"/>
          </w:tcPr>
          <w:p>
            <w:pPr>
              <w:spacing w:after="0"/>
              <w:rPr>
                <w:sz w:val="14"/>
                <w:szCs w:val="14"/>
                <w:color w:val="auto"/>
              </w:rPr>
            </w:pPr>
          </w:p>
        </w:tc>
      </w:tr>
    </w:tbl>
    <w:p>
      <w:pPr>
        <w:sectPr>
          <w:pgSz w:w="11900" w:h="16843" w:orient="portrait"/>
          <w:cols w:equalWidth="0" w:num="1">
            <w:col w:w="11420"/>
          </w:cols>
          <w:pgMar w:left="240" w:top="127" w:right="239" w:bottom="0" w:gutter="0" w:footer="0" w:header="0"/>
        </w:sectPr>
      </w:pPr>
    </w:p>
    <w:bookmarkStart w:id="30" w:name="page31"/>
    <w:bookmarkEnd w:id="3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880" w:type="dxa"/>
            <w:vAlign w:val="bottom"/>
          </w:tcPr>
          <w:p>
            <w:pPr>
              <w:ind w:left="120"/>
              <w:spacing w:after="0"/>
              <w:rPr>
                <w:sz w:val="20"/>
                <w:szCs w:val="20"/>
                <w:color w:val="auto"/>
              </w:rPr>
            </w:pPr>
            <w:r>
              <w:rPr>
                <w:rFonts w:ascii="Arial" w:cs="Arial" w:eastAsia="Arial" w:hAnsi="Arial"/>
                <w:sz w:val="14"/>
                <w:szCs w:val="14"/>
                <w:color w:val="auto"/>
              </w:rPr>
              <w:t>Loan</w:t>
            </w:r>
          </w:p>
        </w:tc>
        <w:tc>
          <w:tcPr>
            <w:tcW w:w="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18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Riverbed Technology</w:t>
            </w:r>
          </w:p>
        </w:tc>
        <w:tc>
          <w:tcPr>
            <w:tcW w:w="1900" w:type="dxa"/>
            <w:vAlign w:val="bottom"/>
            <w:shd w:val="clear" w:color="auto" w:fill="CCEEFF"/>
          </w:tcPr>
          <w:p>
            <w:pPr>
              <w:ind w:left="320"/>
              <w:spacing w:after="0" w:line="138" w:lineRule="exact"/>
              <w:rPr>
                <w:sz w:val="20"/>
                <w:szCs w:val="20"/>
                <w:color w:val="auto"/>
              </w:rPr>
            </w:pPr>
            <w:r>
              <w:rPr>
                <w:rFonts w:ascii="Arial" w:cs="Arial" w:eastAsia="Arial" w:hAnsi="Arial"/>
                <w:sz w:val="14"/>
                <w:szCs w:val="14"/>
                <w:color w:val="auto"/>
              </w:rPr>
              <w:t>Technology</w:t>
            </w:r>
          </w:p>
        </w:tc>
        <w:tc>
          <w:tcPr>
            <w:tcW w:w="880" w:type="dxa"/>
            <w:vAlign w:val="bottom"/>
            <w:shd w:val="clear" w:color="auto" w:fill="CCEEFF"/>
          </w:tcPr>
          <w:p>
            <w:pPr>
              <w:ind w:left="120"/>
              <w:spacing w:after="0" w:line="138" w:lineRule="exact"/>
              <w:rPr>
                <w:sz w:val="20"/>
                <w:szCs w:val="20"/>
                <w:color w:val="auto"/>
              </w:rPr>
            </w:pPr>
            <w:r>
              <w:rPr>
                <w:rFonts w:ascii="Arial" w:cs="Arial" w:eastAsia="Arial" w:hAnsi="Arial"/>
                <w:sz w:val="14"/>
                <w:szCs w:val="14"/>
                <w:color w:val="auto"/>
              </w:rPr>
              <w:t>Term Loan</w:t>
            </w:r>
          </w:p>
        </w:tc>
        <w:tc>
          <w:tcPr>
            <w:tcW w:w="520" w:type="dxa"/>
            <w:vAlign w:val="bottom"/>
            <w:shd w:val="clear" w:color="auto" w:fill="CCEEFF"/>
          </w:tcPr>
          <w:p>
            <w:pPr>
              <w:ind w:left="60"/>
              <w:spacing w:after="0" w:line="138" w:lineRule="exact"/>
              <w:rPr>
                <w:sz w:val="20"/>
                <w:szCs w:val="20"/>
                <w:color w:val="auto"/>
              </w:rPr>
            </w:pPr>
            <w:r>
              <w:rPr>
                <w:rFonts w:ascii="Arial" w:cs="Arial" w:eastAsia="Arial" w:hAnsi="Arial"/>
                <w:sz w:val="14"/>
                <w:szCs w:val="14"/>
                <w:color w:val="auto"/>
              </w:rPr>
              <w:t>Loan</w:t>
            </w:r>
          </w:p>
        </w:tc>
        <w:tc>
          <w:tcPr>
            <w:tcW w:w="6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180" w:type="dxa"/>
            <w:vAlign w:val="bottom"/>
            <w:shd w:val="clear" w:color="auto" w:fill="CCEEFF"/>
          </w:tcPr>
          <w:p>
            <w:pPr>
              <w:spacing w:after="0"/>
              <w:rPr>
                <w:sz w:val="13"/>
                <w:szCs w:val="13"/>
                <w:color w:val="auto"/>
              </w:rPr>
            </w:pPr>
          </w:p>
        </w:tc>
        <w:tc>
          <w:tcPr>
            <w:tcW w:w="1900" w:type="dxa"/>
            <w:vAlign w:val="bottom"/>
            <w:shd w:val="clear" w:color="auto" w:fill="CCEEFF"/>
          </w:tcPr>
          <w:p>
            <w:pPr>
              <w:spacing w:after="0"/>
              <w:rPr>
                <w:sz w:val="13"/>
                <w:szCs w:val="13"/>
                <w:color w:val="auto"/>
              </w:rPr>
            </w:pPr>
          </w:p>
        </w:tc>
        <w:tc>
          <w:tcPr>
            <w:tcW w:w="880" w:type="dxa"/>
            <w:vAlign w:val="bottom"/>
            <w:shd w:val="clear" w:color="auto" w:fill="CCEEFF"/>
          </w:tcPr>
          <w:p>
            <w:pPr>
              <w:ind w:left="120"/>
              <w:spacing w:after="0" w:line="159" w:lineRule="exact"/>
              <w:rPr>
                <w:sz w:val="20"/>
                <w:szCs w:val="20"/>
                <w:color w:val="auto"/>
              </w:rPr>
            </w:pPr>
            <w:r>
              <w:rPr>
                <w:rFonts w:ascii="Arial" w:cs="Arial" w:eastAsia="Arial" w:hAnsi="Arial"/>
                <w:sz w:val="14"/>
                <w:szCs w:val="14"/>
                <w:color w:val="auto"/>
              </w:rPr>
              <w:t>B</w:t>
            </w:r>
          </w:p>
        </w:tc>
        <w:tc>
          <w:tcPr>
            <w:tcW w:w="52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6.00%</w:t>
            </w:r>
          </w:p>
        </w:tc>
        <w:tc>
          <w:tcPr>
            <w:tcW w:w="760" w:type="dxa"/>
            <w:vAlign w:val="bottom"/>
            <w:shd w:val="clear" w:color="auto" w:fill="CCEEFF"/>
          </w:tcPr>
          <w:p>
            <w:pPr>
              <w:jc w:val="right"/>
              <w:ind w:right="32"/>
              <w:spacing w:after="0" w:line="159" w:lineRule="exact"/>
              <w:rPr>
                <w:sz w:val="20"/>
                <w:szCs w:val="20"/>
                <w:color w:val="auto"/>
              </w:rPr>
            </w:pPr>
            <w:r>
              <w:rPr>
                <w:rFonts w:ascii="Arial" w:cs="Arial" w:eastAsia="Arial" w:hAnsi="Arial"/>
                <w:sz w:val="14"/>
                <w:szCs w:val="14"/>
                <w:color w:val="auto"/>
              </w:rPr>
              <w:t>2/25/2022</w:t>
            </w:r>
          </w:p>
        </w:tc>
        <w:tc>
          <w:tcPr>
            <w:tcW w:w="760" w:type="dxa"/>
            <w:vAlign w:val="bottom"/>
            <w:gridSpan w:val="3"/>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w w:val="82"/>
              </w:rPr>
              <w:t>$1,000,000</w:t>
            </w:r>
          </w:p>
        </w:tc>
        <w:tc>
          <w:tcPr>
            <w:tcW w:w="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995,000</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1,007,500</w:t>
            </w: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180" w:type="dxa"/>
            <w:vAlign w:val="bottom"/>
          </w:tcPr>
          <w:p>
            <w:pPr>
              <w:spacing w:after="0" w:line="138" w:lineRule="exact"/>
              <w:rPr>
                <w:sz w:val="20"/>
                <w:szCs w:val="20"/>
                <w:color w:val="auto"/>
              </w:rPr>
            </w:pPr>
            <w:r>
              <w:rPr>
                <w:rFonts w:ascii="Arial" w:cs="Arial" w:eastAsia="Arial" w:hAnsi="Arial"/>
                <w:sz w:val="14"/>
                <w:szCs w:val="14"/>
                <w:color w:val="auto"/>
              </w:rPr>
              <w:t>Rocket Software, Inc.</w:t>
            </w:r>
          </w:p>
        </w:tc>
        <w:tc>
          <w:tcPr>
            <w:tcW w:w="1900" w:type="dxa"/>
            <w:vAlign w:val="bottom"/>
          </w:tcPr>
          <w:p>
            <w:pPr>
              <w:ind w:left="320"/>
              <w:spacing w:after="0" w:line="138" w:lineRule="exact"/>
              <w:rPr>
                <w:sz w:val="20"/>
                <w:szCs w:val="20"/>
                <w:color w:val="auto"/>
              </w:rPr>
            </w:pPr>
            <w:r>
              <w:rPr>
                <w:rFonts w:ascii="Arial" w:cs="Arial" w:eastAsia="Arial" w:hAnsi="Arial"/>
                <w:sz w:val="14"/>
                <w:szCs w:val="14"/>
                <w:color w:val="auto"/>
              </w:rPr>
              <w:t>Services: Business</w:t>
            </w:r>
          </w:p>
        </w:tc>
        <w:tc>
          <w:tcPr>
            <w:tcW w:w="880" w:type="dxa"/>
            <w:vAlign w:val="bottom"/>
          </w:tcPr>
          <w:p>
            <w:pPr>
              <w:ind w:left="120"/>
              <w:spacing w:after="0" w:line="138" w:lineRule="exact"/>
              <w:rPr>
                <w:sz w:val="20"/>
                <w:szCs w:val="20"/>
                <w:color w:val="auto"/>
              </w:rPr>
            </w:pPr>
            <w:r>
              <w:rPr>
                <w:rFonts w:ascii="Arial" w:cs="Arial" w:eastAsia="Arial" w:hAnsi="Arial"/>
                <w:sz w:val="14"/>
                <w:szCs w:val="14"/>
                <w:color w:val="auto"/>
              </w:rPr>
              <w:t>Term Loan</w:t>
            </w:r>
          </w:p>
        </w:tc>
        <w:tc>
          <w:tcPr>
            <w:tcW w:w="520" w:type="dxa"/>
            <w:vAlign w:val="bottom"/>
          </w:tcPr>
          <w:p>
            <w:pPr>
              <w:ind w:left="60"/>
              <w:spacing w:after="0" w:line="138" w:lineRule="exact"/>
              <w:rPr>
                <w:sz w:val="20"/>
                <w:szCs w:val="20"/>
                <w:color w:val="auto"/>
              </w:rPr>
            </w:pPr>
            <w:r>
              <w:rPr>
                <w:rFonts w:ascii="Arial" w:cs="Arial" w:eastAsia="Arial" w:hAnsi="Arial"/>
                <w:sz w:val="14"/>
                <w:szCs w:val="14"/>
                <w:color w:val="auto"/>
              </w:rPr>
              <w:t>Loan</w:t>
            </w: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18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880" w:type="dxa"/>
            <w:vAlign w:val="bottom"/>
          </w:tcPr>
          <w:p>
            <w:pPr>
              <w:ind w:left="120"/>
              <w:spacing w:after="0" w:line="159" w:lineRule="exact"/>
              <w:rPr>
                <w:sz w:val="20"/>
                <w:szCs w:val="20"/>
                <w:color w:val="auto"/>
              </w:rPr>
            </w:pPr>
            <w:r>
              <w:rPr>
                <w:rFonts w:ascii="Arial" w:cs="Arial" w:eastAsia="Arial" w:hAnsi="Arial"/>
                <w:sz w:val="14"/>
                <w:szCs w:val="14"/>
                <w:color w:val="auto"/>
              </w:rPr>
              <w:t>(First Lien)</w:t>
            </w:r>
          </w:p>
        </w:tc>
        <w:tc>
          <w:tcPr>
            <w:tcW w:w="520" w:type="dxa"/>
            <w:vAlign w:val="bottom"/>
          </w:tcPr>
          <w:p>
            <w:pPr>
              <w:spacing w:after="0"/>
              <w:rPr>
                <w:sz w:val="13"/>
                <w:szCs w:val="13"/>
                <w:color w:val="auto"/>
              </w:rPr>
            </w:pPr>
          </w:p>
        </w:tc>
        <w:tc>
          <w:tcPr>
            <w:tcW w:w="680" w:type="dxa"/>
            <w:vAlign w:val="bottom"/>
          </w:tcPr>
          <w:p>
            <w:pPr>
              <w:jc w:val="right"/>
              <w:spacing w:after="0" w:line="159" w:lineRule="exact"/>
              <w:rPr>
                <w:sz w:val="20"/>
                <w:szCs w:val="20"/>
                <w:color w:val="auto"/>
              </w:rPr>
            </w:pPr>
            <w:r>
              <w:rPr>
                <w:rFonts w:ascii="Arial" w:cs="Arial" w:eastAsia="Arial" w:hAnsi="Arial"/>
                <w:sz w:val="14"/>
                <w:szCs w:val="14"/>
                <w:color w:val="auto"/>
              </w:rPr>
              <w:t>5.75%</w:t>
            </w:r>
          </w:p>
        </w:tc>
        <w:tc>
          <w:tcPr>
            <w:tcW w:w="760" w:type="dxa"/>
            <w:vAlign w:val="bottom"/>
          </w:tcPr>
          <w:p>
            <w:pPr>
              <w:jc w:val="right"/>
              <w:ind w:right="32"/>
              <w:spacing w:after="0" w:line="159" w:lineRule="exact"/>
              <w:rPr>
                <w:sz w:val="20"/>
                <w:szCs w:val="20"/>
                <w:color w:val="auto"/>
              </w:rPr>
            </w:pPr>
            <w:r>
              <w:rPr>
                <w:rFonts w:ascii="Arial" w:cs="Arial" w:eastAsia="Arial" w:hAnsi="Arial"/>
                <w:sz w:val="14"/>
                <w:szCs w:val="14"/>
                <w:color w:val="auto"/>
              </w:rPr>
              <w:t>2/8/2018</w:t>
            </w:r>
          </w:p>
        </w:tc>
        <w:tc>
          <w:tcPr>
            <w:tcW w:w="760" w:type="dxa"/>
            <w:vAlign w:val="bottom"/>
            <w:gridSpan w:val="3"/>
          </w:tcPr>
          <w:p>
            <w:pPr>
              <w:jc w:val="right"/>
              <w:ind w:right="160"/>
              <w:spacing w:after="0" w:line="159" w:lineRule="exact"/>
              <w:rPr>
                <w:sz w:val="20"/>
                <w:szCs w:val="20"/>
                <w:color w:val="auto"/>
              </w:rPr>
            </w:pPr>
            <w:r>
              <w:rPr>
                <w:rFonts w:ascii="Arial" w:cs="Arial" w:eastAsia="Arial" w:hAnsi="Arial"/>
                <w:sz w:val="14"/>
                <w:szCs w:val="14"/>
                <w:color w:val="auto"/>
                <w:w w:val="82"/>
              </w:rPr>
              <w:t>$1,916,674</w:t>
            </w:r>
          </w:p>
        </w:tc>
        <w:tc>
          <w:tcPr>
            <w:tcW w:w="80" w:type="dxa"/>
            <w:vAlign w:val="bottom"/>
          </w:tcPr>
          <w:p>
            <w:pPr>
              <w:spacing w:after="0"/>
              <w:rPr>
                <w:sz w:val="13"/>
                <w:szCs w:val="13"/>
                <w:color w:val="auto"/>
              </w:rPr>
            </w:pPr>
          </w:p>
        </w:tc>
        <w:tc>
          <w:tcPr>
            <w:tcW w:w="74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1,898,764</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jc w:val="right"/>
              <w:spacing w:after="0" w:line="159" w:lineRule="exact"/>
              <w:rPr>
                <w:sz w:val="20"/>
                <w:szCs w:val="20"/>
                <w:color w:val="auto"/>
              </w:rPr>
            </w:pPr>
            <w:r>
              <w:rPr>
                <w:rFonts w:ascii="Arial" w:cs="Arial" w:eastAsia="Arial" w:hAnsi="Arial"/>
                <w:sz w:val="14"/>
                <w:szCs w:val="14"/>
                <w:color w:val="auto"/>
              </w:rPr>
              <w:t>1,906,285</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18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Rovi Solutions Corporation / Rovi Guides, Inc.</w:t>
            </w:r>
          </w:p>
        </w:tc>
        <w:tc>
          <w:tcPr>
            <w:tcW w:w="1900" w:type="dxa"/>
            <w:vAlign w:val="bottom"/>
            <w:shd w:val="clear" w:color="auto" w:fill="CCEEFF"/>
          </w:tcPr>
          <w:p>
            <w:pPr>
              <w:ind w:left="320"/>
              <w:spacing w:after="0" w:line="138" w:lineRule="exact"/>
              <w:rPr>
                <w:sz w:val="20"/>
                <w:szCs w:val="20"/>
                <w:color w:val="auto"/>
              </w:rPr>
            </w:pPr>
            <w:r>
              <w:rPr>
                <w:rFonts w:ascii="Arial" w:cs="Arial" w:eastAsia="Arial" w:hAnsi="Arial"/>
                <w:sz w:val="14"/>
                <w:szCs w:val="14"/>
                <w:color w:val="auto"/>
              </w:rPr>
              <w:t>Electronics/Electric</w:t>
            </w:r>
          </w:p>
        </w:tc>
        <w:tc>
          <w:tcPr>
            <w:tcW w:w="880" w:type="dxa"/>
            <w:vAlign w:val="bottom"/>
            <w:shd w:val="clear" w:color="auto" w:fill="CCEEFF"/>
          </w:tcPr>
          <w:p>
            <w:pPr>
              <w:ind w:left="120"/>
              <w:spacing w:after="0" w:line="138" w:lineRule="exact"/>
              <w:rPr>
                <w:sz w:val="20"/>
                <w:szCs w:val="20"/>
                <w:color w:val="auto"/>
              </w:rPr>
            </w:pPr>
            <w:r>
              <w:rPr>
                <w:rFonts w:ascii="Arial" w:cs="Arial" w:eastAsia="Arial" w:hAnsi="Arial"/>
                <w:sz w:val="14"/>
                <w:szCs w:val="14"/>
                <w:color w:val="auto"/>
                <w:w w:val="96"/>
              </w:rPr>
              <w:t>Tranche B-3</w:t>
            </w:r>
          </w:p>
        </w:tc>
        <w:tc>
          <w:tcPr>
            <w:tcW w:w="520" w:type="dxa"/>
            <w:vAlign w:val="bottom"/>
            <w:shd w:val="clear" w:color="auto" w:fill="CCEEFF"/>
          </w:tcPr>
          <w:p>
            <w:pPr>
              <w:ind w:left="60"/>
              <w:spacing w:after="0" w:line="138" w:lineRule="exact"/>
              <w:rPr>
                <w:sz w:val="20"/>
                <w:szCs w:val="20"/>
                <w:color w:val="auto"/>
              </w:rPr>
            </w:pPr>
            <w:r>
              <w:rPr>
                <w:rFonts w:ascii="Arial" w:cs="Arial" w:eastAsia="Arial" w:hAnsi="Arial"/>
                <w:sz w:val="14"/>
                <w:szCs w:val="14"/>
                <w:color w:val="auto"/>
              </w:rPr>
              <w:t>Loan</w:t>
            </w:r>
          </w:p>
        </w:tc>
        <w:tc>
          <w:tcPr>
            <w:tcW w:w="6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180" w:type="dxa"/>
            <w:vAlign w:val="bottom"/>
            <w:shd w:val="clear" w:color="auto" w:fill="CCEEFF"/>
          </w:tcPr>
          <w:p>
            <w:pPr>
              <w:spacing w:after="0"/>
              <w:rPr>
                <w:sz w:val="13"/>
                <w:szCs w:val="13"/>
                <w:color w:val="auto"/>
              </w:rPr>
            </w:pPr>
          </w:p>
        </w:tc>
        <w:tc>
          <w:tcPr>
            <w:tcW w:w="1900" w:type="dxa"/>
            <w:vAlign w:val="bottom"/>
            <w:shd w:val="clear" w:color="auto" w:fill="CCEEFF"/>
          </w:tcPr>
          <w:p>
            <w:pPr>
              <w:spacing w:after="0"/>
              <w:rPr>
                <w:sz w:val="13"/>
                <w:szCs w:val="13"/>
                <w:color w:val="auto"/>
              </w:rPr>
            </w:pPr>
          </w:p>
        </w:tc>
        <w:tc>
          <w:tcPr>
            <w:tcW w:w="880" w:type="dxa"/>
            <w:vAlign w:val="bottom"/>
            <w:shd w:val="clear" w:color="auto" w:fill="CCEEFF"/>
          </w:tcPr>
          <w:p>
            <w:pPr>
              <w:ind w:left="120"/>
              <w:spacing w:after="0" w:line="159" w:lineRule="exact"/>
              <w:rPr>
                <w:sz w:val="20"/>
                <w:szCs w:val="20"/>
                <w:color w:val="auto"/>
              </w:rPr>
            </w:pPr>
            <w:r>
              <w:rPr>
                <w:rFonts w:ascii="Arial" w:cs="Arial" w:eastAsia="Arial" w:hAnsi="Arial"/>
                <w:sz w:val="14"/>
                <w:szCs w:val="14"/>
                <w:color w:val="auto"/>
              </w:rPr>
              <w:t>Term Loan</w:t>
            </w:r>
          </w:p>
        </w:tc>
        <w:tc>
          <w:tcPr>
            <w:tcW w:w="52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3.75%</w:t>
            </w:r>
          </w:p>
        </w:tc>
        <w:tc>
          <w:tcPr>
            <w:tcW w:w="760" w:type="dxa"/>
            <w:vAlign w:val="bottom"/>
            <w:shd w:val="clear" w:color="auto" w:fill="CCEEFF"/>
          </w:tcPr>
          <w:p>
            <w:pPr>
              <w:jc w:val="right"/>
              <w:ind w:right="32"/>
              <w:spacing w:after="0" w:line="159" w:lineRule="exact"/>
              <w:rPr>
                <w:sz w:val="20"/>
                <w:szCs w:val="20"/>
                <w:color w:val="auto"/>
              </w:rPr>
            </w:pPr>
            <w:r>
              <w:rPr>
                <w:rFonts w:ascii="Arial" w:cs="Arial" w:eastAsia="Arial" w:hAnsi="Arial"/>
                <w:sz w:val="14"/>
                <w:szCs w:val="14"/>
                <w:color w:val="auto"/>
              </w:rPr>
              <w:t>7/2/2021</w:t>
            </w:r>
          </w:p>
        </w:tc>
        <w:tc>
          <w:tcPr>
            <w:tcW w:w="760" w:type="dxa"/>
            <w:vAlign w:val="bottom"/>
            <w:gridSpan w:val="3"/>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w w:val="82"/>
              </w:rPr>
              <w:t>$1,492,500</w:t>
            </w:r>
          </w:p>
        </w:tc>
        <w:tc>
          <w:tcPr>
            <w:tcW w:w="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1,485,607</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1,479,441</w:t>
            </w: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180" w:type="dxa"/>
            <w:vAlign w:val="bottom"/>
          </w:tcPr>
          <w:p>
            <w:pPr>
              <w:spacing w:after="0" w:line="138" w:lineRule="exact"/>
              <w:rPr>
                <w:sz w:val="20"/>
                <w:szCs w:val="20"/>
                <w:color w:val="auto"/>
              </w:rPr>
            </w:pPr>
            <w:r>
              <w:rPr>
                <w:rFonts w:ascii="Arial" w:cs="Arial" w:eastAsia="Arial" w:hAnsi="Arial"/>
                <w:sz w:val="14"/>
                <w:szCs w:val="14"/>
                <w:color w:val="auto"/>
              </w:rPr>
              <w:t>RPI Finance Trust</w:t>
            </w:r>
          </w:p>
        </w:tc>
        <w:tc>
          <w:tcPr>
            <w:tcW w:w="1900" w:type="dxa"/>
            <w:vAlign w:val="bottom"/>
          </w:tcPr>
          <w:p>
            <w:pPr>
              <w:ind w:left="320"/>
              <w:spacing w:after="0" w:line="138" w:lineRule="exact"/>
              <w:rPr>
                <w:sz w:val="20"/>
                <w:szCs w:val="20"/>
                <w:color w:val="auto"/>
              </w:rPr>
            </w:pPr>
            <w:r>
              <w:rPr>
                <w:rFonts w:ascii="Arial" w:cs="Arial" w:eastAsia="Arial" w:hAnsi="Arial"/>
                <w:sz w:val="14"/>
                <w:szCs w:val="14"/>
                <w:color w:val="auto"/>
              </w:rPr>
              <w:t>Drugs</w:t>
            </w:r>
          </w:p>
        </w:tc>
        <w:tc>
          <w:tcPr>
            <w:tcW w:w="880" w:type="dxa"/>
            <w:vAlign w:val="bottom"/>
          </w:tcPr>
          <w:p>
            <w:pPr>
              <w:ind w:left="120"/>
              <w:spacing w:after="0" w:line="138" w:lineRule="exact"/>
              <w:rPr>
                <w:sz w:val="20"/>
                <w:szCs w:val="20"/>
                <w:color w:val="auto"/>
              </w:rPr>
            </w:pPr>
            <w:r>
              <w:rPr>
                <w:rFonts w:ascii="Arial" w:cs="Arial" w:eastAsia="Arial" w:hAnsi="Arial"/>
                <w:sz w:val="14"/>
                <w:szCs w:val="14"/>
                <w:color w:val="auto"/>
              </w:rPr>
              <w:t>Term B-2</w:t>
            </w:r>
          </w:p>
        </w:tc>
        <w:tc>
          <w:tcPr>
            <w:tcW w:w="520" w:type="dxa"/>
            <w:vAlign w:val="bottom"/>
          </w:tcPr>
          <w:p>
            <w:pPr>
              <w:ind w:left="60"/>
              <w:spacing w:after="0" w:line="138" w:lineRule="exact"/>
              <w:rPr>
                <w:sz w:val="20"/>
                <w:szCs w:val="20"/>
                <w:color w:val="auto"/>
              </w:rPr>
            </w:pPr>
            <w:r>
              <w:rPr>
                <w:rFonts w:ascii="Arial" w:cs="Arial" w:eastAsia="Arial" w:hAnsi="Arial"/>
                <w:sz w:val="14"/>
                <w:szCs w:val="14"/>
                <w:color w:val="auto"/>
              </w:rPr>
              <w:t>Loan</w:t>
            </w: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18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880" w:type="dxa"/>
            <w:vAlign w:val="bottom"/>
          </w:tcPr>
          <w:p>
            <w:pPr>
              <w:ind w:left="120"/>
              <w:spacing w:after="0" w:line="159" w:lineRule="exact"/>
              <w:rPr>
                <w:sz w:val="20"/>
                <w:szCs w:val="20"/>
                <w:color w:val="auto"/>
              </w:rPr>
            </w:pPr>
            <w:r>
              <w:rPr>
                <w:rFonts w:ascii="Arial" w:cs="Arial" w:eastAsia="Arial" w:hAnsi="Arial"/>
                <w:sz w:val="14"/>
                <w:szCs w:val="14"/>
                <w:color w:val="auto"/>
              </w:rPr>
              <w:t>Term Loan</w:t>
            </w:r>
          </w:p>
        </w:tc>
        <w:tc>
          <w:tcPr>
            <w:tcW w:w="520" w:type="dxa"/>
            <w:vAlign w:val="bottom"/>
          </w:tcPr>
          <w:p>
            <w:pPr>
              <w:spacing w:after="0"/>
              <w:rPr>
                <w:sz w:val="13"/>
                <w:szCs w:val="13"/>
                <w:color w:val="auto"/>
              </w:rPr>
            </w:pPr>
          </w:p>
        </w:tc>
        <w:tc>
          <w:tcPr>
            <w:tcW w:w="680" w:type="dxa"/>
            <w:vAlign w:val="bottom"/>
          </w:tcPr>
          <w:p>
            <w:pPr>
              <w:jc w:val="right"/>
              <w:spacing w:after="0" w:line="159" w:lineRule="exact"/>
              <w:rPr>
                <w:sz w:val="20"/>
                <w:szCs w:val="20"/>
                <w:color w:val="auto"/>
              </w:rPr>
            </w:pPr>
            <w:r>
              <w:rPr>
                <w:rFonts w:ascii="Arial" w:cs="Arial" w:eastAsia="Arial" w:hAnsi="Arial"/>
                <w:sz w:val="14"/>
                <w:szCs w:val="14"/>
                <w:color w:val="auto"/>
              </w:rPr>
              <w:t>3.25%</w:t>
            </w:r>
          </w:p>
        </w:tc>
        <w:tc>
          <w:tcPr>
            <w:tcW w:w="760" w:type="dxa"/>
            <w:vAlign w:val="bottom"/>
          </w:tcPr>
          <w:p>
            <w:pPr>
              <w:jc w:val="right"/>
              <w:ind w:right="32"/>
              <w:spacing w:after="0" w:line="159" w:lineRule="exact"/>
              <w:rPr>
                <w:sz w:val="20"/>
                <w:szCs w:val="20"/>
                <w:color w:val="auto"/>
              </w:rPr>
            </w:pPr>
            <w:r>
              <w:rPr>
                <w:rFonts w:ascii="Arial" w:cs="Arial" w:eastAsia="Arial" w:hAnsi="Arial"/>
                <w:sz w:val="14"/>
                <w:szCs w:val="14"/>
                <w:color w:val="auto"/>
              </w:rPr>
              <w:t>5/9/2018</w:t>
            </w:r>
          </w:p>
        </w:tc>
        <w:tc>
          <w:tcPr>
            <w:tcW w:w="760" w:type="dxa"/>
            <w:vAlign w:val="bottom"/>
            <w:gridSpan w:val="3"/>
          </w:tcPr>
          <w:p>
            <w:pPr>
              <w:jc w:val="right"/>
              <w:ind w:right="160"/>
              <w:spacing w:after="0" w:line="159" w:lineRule="exact"/>
              <w:rPr>
                <w:sz w:val="20"/>
                <w:szCs w:val="20"/>
                <w:color w:val="auto"/>
              </w:rPr>
            </w:pPr>
            <w:r>
              <w:rPr>
                <w:rFonts w:ascii="Arial" w:cs="Arial" w:eastAsia="Arial" w:hAnsi="Arial"/>
                <w:sz w:val="14"/>
                <w:szCs w:val="14"/>
                <w:color w:val="auto"/>
                <w:w w:val="82"/>
              </w:rPr>
              <w:t>$5,207,431</w:t>
            </w:r>
          </w:p>
        </w:tc>
        <w:tc>
          <w:tcPr>
            <w:tcW w:w="80" w:type="dxa"/>
            <w:vAlign w:val="bottom"/>
          </w:tcPr>
          <w:p>
            <w:pPr>
              <w:spacing w:after="0"/>
              <w:rPr>
                <w:sz w:val="13"/>
                <w:szCs w:val="13"/>
                <w:color w:val="auto"/>
              </w:rPr>
            </w:pPr>
          </w:p>
        </w:tc>
        <w:tc>
          <w:tcPr>
            <w:tcW w:w="74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5,188,396</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jc w:val="right"/>
              <w:spacing w:after="0" w:line="159" w:lineRule="exact"/>
              <w:rPr>
                <w:sz w:val="20"/>
                <w:szCs w:val="20"/>
                <w:color w:val="auto"/>
              </w:rPr>
            </w:pPr>
            <w:r>
              <w:rPr>
                <w:rFonts w:ascii="Arial" w:cs="Arial" w:eastAsia="Arial" w:hAnsi="Arial"/>
                <w:sz w:val="14"/>
                <w:szCs w:val="14"/>
                <w:color w:val="auto"/>
              </w:rPr>
              <w:t>5,219,147</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18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SBP Holdings LP</w:t>
            </w:r>
          </w:p>
        </w:tc>
        <w:tc>
          <w:tcPr>
            <w:tcW w:w="1900" w:type="dxa"/>
            <w:vAlign w:val="bottom"/>
            <w:shd w:val="clear" w:color="auto" w:fill="CCEEFF"/>
          </w:tcPr>
          <w:p>
            <w:pPr>
              <w:ind w:left="320"/>
              <w:spacing w:after="0" w:line="138" w:lineRule="exact"/>
              <w:rPr>
                <w:sz w:val="20"/>
                <w:szCs w:val="20"/>
                <w:color w:val="auto"/>
              </w:rPr>
            </w:pPr>
            <w:r>
              <w:rPr>
                <w:rFonts w:ascii="Arial" w:cs="Arial" w:eastAsia="Arial" w:hAnsi="Arial"/>
                <w:sz w:val="14"/>
                <w:szCs w:val="14"/>
                <w:color w:val="auto"/>
              </w:rPr>
              <w:t>Industrial Equipment</w:t>
            </w:r>
          </w:p>
        </w:tc>
        <w:tc>
          <w:tcPr>
            <w:tcW w:w="880" w:type="dxa"/>
            <w:vAlign w:val="bottom"/>
            <w:shd w:val="clear" w:color="auto" w:fill="CCEEFF"/>
          </w:tcPr>
          <w:p>
            <w:pPr>
              <w:ind w:left="120"/>
              <w:spacing w:after="0" w:line="138" w:lineRule="exact"/>
              <w:rPr>
                <w:sz w:val="20"/>
                <w:szCs w:val="20"/>
                <w:color w:val="auto"/>
              </w:rPr>
            </w:pPr>
            <w:r>
              <w:rPr>
                <w:rFonts w:ascii="Arial" w:cs="Arial" w:eastAsia="Arial" w:hAnsi="Arial"/>
                <w:sz w:val="14"/>
                <w:szCs w:val="14"/>
                <w:color w:val="auto"/>
              </w:rPr>
              <w:t>Term Loan</w:t>
            </w:r>
          </w:p>
        </w:tc>
        <w:tc>
          <w:tcPr>
            <w:tcW w:w="520" w:type="dxa"/>
            <w:vAlign w:val="bottom"/>
            <w:shd w:val="clear" w:color="auto" w:fill="CCEEFF"/>
          </w:tcPr>
          <w:p>
            <w:pPr>
              <w:ind w:left="60"/>
              <w:spacing w:after="0" w:line="138" w:lineRule="exact"/>
              <w:rPr>
                <w:sz w:val="20"/>
                <w:szCs w:val="20"/>
                <w:color w:val="auto"/>
              </w:rPr>
            </w:pPr>
            <w:r>
              <w:rPr>
                <w:rFonts w:ascii="Arial" w:cs="Arial" w:eastAsia="Arial" w:hAnsi="Arial"/>
                <w:sz w:val="14"/>
                <w:szCs w:val="14"/>
                <w:color w:val="auto"/>
              </w:rPr>
              <w:t>Loan</w:t>
            </w:r>
          </w:p>
        </w:tc>
        <w:tc>
          <w:tcPr>
            <w:tcW w:w="6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180" w:type="dxa"/>
            <w:vAlign w:val="bottom"/>
            <w:shd w:val="clear" w:color="auto" w:fill="CCEEFF"/>
          </w:tcPr>
          <w:p>
            <w:pPr>
              <w:spacing w:after="0"/>
              <w:rPr>
                <w:sz w:val="13"/>
                <w:szCs w:val="13"/>
                <w:color w:val="auto"/>
              </w:rPr>
            </w:pPr>
          </w:p>
        </w:tc>
        <w:tc>
          <w:tcPr>
            <w:tcW w:w="1900" w:type="dxa"/>
            <w:vAlign w:val="bottom"/>
            <w:shd w:val="clear" w:color="auto" w:fill="CCEEFF"/>
          </w:tcPr>
          <w:p>
            <w:pPr>
              <w:spacing w:after="0"/>
              <w:rPr>
                <w:sz w:val="13"/>
                <w:szCs w:val="13"/>
                <w:color w:val="auto"/>
              </w:rPr>
            </w:pPr>
          </w:p>
        </w:tc>
        <w:tc>
          <w:tcPr>
            <w:tcW w:w="880" w:type="dxa"/>
            <w:vAlign w:val="bottom"/>
            <w:shd w:val="clear" w:color="auto" w:fill="CCEEFF"/>
          </w:tcPr>
          <w:p>
            <w:pPr>
              <w:ind w:left="120"/>
              <w:spacing w:after="0" w:line="159" w:lineRule="exact"/>
              <w:rPr>
                <w:sz w:val="20"/>
                <w:szCs w:val="20"/>
                <w:color w:val="auto"/>
              </w:rPr>
            </w:pPr>
            <w:r>
              <w:rPr>
                <w:rFonts w:ascii="Arial" w:cs="Arial" w:eastAsia="Arial" w:hAnsi="Arial"/>
                <w:sz w:val="14"/>
                <w:szCs w:val="14"/>
                <w:color w:val="auto"/>
              </w:rPr>
              <w:t>(First Lien)</w:t>
            </w:r>
          </w:p>
        </w:tc>
        <w:tc>
          <w:tcPr>
            <w:tcW w:w="52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5.00%</w:t>
            </w:r>
          </w:p>
        </w:tc>
        <w:tc>
          <w:tcPr>
            <w:tcW w:w="760" w:type="dxa"/>
            <w:vAlign w:val="bottom"/>
            <w:shd w:val="clear" w:color="auto" w:fill="CCEEFF"/>
          </w:tcPr>
          <w:p>
            <w:pPr>
              <w:jc w:val="right"/>
              <w:ind w:right="32"/>
              <w:spacing w:after="0" w:line="159" w:lineRule="exact"/>
              <w:rPr>
                <w:sz w:val="20"/>
                <w:szCs w:val="20"/>
                <w:color w:val="auto"/>
              </w:rPr>
            </w:pPr>
            <w:r>
              <w:rPr>
                <w:rFonts w:ascii="Arial" w:cs="Arial" w:eastAsia="Arial" w:hAnsi="Arial"/>
                <w:sz w:val="14"/>
                <w:szCs w:val="14"/>
                <w:color w:val="auto"/>
              </w:rPr>
              <w:t>3/27/2021</w:t>
            </w:r>
          </w:p>
        </w:tc>
        <w:tc>
          <w:tcPr>
            <w:tcW w:w="12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w w:val="90"/>
              </w:rPr>
              <w:t>992,500</w:t>
            </w:r>
          </w:p>
        </w:tc>
        <w:tc>
          <w:tcPr>
            <w:tcW w:w="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988,065</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863,475</w:t>
            </w: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180" w:type="dxa"/>
            <w:vAlign w:val="bottom"/>
          </w:tcPr>
          <w:p>
            <w:pPr>
              <w:spacing w:after="0" w:line="138" w:lineRule="exact"/>
              <w:rPr>
                <w:sz w:val="20"/>
                <w:szCs w:val="20"/>
                <w:color w:val="auto"/>
              </w:rPr>
            </w:pPr>
            <w:r>
              <w:rPr>
                <w:rFonts w:ascii="Arial" w:cs="Arial" w:eastAsia="Arial" w:hAnsi="Arial"/>
                <w:sz w:val="14"/>
                <w:szCs w:val="14"/>
                <w:color w:val="auto"/>
              </w:rPr>
              <w:t>Scientific Games International, Inc.</w:t>
            </w:r>
          </w:p>
        </w:tc>
        <w:tc>
          <w:tcPr>
            <w:tcW w:w="1900" w:type="dxa"/>
            <w:vAlign w:val="bottom"/>
          </w:tcPr>
          <w:p>
            <w:pPr>
              <w:ind w:left="320"/>
              <w:spacing w:after="0" w:line="138" w:lineRule="exact"/>
              <w:rPr>
                <w:sz w:val="20"/>
                <w:szCs w:val="20"/>
                <w:color w:val="auto"/>
              </w:rPr>
            </w:pPr>
            <w:r>
              <w:rPr>
                <w:rFonts w:ascii="Arial" w:cs="Arial" w:eastAsia="Arial" w:hAnsi="Arial"/>
                <w:sz w:val="14"/>
                <w:szCs w:val="14"/>
                <w:color w:val="auto"/>
              </w:rPr>
              <w:t>Electronics/Electric</w:t>
            </w:r>
          </w:p>
        </w:tc>
        <w:tc>
          <w:tcPr>
            <w:tcW w:w="880" w:type="dxa"/>
            <w:vAlign w:val="bottom"/>
          </w:tcPr>
          <w:p>
            <w:pPr>
              <w:ind w:left="120"/>
              <w:spacing w:after="0" w:line="138" w:lineRule="exact"/>
              <w:rPr>
                <w:sz w:val="20"/>
                <w:szCs w:val="20"/>
                <w:color w:val="auto"/>
              </w:rPr>
            </w:pPr>
            <w:r>
              <w:rPr>
                <w:rFonts w:ascii="Arial" w:cs="Arial" w:eastAsia="Arial" w:hAnsi="Arial"/>
                <w:sz w:val="14"/>
                <w:szCs w:val="14"/>
                <w:color w:val="auto"/>
              </w:rPr>
              <w:t>Term Loan</w:t>
            </w:r>
          </w:p>
        </w:tc>
        <w:tc>
          <w:tcPr>
            <w:tcW w:w="520" w:type="dxa"/>
            <w:vAlign w:val="bottom"/>
          </w:tcPr>
          <w:p>
            <w:pPr>
              <w:ind w:left="60"/>
              <w:spacing w:after="0" w:line="138" w:lineRule="exact"/>
              <w:rPr>
                <w:sz w:val="20"/>
                <w:szCs w:val="20"/>
                <w:color w:val="auto"/>
              </w:rPr>
            </w:pPr>
            <w:r>
              <w:rPr>
                <w:rFonts w:ascii="Arial" w:cs="Arial" w:eastAsia="Arial" w:hAnsi="Arial"/>
                <w:sz w:val="14"/>
                <w:szCs w:val="14"/>
                <w:color w:val="auto"/>
              </w:rPr>
              <w:t>Loan</w:t>
            </w: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18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880" w:type="dxa"/>
            <w:vAlign w:val="bottom"/>
          </w:tcPr>
          <w:p>
            <w:pPr>
              <w:ind w:left="120"/>
              <w:spacing w:after="0" w:line="159" w:lineRule="exact"/>
              <w:rPr>
                <w:sz w:val="20"/>
                <w:szCs w:val="20"/>
                <w:color w:val="auto"/>
              </w:rPr>
            </w:pPr>
            <w:r>
              <w:rPr>
                <w:rFonts w:ascii="Arial" w:cs="Arial" w:eastAsia="Arial" w:hAnsi="Arial"/>
                <w:sz w:val="14"/>
                <w:szCs w:val="14"/>
                <w:color w:val="auto"/>
              </w:rPr>
              <w:t>B2</w:t>
            </w:r>
          </w:p>
        </w:tc>
        <w:tc>
          <w:tcPr>
            <w:tcW w:w="520" w:type="dxa"/>
            <w:vAlign w:val="bottom"/>
          </w:tcPr>
          <w:p>
            <w:pPr>
              <w:spacing w:after="0"/>
              <w:rPr>
                <w:sz w:val="13"/>
                <w:szCs w:val="13"/>
                <w:color w:val="auto"/>
              </w:rPr>
            </w:pPr>
          </w:p>
        </w:tc>
        <w:tc>
          <w:tcPr>
            <w:tcW w:w="680" w:type="dxa"/>
            <w:vAlign w:val="bottom"/>
          </w:tcPr>
          <w:p>
            <w:pPr>
              <w:jc w:val="right"/>
              <w:spacing w:after="0" w:line="159" w:lineRule="exact"/>
              <w:rPr>
                <w:sz w:val="20"/>
                <w:szCs w:val="20"/>
                <w:color w:val="auto"/>
              </w:rPr>
            </w:pPr>
            <w:r>
              <w:rPr>
                <w:rFonts w:ascii="Arial" w:cs="Arial" w:eastAsia="Arial" w:hAnsi="Arial"/>
                <w:sz w:val="14"/>
                <w:szCs w:val="14"/>
                <w:color w:val="auto"/>
              </w:rPr>
              <w:t>6.00%</w:t>
            </w:r>
          </w:p>
        </w:tc>
        <w:tc>
          <w:tcPr>
            <w:tcW w:w="760" w:type="dxa"/>
            <w:vAlign w:val="bottom"/>
          </w:tcPr>
          <w:p>
            <w:pPr>
              <w:jc w:val="right"/>
              <w:ind w:right="32"/>
              <w:spacing w:after="0" w:line="159" w:lineRule="exact"/>
              <w:rPr>
                <w:sz w:val="20"/>
                <w:szCs w:val="20"/>
                <w:color w:val="auto"/>
              </w:rPr>
            </w:pPr>
            <w:r>
              <w:rPr>
                <w:rFonts w:ascii="Arial" w:cs="Arial" w:eastAsia="Arial" w:hAnsi="Arial"/>
                <w:sz w:val="14"/>
                <w:szCs w:val="14"/>
                <w:color w:val="auto"/>
              </w:rPr>
              <w:t>10/1/2021</w:t>
            </w:r>
          </w:p>
        </w:tc>
        <w:tc>
          <w:tcPr>
            <w:tcW w:w="760" w:type="dxa"/>
            <w:vAlign w:val="bottom"/>
            <w:gridSpan w:val="3"/>
          </w:tcPr>
          <w:p>
            <w:pPr>
              <w:jc w:val="right"/>
              <w:ind w:right="160"/>
              <w:spacing w:after="0" w:line="159" w:lineRule="exact"/>
              <w:rPr>
                <w:sz w:val="20"/>
                <w:szCs w:val="20"/>
                <w:color w:val="auto"/>
              </w:rPr>
            </w:pPr>
            <w:r>
              <w:rPr>
                <w:rFonts w:ascii="Arial" w:cs="Arial" w:eastAsia="Arial" w:hAnsi="Arial"/>
                <w:sz w:val="14"/>
                <w:szCs w:val="14"/>
                <w:color w:val="auto"/>
                <w:w w:val="82"/>
              </w:rPr>
              <w:t>$1,000,000</w:t>
            </w:r>
          </w:p>
        </w:tc>
        <w:tc>
          <w:tcPr>
            <w:tcW w:w="80" w:type="dxa"/>
            <w:vAlign w:val="bottom"/>
          </w:tcPr>
          <w:p>
            <w:pPr>
              <w:spacing w:after="0"/>
              <w:rPr>
                <w:sz w:val="13"/>
                <w:szCs w:val="13"/>
                <w:color w:val="auto"/>
              </w:rPr>
            </w:pPr>
          </w:p>
        </w:tc>
        <w:tc>
          <w:tcPr>
            <w:tcW w:w="74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990,433</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jc w:val="right"/>
              <w:spacing w:after="0" w:line="159" w:lineRule="exact"/>
              <w:rPr>
                <w:sz w:val="20"/>
                <w:szCs w:val="20"/>
                <w:color w:val="auto"/>
              </w:rPr>
            </w:pPr>
            <w:r>
              <w:rPr>
                <w:rFonts w:ascii="Arial" w:cs="Arial" w:eastAsia="Arial" w:hAnsi="Arial"/>
                <w:sz w:val="14"/>
                <w:szCs w:val="14"/>
                <w:color w:val="auto"/>
              </w:rPr>
              <w:t>998,040</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Scitor Corporation</w:t>
            </w:r>
          </w:p>
        </w:tc>
        <w:tc>
          <w:tcPr>
            <w:tcW w:w="190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Services: Business</w:t>
            </w:r>
          </w:p>
        </w:tc>
        <w:tc>
          <w:tcPr>
            <w:tcW w:w="88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Term Loan</w:t>
            </w:r>
          </w:p>
        </w:tc>
        <w:tc>
          <w:tcPr>
            <w:tcW w:w="52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Loan</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5.00%</w:t>
            </w:r>
          </w:p>
        </w:tc>
        <w:tc>
          <w:tcPr>
            <w:tcW w:w="76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2/15/2017</w:t>
            </w:r>
          </w:p>
        </w:tc>
        <w:tc>
          <w:tcPr>
            <w:tcW w:w="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90"/>
              </w:rPr>
              <w:t>463,977</w:t>
            </w: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462,387</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461,077</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180" w:type="dxa"/>
            <w:vAlign w:val="bottom"/>
          </w:tcPr>
          <w:p>
            <w:pPr>
              <w:spacing w:after="0" w:line="138" w:lineRule="exact"/>
              <w:rPr>
                <w:sz w:val="20"/>
                <w:szCs w:val="20"/>
                <w:color w:val="auto"/>
              </w:rPr>
            </w:pPr>
            <w:r>
              <w:rPr>
                <w:rFonts w:ascii="Arial" w:cs="Arial" w:eastAsia="Arial" w:hAnsi="Arial"/>
                <w:sz w:val="14"/>
                <w:szCs w:val="14"/>
                <w:color w:val="auto"/>
              </w:rPr>
              <w:t>Seadrill</w:t>
            </w:r>
          </w:p>
        </w:tc>
        <w:tc>
          <w:tcPr>
            <w:tcW w:w="1900" w:type="dxa"/>
            <w:vAlign w:val="bottom"/>
          </w:tcPr>
          <w:p>
            <w:pPr>
              <w:ind w:left="320"/>
              <w:spacing w:after="0" w:line="138" w:lineRule="exact"/>
              <w:rPr>
                <w:sz w:val="20"/>
                <w:szCs w:val="20"/>
                <w:color w:val="auto"/>
              </w:rPr>
            </w:pPr>
            <w:r>
              <w:rPr>
                <w:rFonts w:ascii="Arial" w:cs="Arial" w:eastAsia="Arial" w:hAnsi="Arial"/>
                <w:sz w:val="14"/>
                <w:szCs w:val="14"/>
                <w:color w:val="auto"/>
              </w:rPr>
              <w:t>Oil &amp; Gas</w:t>
            </w:r>
          </w:p>
        </w:tc>
        <w:tc>
          <w:tcPr>
            <w:tcW w:w="880" w:type="dxa"/>
            <w:vAlign w:val="bottom"/>
          </w:tcPr>
          <w:p>
            <w:pPr>
              <w:ind w:left="120"/>
              <w:spacing w:after="0" w:line="138" w:lineRule="exact"/>
              <w:rPr>
                <w:sz w:val="20"/>
                <w:szCs w:val="20"/>
                <w:color w:val="auto"/>
              </w:rPr>
            </w:pPr>
            <w:r>
              <w:rPr>
                <w:rFonts w:ascii="Arial" w:cs="Arial" w:eastAsia="Arial" w:hAnsi="Arial"/>
                <w:sz w:val="14"/>
                <w:szCs w:val="14"/>
                <w:color w:val="auto"/>
              </w:rPr>
              <w:t>Term Loan</w:t>
            </w:r>
          </w:p>
        </w:tc>
        <w:tc>
          <w:tcPr>
            <w:tcW w:w="520" w:type="dxa"/>
            <w:vAlign w:val="bottom"/>
          </w:tcPr>
          <w:p>
            <w:pPr>
              <w:ind w:left="60"/>
              <w:spacing w:after="0" w:line="138" w:lineRule="exact"/>
              <w:rPr>
                <w:sz w:val="20"/>
                <w:szCs w:val="20"/>
                <w:color w:val="auto"/>
              </w:rPr>
            </w:pPr>
            <w:r>
              <w:rPr>
                <w:rFonts w:ascii="Arial" w:cs="Arial" w:eastAsia="Arial" w:hAnsi="Arial"/>
                <w:sz w:val="14"/>
                <w:szCs w:val="14"/>
                <w:color w:val="auto"/>
              </w:rPr>
              <w:t>Loan</w:t>
            </w: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18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880" w:type="dxa"/>
            <w:vAlign w:val="bottom"/>
          </w:tcPr>
          <w:p>
            <w:pPr>
              <w:ind w:left="120"/>
              <w:spacing w:after="0" w:line="159" w:lineRule="exact"/>
              <w:rPr>
                <w:sz w:val="20"/>
                <w:szCs w:val="20"/>
                <w:color w:val="auto"/>
              </w:rPr>
            </w:pPr>
            <w:r>
              <w:rPr>
                <w:rFonts w:ascii="Arial" w:cs="Arial" w:eastAsia="Arial" w:hAnsi="Arial"/>
                <w:sz w:val="14"/>
                <w:szCs w:val="14"/>
                <w:color w:val="auto"/>
              </w:rPr>
              <w:t>B</w:t>
            </w:r>
          </w:p>
        </w:tc>
        <w:tc>
          <w:tcPr>
            <w:tcW w:w="520" w:type="dxa"/>
            <w:vAlign w:val="bottom"/>
          </w:tcPr>
          <w:p>
            <w:pPr>
              <w:spacing w:after="0"/>
              <w:rPr>
                <w:sz w:val="13"/>
                <w:szCs w:val="13"/>
                <w:color w:val="auto"/>
              </w:rPr>
            </w:pPr>
          </w:p>
        </w:tc>
        <w:tc>
          <w:tcPr>
            <w:tcW w:w="680" w:type="dxa"/>
            <w:vAlign w:val="bottom"/>
          </w:tcPr>
          <w:p>
            <w:pPr>
              <w:jc w:val="right"/>
              <w:spacing w:after="0" w:line="159" w:lineRule="exact"/>
              <w:rPr>
                <w:sz w:val="20"/>
                <w:szCs w:val="20"/>
                <w:color w:val="auto"/>
              </w:rPr>
            </w:pPr>
            <w:r>
              <w:rPr>
                <w:rFonts w:ascii="Arial" w:cs="Arial" w:eastAsia="Arial" w:hAnsi="Arial"/>
                <w:sz w:val="14"/>
                <w:szCs w:val="14"/>
                <w:color w:val="auto"/>
              </w:rPr>
              <w:t>4.00%</w:t>
            </w:r>
          </w:p>
        </w:tc>
        <w:tc>
          <w:tcPr>
            <w:tcW w:w="760" w:type="dxa"/>
            <w:vAlign w:val="bottom"/>
          </w:tcPr>
          <w:p>
            <w:pPr>
              <w:jc w:val="right"/>
              <w:ind w:right="32"/>
              <w:spacing w:after="0" w:line="159" w:lineRule="exact"/>
              <w:rPr>
                <w:sz w:val="20"/>
                <w:szCs w:val="20"/>
                <w:color w:val="auto"/>
              </w:rPr>
            </w:pPr>
            <w:r>
              <w:rPr>
                <w:rFonts w:ascii="Arial" w:cs="Arial" w:eastAsia="Arial" w:hAnsi="Arial"/>
                <w:sz w:val="14"/>
                <w:szCs w:val="14"/>
                <w:color w:val="auto"/>
              </w:rPr>
              <w:t>2/21/2021</w:t>
            </w:r>
          </w:p>
        </w:tc>
        <w:tc>
          <w:tcPr>
            <w:tcW w:w="120" w:type="dxa"/>
            <w:vAlign w:val="bottom"/>
          </w:tcPr>
          <w:p>
            <w:pPr>
              <w:spacing w:after="0" w:line="159"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w w:val="90"/>
              </w:rPr>
              <w:t>997,481</w:t>
            </w:r>
          </w:p>
        </w:tc>
        <w:tc>
          <w:tcPr>
            <w:tcW w:w="80" w:type="dxa"/>
            <w:vAlign w:val="bottom"/>
          </w:tcPr>
          <w:p>
            <w:pPr>
              <w:spacing w:after="0"/>
              <w:rPr>
                <w:sz w:val="13"/>
                <w:szCs w:val="13"/>
                <w:color w:val="auto"/>
              </w:rPr>
            </w:pPr>
          </w:p>
        </w:tc>
        <w:tc>
          <w:tcPr>
            <w:tcW w:w="74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917,590</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jc w:val="right"/>
              <w:spacing w:after="0" w:line="159" w:lineRule="exact"/>
              <w:rPr>
                <w:sz w:val="20"/>
                <w:szCs w:val="20"/>
                <w:color w:val="auto"/>
              </w:rPr>
            </w:pPr>
            <w:r>
              <w:rPr>
                <w:rFonts w:ascii="Arial" w:cs="Arial" w:eastAsia="Arial" w:hAnsi="Arial"/>
                <w:sz w:val="14"/>
                <w:szCs w:val="14"/>
                <w:color w:val="auto"/>
              </w:rPr>
              <w:t>806,294</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2"/>
              </w:rPr>
              <w:t>Sensata Technologies B.V./Sensata Technology Finance Company, LLC</w:t>
            </w:r>
          </w:p>
        </w:tc>
        <w:tc>
          <w:tcPr>
            <w:tcW w:w="190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Industrial Equipment</w:t>
            </w:r>
          </w:p>
        </w:tc>
        <w:tc>
          <w:tcPr>
            <w:tcW w:w="88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Term Loan</w:t>
            </w:r>
          </w:p>
        </w:tc>
        <w:tc>
          <w:tcPr>
            <w:tcW w:w="52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Loan</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3.25%</w:t>
            </w:r>
          </w:p>
        </w:tc>
        <w:tc>
          <w:tcPr>
            <w:tcW w:w="76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5/13/2019</w:t>
            </w:r>
          </w:p>
        </w:tc>
        <w:tc>
          <w:tcPr>
            <w:tcW w:w="76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82"/>
              </w:rPr>
              <w:t>$1,509,445</w:t>
            </w: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1,509,445</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1,511,603</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180" w:type="dxa"/>
            <w:vAlign w:val="bottom"/>
          </w:tcPr>
          <w:p>
            <w:pPr>
              <w:spacing w:after="0" w:line="138" w:lineRule="exact"/>
              <w:rPr>
                <w:sz w:val="20"/>
                <w:szCs w:val="20"/>
                <w:color w:val="auto"/>
              </w:rPr>
            </w:pPr>
            <w:r>
              <w:rPr>
                <w:rFonts w:ascii="Arial" w:cs="Arial" w:eastAsia="Arial" w:hAnsi="Arial"/>
                <w:sz w:val="14"/>
                <w:szCs w:val="14"/>
                <w:color w:val="auto"/>
              </w:rPr>
              <w:t>Sensus USA Inc. (fka Sensus Metering Systems)</w:t>
            </w:r>
          </w:p>
        </w:tc>
        <w:tc>
          <w:tcPr>
            <w:tcW w:w="1900" w:type="dxa"/>
            <w:vAlign w:val="bottom"/>
          </w:tcPr>
          <w:p>
            <w:pPr>
              <w:ind w:left="320"/>
              <w:spacing w:after="0" w:line="138" w:lineRule="exact"/>
              <w:rPr>
                <w:sz w:val="20"/>
                <w:szCs w:val="20"/>
                <w:color w:val="auto"/>
              </w:rPr>
            </w:pPr>
            <w:r>
              <w:rPr>
                <w:rFonts w:ascii="Arial" w:cs="Arial" w:eastAsia="Arial" w:hAnsi="Arial"/>
                <w:sz w:val="14"/>
                <w:szCs w:val="14"/>
                <w:color w:val="auto"/>
              </w:rPr>
              <w:t>Utilities</w:t>
            </w:r>
          </w:p>
        </w:tc>
        <w:tc>
          <w:tcPr>
            <w:tcW w:w="880" w:type="dxa"/>
            <w:vAlign w:val="bottom"/>
          </w:tcPr>
          <w:p>
            <w:pPr>
              <w:ind w:left="120"/>
              <w:spacing w:after="0" w:line="138" w:lineRule="exact"/>
              <w:rPr>
                <w:sz w:val="20"/>
                <w:szCs w:val="20"/>
                <w:color w:val="auto"/>
              </w:rPr>
            </w:pPr>
            <w:r>
              <w:rPr>
                <w:rFonts w:ascii="Arial" w:cs="Arial" w:eastAsia="Arial" w:hAnsi="Arial"/>
                <w:sz w:val="14"/>
                <w:szCs w:val="14"/>
                <w:color w:val="auto"/>
              </w:rPr>
              <w:t>Term Loan</w:t>
            </w:r>
          </w:p>
        </w:tc>
        <w:tc>
          <w:tcPr>
            <w:tcW w:w="520" w:type="dxa"/>
            <w:vAlign w:val="bottom"/>
          </w:tcPr>
          <w:p>
            <w:pPr>
              <w:ind w:left="60"/>
              <w:spacing w:after="0" w:line="138" w:lineRule="exact"/>
              <w:rPr>
                <w:sz w:val="20"/>
                <w:szCs w:val="20"/>
                <w:color w:val="auto"/>
              </w:rPr>
            </w:pPr>
            <w:r>
              <w:rPr>
                <w:rFonts w:ascii="Arial" w:cs="Arial" w:eastAsia="Arial" w:hAnsi="Arial"/>
                <w:sz w:val="14"/>
                <w:szCs w:val="14"/>
                <w:color w:val="auto"/>
              </w:rPr>
              <w:t>Loan</w:t>
            </w: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18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880" w:type="dxa"/>
            <w:vAlign w:val="bottom"/>
          </w:tcPr>
          <w:p>
            <w:pPr>
              <w:ind w:left="120"/>
              <w:spacing w:after="0" w:line="159" w:lineRule="exact"/>
              <w:rPr>
                <w:sz w:val="20"/>
                <w:szCs w:val="20"/>
                <w:color w:val="auto"/>
              </w:rPr>
            </w:pPr>
            <w:r>
              <w:rPr>
                <w:rFonts w:ascii="Arial" w:cs="Arial" w:eastAsia="Arial" w:hAnsi="Arial"/>
                <w:sz w:val="14"/>
                <w:szCs w:val="14"/>
                <w:color w:val="auto"/>
              </w:rPr>
              <w:t>(First Lien)</w:t>
            </w:r>
          </w:p>
        </w:tc>
        <w:tc>
          <w:tcPr>
            <w:tcW w:w="520" w:type="dxa"/>
            <w:vAlign w:val="bottom"/>
          </w:tcPr>
          <w:p>
            <w:pPr>
              <w:spacing w:after="0"/>
              <w:rPr>
                <w:sz w:val="13"/>
                <w:szCs w:val="13"/>
                <w:color w:val="auto"/>
              </w:rPr>
            </w:pPr>
          </w:p>
        </w:tc>
        <w:tc>
          <w:tcPr>
            <w:tcW w:w="680" w:type="dxa"/>
            <w:vAlign w:val="bottom"/>
          </w:tcPr>
          <w:p>
            <w:pPr>
              <w:jc w:val="right"/>
              <w:spacing w:after="0" w:line="159" w:lineRule="exact"/>
              <w:rPr>
                <w:sz w:val="20"/>
                <w:szCs w:val="20"/>
                <w:color w:val="auto"/>
              </w:rPr>
            </w:pPr>
            <w:r>
              <w:rPr>
                <w:rFonts w:ascii="Arial" w:cs="Arial" w:eastAsia="Arial" w:hAnsi="Arial"/>
                <w:sz w:val="14"/>
                <w:szCs w:val="14"/>
                <w:color w:val="auto"/>
              </w:rPr>
              <w:t>4.50%</w:t>
            </w:r>
          </w:p>
        </w:tc>
        <w:tc>
          <w:tcPr>
            <w:tcW w:w="760" w:type="dxa"/>
            <w:vAlign w:val="bottom"/>
          </w:tcPr>
          <w:p>
            <w:pPr>
              <w:jc w:val="right"/>
              <w:ind w:right="32"/>
              <w:spacing w:after="0" w:line="159" w:lineRule="exact"/>
              <w:rPr>
                <w:sz w:val="20"/>
                <w:szCs w:val="20"/>
                <w:color w:val="auto"/>
              </w:rPr>
            </w:pPr>
            <w:r>
              <w:rPr>
                <w:rFonts w:ascii="Arial" w:cs="Arial" w:eastAsia="Arial" w:hAnsi="Arial"/>
                <w:sz w:val="14"/>
                <w:szCs w:val="14"/>
                <w:color w:val="auto"/>
              </w:rPr>
              <w:t>5/9/2017</w:t>
            </w:r>
          </w:p>
        </w:tc>
        <w:tc>
          <w:tcPr>
            <w:tcW w:w="760" w:type="dxa"/>
            <w:vAlign w:val="bottom"/>
            <w:gridSpan w:val="3"/>
          </w:tcPr>
          <w:p>
            <w:pPr>
              <w:jc w:val="right"/>
              <w:ind w:right="160"/>
              <w:spacing w:after="0" w:line="159" w:lineRule="exact"/>
              <w:rPr>
                <w:sz w:val="20"/>
                <w:szCs w:val="20"/>
                <w:color w:val="auto"/>
              </w:rPr>
            </w:pPr>
            <w:r>
              <w:rPr>
                <w:rFonts w:ascii="Arial" w:cs="Arial" w:eastAsia="Arial" w:hAnsi="Arial"/>
                <w:sz w:val="14"/>
                <w:szCs w:val="14"/>
                <w:color w:val="auto"/>
                <w:w w:val="82"/>
              </w:rPr>
              <w:t>$1,925,067</w:t>
            </w:r>
          </w:p>
        </w:tc>
        <w:tc>
          <w:tcPr>
            <w:tcW w:w="80" w:type="dxa"/>
            <w:vAlign w:val="bottom"/>
          </w:tcPr>
          <w:p>
            <w:pPr>
              <w:spacing w:after="0"/>
              <w:rPr>
                <w:sz w:val="13"/>
                <w:szCs w:val="13"/>
                <w:color w:val="auto"/>
              </w:rPr>
            </w:pPr>
          </w:p>
        </w:tc>
        <w:tc>
          <w:tcPr>
            <w:tcW w:w="74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1,920,548</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jc w:val="right"/>
              <w:spacing w:after="0" w:line="159" w:lineRule="exact"/>
              <w:rPr>
                <w:sz w:val="20"/>
                <w:szCs w:val="20"/>
                <w:color w:val="auto"/>
              </w:rPr>
            </w:pPr>
            <w:r>
              <w:rPr>
                <w:rFonts w:ascii="Arial" w:cs="Arial" w:eastAsia="Arial" w:hAnsi="Arial"/>
                <w:sz w:val="14"/>
                <w:szCs w:val="14"/>
                <w:color w:val="auto"/>
              </w:rPr>
              <w:t>1,925,067</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18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ServiceMaster Company, The</w:t>
            </w:r>
          </w:p>
        </w:tc>
        <w:tc>
          <w:tcPr>
            <w:tcW w:w="1900" w:type="dxa"/>
            <w:vAlign w:val="bottom"/>
            <w:shd w:val="clear" w:color="auto" w:fill="CCEEFF"/>
          </w:tcPr>
          <w:p>
            <w:pPr>
              <w:ind w:left="320"/>
              <w:spacing w:after="0" w:line="138" w:lineRule="exact"/>
              <w:rPr>
                <w:sz w:val="20"/>
                <w:szCs w:val="20"/>
                <w:color w:val="auto"/>
              </w:rPr>
            </w:pPr>
            <w:r>
              <w:rPr>
                <w:rFonts w:ascii="Arial" w:cs="Arial" w:eastAsia="Arial" w:hAnsi="Arial"/>
                <w:sz w:val="14"/>
                <w:szCs w:val="14"/>
                <w:color w:val="auto"/>
              </w:rPr>
              <w:t>Conglomerate</w:t>
            </w:r>
          </w:p>
        </w:tc>
        <w:tc>
          <w:tcPr>
            <w:tcW w:w="880" w:type="dxa"/>
            <w:vAlign w:val="bottom"/>
            <w:shd w:val="clear" w:color="auto" w:fill="CCEEFF"/>
          </w:tcPr>
          <w:p>
            <w:pPr>
              <w:ind w:left="120"/>
              <w:spacing w:after="0" w:line="138" w:lineRule="exact"/>
              <w:rPr>
                <w:sz w:val="20"/>
                <w:szCs w:val="20"/>
                <w:color w:val="auto"/>
              </w:rPr>
            </w:pPr>
            <w:r>
              <w:rPr>
                <w:rFonts w:ascii="Arial" w:cs="Arial" w:eastAsia="Arial" w:hAnsi="Arial"/>
                <w:sz w:val="14"/>
                <w:szCs w:val="14"/>
                <w:color w:val="auto"/>
              </w:rPr>
              <w:t>Tranche B</w:t>
            </w:r>
          </w:p>
        </w:tc>
        <w:tc>
          <w:tcPr>
            <w:tcW w:w="520" w:type="dxa"/>
            <w:vAlign w:val="bottom"/>
            <w:shd w:val="clear" w:color="auto" w:fill="CCEEFF"/>
          </w:tcPr>
          <w:p>
            <w:pPr>
              <w:ind w:left="60"/>
              <w:spacing w:after="0" w:line="138" w:lineRule="exact"/>
              <w:rPr>
                <w:sz w:val="20"/>
                <w:szCs w:val="20"/>
                <w:color w:val="auto"/>
              </w:rPr>
            </w:pPr>
            <w:r>
              <w:rPr>
                <w:rFonts w:ascii="Arial" w:cs="Arial" w:eastAsia="Arial" w:hAnsi="Arial"/>
                <w:sz w:val="14"/>
                <w:szCs w:val="14"/>
                <w:color w:val="auto"/>
              </w:rPr>
              <w:t>Loan</w:t>
            </w:r>
          </w:p>
        </w:tc>
        <w:tc>
          <w:tcPr>
            <w:tcW w:w="6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180" w:type="dxa"/>
            <w:vAlign w:val="bottom"/>
            <w:shd w:val="clear" w:color="auto" w:fill="CCEEFF"/>
          </w:tcPr>
          <w:p>
            <w:pPr>
              <w:spacing w:after="0"/>
              <w:rPr>
                <w:sz w:val="13"/>
                <w:szCs w:val="13"/>
                <w:color w:val="auto"/>
              </w:rPr>
            </w:pPr>
          </w:p>
        </w:tc>
        <w:tc>
          <w:tcPr>
            <w:tcW w:w="1900" w:type="dxa"/>
            <w:vAlign w:val="bottom"/>
            <w:shd w:val="clear" w:color="auto" w:fill="CCEEFF"/>
          </w:tcPr>
          <w:p>
            <w:pPr>
              <w:spacing w:after="0"/>
              <w:rPr>
                <w:sz w:val="13"/>
                <w:szCs w:val="13"/>
                <w:color w:val="auto"/>
              </w:rPr>
            </w:pPr>
          </w:p>
        </w:tc>
        <w:tc>
          <w:tcPr>
            <w:tcW w:w="880" w:type="dxa"/>
            <w:vAlign w:val="bottom"/>
            <w:shd w:val="clear" w:color="auto" w:fill="CCEEFF"/>
          </w:tcPr>
          <w:p>
            <w:pPr>
              <w:ind w:left="120"/>
              <w:spacing w:after="0" w:line="159" w:lineRule="exact"/>
              <w:rPr>
                <w:sz w:val="20"/>
                <w:szCs w:val="20"/>
                <w:color w:val="auto"/>
              </w:rPr>
            </w:pPr>
            <w:r>
              <w:rPr>
                <w:rFonts w:ascii="Arial" w:cs="Arial" w:eastAsia="Arial" w:hAnsi="Arial"/>
                <w:sz w:val="14"/>
                <w:szCs w:val="14"/>
                <w:color w:val="auto"/>
              </w:rPr>
              <w:t>Term Loan</w:t>
            </w:r>
          </w:p>
        </w:tc>
        <w:tc>
          <w:tcPr>
            <w:tcW w:w="52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4.25%</w:t>
            </w:r>
          </w:p>
        </w:tc>
        <w:tc>
          <w:tcPr>
            <w:tcW w:w="760" w:type="dxa"/>
            <w:vAlign w:val="bottom"/>
            <w:shd w:val="clear" w:color="auto" w:fill="CCEEFF"/>
          </w:tcPr>
          <w:p>
            <w:pPr>
              <w:jc w:val="right"/>
              <w:ind w:right="32"/>
              <w:spacing w:after="0" w:line="159" w:lineRule="exact"/>
              <w:rPr>
                <w:sz w:val="20"/>
                <w:szCs w:val="20"/>
                <w:color w:val="auto"/>
              </w:rPr>
            </w:pPr>
            <w:r>
              <w:rPr>
                <w:rFonts w:ascii="Arial" w:cs="Arial" w:eastAsia="Arial" w:hAnsi="Arial"/>
                <w:sz w:val="14"/>
                <w:szCs w:val="14"/>
                <w:color w:val="auto"/>
              </w:rPr>
              <w:t>7/1/2021</w:t>
            </w:r>
          </w:p>
        </w:tc>
        <w:tc>
          <w:tcPr>
            <w:tcW w:w="760" w:type="dxa"/>
            <w:vAlign w:val="bottom"/>
            <w:gridSpan w:val="3"/>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w w:val="82"/>
              </w:rPr>
              <w:t>$1,995,000</w:t>
            </w:r>
          </w:p>
        </w:tc>
        <w:tc>
          <w:tcPr>
            <w:tcW w:w="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1,976,650</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1,994,641</w:t>
            </w: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180" w:type="dxa"/>
            <w:vAlign w:val="bottom"/>
          </w:tcPr>
          <w:p>
            <w:pPr>
              <w:spacing w:after="0" w:line="138" w:lineRule="exact"/>
              <w:rPr>
                <w:sz w:val="20"/>
                <w:szCs w:val="20"/>
                <w:color w:val="auto"/>
              </w:rPr>
            </w:pPr>
            <w:r>
              <w:rPr>
                <w:rFonts w:ascii="Arial" w:cs="Arial" w:eastAsia="Arial" w:hAnsi="Arial"/>
                <w:sz w:val="14"/>
                <w:szCs w:val="14"/>
                <w:color w:val="auto"/>
              </w:rPr>
              <w:t>Shearers Foods LLC</w:t>
            </w:r>
          </w:p>
        </w:tc>
        <w:tc>
          <w:tcPr>
            <w:tcW w:w="1900" w:type="dxa"/>
            <w:vAlign w:val="bottom"/>
          </w:tcPr>
          <w:p>
            <w:pPr>
              <w:ind w:left="320"/>
              <w:spacing w:after="0" w:line="138" w:lineRule="exact"/>
              <w:rPr>
                <w:sz w:val="20"/>
                <w:szCs w:val="20"/>
                <w:color w:val="auto"/>
              </w:rPr>
            </w:pPr>
            <w:r>
              <w:rPr>
                <w:rFonts w:ascii="Arial" w:cs="Arial" w:eastAsia="Arial" w:hAnsi="Arial"/>
                <w:sz w:val="14"/>
                <w:szCs w:val="14"/>
                <w:color w:val="auto"/>
              </w:rPr>
              <w:t>Food Services</w:t>
            </w:r>
          </w:p>
        </w:tc>
        <w:tc>
          <w:tcPr>
            <w:tcW w:w="880" w:type="dxa"/>
            <w:vAlign w:val="bottom"/>
          </w:tcPr>
          <w:p>
            <w:pPr>
              <w:ind w:left="120"/>
              <w:spacing w:after="0" w:line="138" w:lineRule="exact"/>
              <w:rPr>
                <w:sz w:val="20"/>
                <w:szCs w:val="20"/>
                <w:color w:val="auto"/>
              </w:rPr>
            </w:pPr>
            <w:r>
              <w:rPr>
                <w:rFonts w:ascii="Arial" w:cs="Arial" w:eastAsia="Arial" w:hAnsi="Arial"/>
                <w:sz w:val="14"/>
                <w:szCs w:val="14"/>
                <w:color w:val="auto"/>
              </w:rPr>
              <w:t>Term Loan</w:t>
            </w:r>
          </w:p>
        </w:tc>
        <w:tc>
          <w:tcPr>
            <w:tcW w:w="520" w:type="dxa"/>
            <w:vAlign w:val="bottom"/>
          </w:tcPr>
          <w:p>
            <w:pPr>
              <w:ind w:left="60"/>
              <w:spacing w:after="0" w:line="138" w:lineRule="exact"/>
              <w:rPr>
                <w:sz w:val="20"/>
                <w:szCs w:val="20"/>
                <w:color w:val="auto"/>
              </w:rPr>
            </w:pPr>
            <w:r>
              <w:rPr>
                <w:rFonts w:ascii="Arial" w:cs="Arial" w:eastAsia="Arial" w:hAnsi="Arial"/>
                <w:sz w:val="14"/>
                <w:szCs w:val="14"/>
                <w:color w:val="auto"/>
              </w:rPr>
              <w:t>Loan</w:t>
            </w: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18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880" w:type="dxa"/>
            <w:vAlign w:val="bottom"/>
          </w:tcPr>
          <w:p>
            <w:pPr>
              <w:ind w:left="120"/>
              <w:spacing w:after="0" w:line="159" w:lineRule="exact"/>
              <w:rPr>
                <w:sz w:val="20"/>
                <w:szCs w:val="20"/>
                <w:color w:val="auto"/>
              </w:rPr>
            </w:pPr>
            <w:r>
              <w:rPr>
                <w:rFonts w:ascii="Arial" w:cs="Arial" w:eastAsia="Arial" w:hAnsi="Arial"/>
                <w:sz w:val="14"/>
                <w:szCs w:val="14"/>
                <w:color w:val="auto"/>
              </w:rPr>
              <w:t>(First Lien)</w:t>
            </w:r>
          </w:p>
        </w:tc>
        <w:tc>
          <w:tcPr>
            <w:tcW w:w="520" w:type="dxa"/>
            <w:vAlign w:val="bottom"/>
          </w:tcPr>
          <w:p>
            <w:pPr>
              <w:spacing w:after="0"/>
              <w:rPr>
                <w:sz w:val="13"/>
                <w:szCs w:val="13"/>
                <w:color w:val="auto"/>
              </w:rPr>
            </w:pPr>
          </w:p>
        </w:tc>
        <w:tc>
          <w:tcPr>
            <w:tcW w:w="680" w:type="dxa"/>
            <w:vAlign w:val="bottom"/>
          </w:tcPr>
          <w:p>
            <w:pPr>
              <w:jc w:val="right"/>
              <w:spacing w:after="0" w:line="159" w:lineRule="exact"/>
              <w:rPr>
                <w:sz w:val="20"/>
                <w:szCs w:val="20"/>
                <w:color w:val="auto"/>
              </w:rPr>
            </w:pPr>
            <w:r>
              <w:rPr>
                <w:rFonts w:ascii="Arial" w:cs="Arial" w:eastAsia="Arial" w:hAnsi="Arial"/>
                <w:sz w:val="14"/>
                <w:szCs w:val="14"/>
                <w:color w:val="auto"/>
              </w:rPr>
              <w:t>4.50%</w:t>
            </w:r>
          </w:p>
        </w:tc>
        <w:tc>
          <w:tcPr>
            <w:tcW w:w="760" w:type="dxa"/>
            <w:vAlign w:val="bottom"/>
          </w:tcPr>
          <w:p>
            <w:pPr>
              <w:jc w:val="right"/>
              <w:ind w:right="32"/>
              <w:spacing w:after="0" w:line="159" w:lineRule="exact"/>
              <w:rPr>
                <w:sz w:val="20"/>
                <w:szCs w:val="20"/>
                <w:color w:val="auto"/>
              </w:rPr>
            </w:pPr>
            <w:r>
              <w:rPr>
                <w:rFonts w:ascii="Arial" w:cs="Arial" w:eastAsia="Arial" w:hAnsi="Arial"/>
                <w:sz w:val="14"/>
                <w:szCs w:val="14"/>
                <w:color w:val="auto"/>
              </w:rPr>
              <w:t>6/30/2021</w:t>
            </w:r>
          </w:p>
        </w:tc>
        <w:tc>
          <w:tcPr>
            <w:tcW w:w="120" w:type="dxa"/>
            <w:vAlign w:val="bottom"/>
          </w:tcPr>
          <w:p>
            <w:pPr>
              <w:spacing w:after="0" w:line="159"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w w:val="90"/>
              </w:rPr>
              <w:t>997,500</w:t>
            </w:r>
          </w:p>
        </w:tc>
        <w:tc>
          <w:tcPr>
            <w:tcW w:w="80" w:type="dxa"/>
            <w:vAlign w:val="bottom"/>
          </w:tcPr>
          <w:p>
            <w:pPr>
              <w:spacing w:after="0"/>
              <w:rPr>
                <w:sz w:val="13"/>
                <w:szCs w:val="13"/>
                <w:color w:val="auto"/>
              </w:rPr>
            </w:pPr>
          </w:p>
        </w:tc>
        <w:tc>
          <w:tcPr>
            <w:tcW w:w="74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995,166</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jc w:val="right"/>
              <w:spacing w:after="0" w:line="159" w:lineRule="exact"/>
              <w:rPr>
                <w:sz w:val="20"/>
                <w:szCs w:val="20"/>
                <w:color w:val="auto"/>
              </w:rPr>
            </w:pPr>
            <w:r>
              <w:rPr>
                <w:rFonts w:ascii="Arial" w:cs="Arial" w:eastAsia="Arial" w:hAnsi="Arial"/>
                <w:sz w:val="14"/>
                <w:szCs w:val="14"/>
                <w:color w:val="auto"/>
              </w:rPr>
              <w:t>996,253</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18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Sonneborn, LLC</w:t>
            </w:r>
          </w:p>
        </w:tc>
        <w:tc>
          <w:tcPr>
            <w:tcW w:w="1900" w:type="dxa"/>
            <w:vAlign w:val="bottom"/>
            <w:shd w:val="clear" w:color="auto" w:fill="CCEEFF"/>
          </w:tcPr>
          <w:p>
            <w:pPr>
              <w:ind w:left="320"/>
              <w:spacing w:after="0" w:line="138" w:lineRule="exact"/>
              <w:rPr>
                <w:sz w:val="20"/>
                <w:szCs w:val="20"/>
                <w:color w:val="auto"/>
              </w:rPr>
            </w:pPr>
            <w:r>
              <w:rPr>
                <w:rFonts w:ascii="Arial" w:cs="Arial" w:eastAsia="Arial" w:hAnsi="Arial"/>
                <w:sz w:val="14"/>
                <w:szCs w:val="14"/>
                <w:color w:val="auto"/>
              </w:rPr>
              <w:t>Chemicals/Plastics</w:t>
            </w:r>
          </w:p>
        </w:tc>
        <w:tc>
          <w:tcPr>
            <w:tcW w:w="880" w:type="dxa"/>
            <w:vAlign w:val="bottom"/>
            <w:shd w:val="clear" w:color="auto" w:fill="CCEEFF"/>
          </w:tcPr>
          <w:p>
            <w:pPr>
              <w:ind w:left="120"/>
              <w:spacing w:after="0" w:line="138" w:lineRule="exact"/>
              <w:rPr>
                <w:sz w:val="20"/>
                <w:szCs w:val="20"/>
                <w:color w:val="auto"/>
              </w:rPr>
            </w:pPr>
            <w:r>
              <w:rPr>
                <w:rFonts w:ascii="Arial" w:cs="Arial" w:eastAsia="Arial" w:hAnsi="Arial"/>
                <w:sz w:val="14"/>
                <w:szCs w:val="14"/>
                <w:color w:val="auto"/>
              </w:rPr>
              <w:t>Term Loan</w:t>
            </w:r>
          </w:p>
        </w:tc>
        <w:tc>
          <w:tcPr>
            <w:tcW w:w="520" w:type="dxa"/>
            <w:vAlign w:val="bottom"/>
            <w:shd w:val="clear" w:color="auto" w:fill="CCEEFF"/>
          </w:tcPr>
          <w:p>
            <w:pPr>
              <w:ind w:left="60"/>
              <w:spacing w:after="0" w:line="138" w:lineRule="exact"/>
              <w:rPr>
                <w:sz w:val="20"/>
                <w:szCs w:val="20"/>
                <w:color w:val="auto"/>
              </w:rPr>
            </w:pPr>
            <w:r>
              <w:rPr>
                <w:rFonts w:ascii="Arial" w:cs="Arial" w:eastAsia="Arial" w:hAnsi="Arial"/>
                <w:sz w:val="14"/>
                <w:szCs w:val="14"/>
                <w:color w:val="auto"/>
              </w:rPr>
              <w:t>Loan</w:t>
            </w:r>
          </w:p>
        </w:tc>
        <w:tc>
          <w:tcPr>
            <w:tcW w:w="6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180" w:type="dxa"/>
            <w:vAlign w:val="bottom"/>
            <w:shd w:val="clear" w:color="auto" w:fill="CCEEFF"/>
          </w:tcPr>
          <w:p>
            <w:pPr>
              <w:spacing w:after="0"/>
              <w:rPr>
                <w:sz w:val="13"/>
                <w:szCs w:val="13"/>
                <w:color w:val="auto"/>
              </w:rPr>
            </w:pPr>
          </w:p>
        </w:tc>
        <w:tc>
          <w:tcPr>
            <w:tcW w:w="1900" w:type="dxa"/>
            <w:vAlign w:val="bottom"/>
            <w:shd w:val="clear" w:color="auto" w:fill="CCEEFF"/>
          </w:tcPr>
          <w:p>
            <w:pPr>
              <w:spacing w:after="0"/>
              <w:rPr>
                <w:sz w:val="13"/>
                <w:szCs w:val="13"/>
                <w:color w:val="auto"/>
              </w:rPr>
            </w:pPr>
          </w:p>
        </w:tc>
        <w:tc>
          <w:tcPr>
            <w:tcW w:w="880" w:type="dxa"/>
            <w:vAlign w:val="bottom"/>
            <w:shd w:val="clear" w:color="auto" w:fill="CCEEFF"/>
          </w:tcPr>
          <w:p>
            <w:pPr>
              <w:ind w:left="120"/>
              <w:spacing w:after="0" w:line="159" w:lineRule="exact"/>
              <w:rPr>
                <w:sz w:val="20"/>
                <w:szCs w:val="20"/>
                <w:color w:val="auto"/>
              </w:rPr>
            </w:pPr>
            <w:r>
              <w:rPr>
                <w:rFonts w:ascii="Arial" w:cs="Arial" w:eastAsia="Arial" w:hAnsi="Arial"/>
                <w:sz w:val="14"/>
                <w:szCs w:val="14"/>
                <w:color w:val="auto"/>
              </w:rPr>
              <w:t>(First Lien)</w:t>
            </w:r>
          </w:p>
        </w:tc>
        <w:tc>
          <w:tcPr>
            <w:tcW w:w="52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5.50%</w:t>
            </w:r>
          </w:p>
        </w:tc>
        <w:tc>
          <w:tcPr>
            <w:tcW w:w="760" w:type="dxa"/>
            <w:vAlign w:val="bottom"/>
            <w:shd w:val="clear" w:color="auto" w:fill="CCEEFF"/>
          </w:tcPr>
          <w:p>
            <w:pPr>
              <w:jc w:val="right"/>
              <w:ind w:right="32"/>
              <w:spacing w:after="0" w:line="159" w:lineRule="exact"/>
              <w:rPr>
                <w:sz w:val="20"/>
                <w:szCs w:val="20"/>
                <w:color w:val="auto"/>
              </w:rPr>
            </w:pPr>
            <w:r>
              <w:rPr>
                <w:rFonts w:ascii="Arial" w:cs="Arial" w:eastAsia="Arial" w:hAnsi="Arial"/>
                <w:sz w:val="14"/>
                <w:szCs w:val="14"/>
                <w:color w:val="auto"/>
                <w:w w:val="91"/>
              </w:rPr>
              <w:t>12/10/2020</w:t>
            </w:r>
          </w:p>
        </w:tc>
        <w:tc>
          <w:tcPr>
            <w:tcW w:w="12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w w:val="90"/>
              </w:rPr>
              <w:t>225,000</w:t>
            </w:r>
          </w:p>
        </w:tc>
        <w:tc>
          <w:tcPr>
            <w:tcW w:w="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224,471</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225,000</w:t>
            </w: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180" w:type="dxa"/>
            <w:vAlign w:val="bottom"/>
          </w:tcPr>
          <w:p>
            <w:pPr>
              <w:spacing w:after="0" w:line="138" w:lineRule="exact"/>
              <w:rPr>
                <w:sz w:val="20"/>
                <w:szCs w:val="20"/>
                <w:color w:val="auto"/>
              </w:rPr>
            </w:pPr>
            <w:r>
              <w:rPr>
                <w:rFonts w:ascii="Arial" w:cs="Arial" w:eastAsia="Arial" w:hAnsi="Arial"/>
                <w:sz w:val="14"/>
                <w:szCs w:val="14"/>
                <w:color w:val="auto"/>
              </w:rPr>
              <w:t>Sonneborn, LLC</w:t>
            </w:r>
          </w:p>
        </w:tc>
        <w:tc>
          <w:tcPr>
            <w:tcW w:w="1900" w:type="dxa"/>
            <w:vAlign w:val="bottom"/>
          </w:tcPr>
          <w:p>
            <w:pPr>
              <w:ind w:left="320"/>
              <w:spacing w:after="0" w:line="138" w:lineRule="exact"/>
              <w:rPr>
                <w:sz w:val="20"/>
                <w:szCs w:val="20"/>
                <w:color w:val="auto"/>
              </w:rPr>
            </w:pPr>
            <w:r>
              <w:rPr>
                <w:rFonts w:ascii="Arial" w:cs="Arial" w:eastAsia="Arial" w:hAnsi="Arial"/>
                <w:sz w:val="14"/>
                <w:szCs w:val="14"/>
                <w:color w:val="auto"/>
              </w:rPr>
              <w:t>Chemicals/Plastics</w:t>
            </w:r>
          </w:p>
        </w:tc>
        <w:tc>
          <w:tcPr>
            <w:tcW w:w="880" w:type="dxa"/>
            <w:vAlign w:val="bottom"/>
          </w:tcPr>
          <w:p>
            <w:pPr>
              <w:ind w:left="120"/>
              <w:spacing w:after="0" w:line="138" w:lineRule="exact"/>
              <w:rPr>
                <w:sz w:val="20"/>
                <w:szCs w:val="20"/>
                <w:color w:val="auto"/>
              </w:rPr>
            </w:pPr>
            <w:r>
              <w:rPr>
                <w:rFonts w:ascii="Arial" w:cs="Arial" w:eastAsia="Arial" w:hAnsi="Arial"/>
                <w:sz w:val="14"/>
                <w:szCs w:val="14"/>
                <w:color w:val="auto"/>
              </w:rPr>
              <w:t>Initial US</w:t>
            </w:r>
          </w:p>
        </w:tc>
        <w:tc>
          <w:tcPr>
            <w:tcW w:w="520" w:type="dxa"/>
            <w:vAlign w:val="bottom"/>
          </w:tcPr>
          <w:p>
            <w:pPr>
              <w:ind w:left="60"/>
              <w:spacing w:after="0" w:line="138" w:lineRule="exact"/>
              <w:rPr>
                <w:sz w:val="20"/>
                <w:szCs w:val="20"/>
                <w:color w:val="auto"/>
              </w:rPr>
            </w:pPr>
            <w:r>
              <w:rPr>
                <w:rFonts w:ascii="Arial" w:cs="Arial" w:eastAsia="Arial" w:hAnsi="Arial"/>
                <w:sz w:val="14"/>
                <w:szCs w:val="14"/>
                <w:color w:val="auto"/>
              </w:rPr>
              <w:t>Loan</w:t>
            </w: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18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880" w:type="dxa"/>
            <w:vAlign w:val="bottom"/>
          </w:tcPr>
          <w:p>
            <w:pPr>
              <w:ind w:left="120"/>
              <w:spacing w:after="0" w:line="159" w:lineRule="exact"/>
              <w:rPr>
                <w:sz w:val="20"/>
                <w:szCs w:val="20"/>
                <w:color w:val="auto"/>
              </w:rPr>
            </w:pPr>
            <w:r>
              <w:rPr>
                <w:rFonts w:ascii="Arial" w:cs="Arial" w:eastAsia="Arial" w:hAnsi="Arial"/>
                <w:sz w:val="14"/>
                <w:szCs w:val="14"/>
                <w:color w:val="auto"/>
              </w:rPr>
              <w:t>Term Loan</w:t>
            </w:r>
          </w:p>
        </w:tc>
        <w:tc>
          <w:tcPr>
            <w:tcW w:w="520" w:type="dxa"/>
            <w:vAlign w:val="bottom"/>
          </w:tcPr>
          <w:p>
            <w:pPr>
              <w:spacing w:after="0"/>
              <w:rPr>
                <w:sz w:val="13"/>
                <w:szCs w:val="13"/>
                <w:color w:val="auto"/>
              </w:rPr>
            </w:pPr>
          </w:p>
        </w:tc>
        <w:tc>
          <w:tcPr>
            <w:tcW w:w="680" w:type="dxa"/>
            <w:vAlign w:val="bottom"/>
          </w:tcPr>
          <w:p>
            <w:pPr>
              <w:jc w:val="right"/>
              <w:spacing w:after="0" w:line="159" w:lineRule="exact"/>
              <w:rPr>
                <w:sz w:val="20"/>
                <w:szCs w:val="20"/>
                <w:color w:val="auto"/>
              </w:rPr>
            </w:pPr>
            <w:r>
              <w:rPr>
                <w:rFonts w:ascii="Arial" w:cs="Arial" w:eastAsia="Arial" w:hAnsi="Arial"/>
                <w:sz w:val="14"/>
                <w:szCs w:val="14"/>
                <w:color w:val="auto"/>
              </w:rPr>
              <w:t>5.50%</w:t>
            </w:r>
          </w:p>
        </w:tc>
        <w:tc>
          <w:tcPr>
            <w:tcW w:w="760" w:type="dxa"/>
            <w:vAlign w:val="bottom"/>
          </w:tcPr>
          <w:p>
            <w:pPr>
              <w:jc w:val="right"/>
              <w:ind w:right="32"/>
              <w:spacing w:after="0" w:line="159" w:lineRule="exact"/>
              <w:rPr>
                <w:sz w:val="20"/>
                <w:szCs w:val="20"/>
                <w:color w:val="auto"/>
              </w:rPr>
            </w:pPr>
            <w:r>
              <w:rPr>
                <w:rFonts w:ascii="Arial" w:cs="Arial" w:eastAsia="Arial" w:hAnsi="Arial"/>
                <w:sz w:val="14"/>
                <w:szCs w:val="14"/>
                <w:color w:val="auto"/>
                <w:w w:val="91"/>
              </w:rPr>
              <w:t>12/10/2020</w:t>
            </w:r>
          </w:p>
        </w:tc>
        <w:tc>
          <w:tcPr>
            <w:tcW w:w="760" w:type="dxa"/>
            <w:vAlign w:val="bottom"/>
            <w:gridSpan w:val="3"/>
          </w:tcPr>
          <w:p>
            <w:pPr>
              <w:jc w:val="right"/>
              <w:ind w:right="160"/>
              <w:spacing w:after="0" w:line="159" w:lineRule="exact"/>
              <w:rPr>
                <w:sz w:val="20"/>
                <w:szCs w:val="20"/>
                <w:color w:val="auto"/>
              </w:rPr>
            </w:pPr>
            <w:r>
              <w:rPr>
                <w:rFonts w:ascii="Arial" w:cs="Arial" w:eastAsia="Arial" w:hAnsi="Arial"/>
                <w:sz w:val="14"/>
                <w:szCs w:val="14"/>
                <w:color w:val="auto"/>
                <w:w w:val="82"/>
              </w:rPr>
              <w:t>$1,275,000</w:t>
            </w:r>
          </w:p>
        </w:tc>
        <w:tc>
          <w:tcPr>
            <w:tcW w:w="80" w:type="dxa"/>
            <w:vAlign w:val="bottom"/>
          </w:tcPr>
          <w:p>
            <w:pPr>
              <w:spacing w:after="0"/>
              <w:rPr>
                <w:sz w:val="13"/>
                <w:szCs w:val="13"/>
                <w:color w:val="auto"/>
              </w:rPr>
            </w:pPr>
          </w:p>
        </w:tc>
        <w:tc>
          <w:tcPr>
            <w:tcW w:w="74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1,272,004</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jc w:val="right"/>
              <w:spacing w:after="0" w:line="159" w:lineRule="exact"/>
              <w:rPr>
                <w:sz w:val="20"/>
                <w:szCs w:val="20"/>
                <w:color w:val="auto"/>
              </w:rPr>
            </w:pPr>
            <w:r>
              <w:rPr>
                <w:rFonts w:ascii="Arial" w:cs="Arial" w:eastAsia="Arial" w:hAnsi="Arial"/>
                <w:sz w:val="14"/>
                <w:szCs w:val="14"/>
                <w:color w:val="auto"/>
              </w:rPr>
              <w:t>1,275,000</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18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Sophia, L.P.</w:t>
            </w:r>
          </w:p>
        </w:tc>
        <w:tc>
          <w:tcPr>
            <w:tcW w:w="1900" w:type="dxa"/>
            <w:vAlign w:val="bottom"/>
            <w:shd w:val="clear" w:color="auto" w:fill="CCEEFF"/>
          </w:tcPr>
          <w:p>
            <w:pPr>
              <w:ind w:left="320"/>
              <w:spacing w:after="0" w:line="138" w:lineRule="exact"/>
              <w:rPr>
                <w:sz w:val="20"/>
                <w:szCs w:val="20"/>
                <w:color w:val="auto"/>
              </w:rPr>
            </w:pPr>
            <w:r>
              <w:rPr>
                <w:rFonts w:ascii="Arial" w:cs="Arial" w:eastAsia="Arial" w:hAnsi="Arial"/>
                <w:sz w:val="14"/>
                <w:szCs w:val="14"/>
                <w:color w:val="auto"/>
              </w:rPr>
              <w:t>Electronics/Electric</w:t>
            </w:r>
          </w:p>
        </w:tc>
        <w:tc>
          <w:tcPr>
            <w:tcW w:w="880" w:type="dxa"/>
            <w:vAlign w:val="bottom"/>
            <w:shd w:val="clear" w:color="auto" w:fill="CCEEFF"/>
          </w:tcPr>
          <w:p>
            <w:pPr>
              <w:ind w:left="120"/>
              <w:spacing w:after="0" w:line="138" w:lineRule="exact"/>
              <w:rPr>
                <w:sz w:val="20"/>
                <w:szCs w:val="20"/>
                <w:color w:val="auto"/>
              </w:rPr>
            </w:pPr>
            <w:r>
              <w:rPr>
                <w:rFonts w:ascii="Arial" w:cs="Arial" w:eastAsia="Arial" w:hAnsi="Arial"/>
                <w:sz w:val="14"/>
                <w:szCs w:val="14"/>
                <w:color w:val="auto"/>
              </w:rPr>
              <w:t>Term B</w:t>
            </w:r>
          </w:p>
        </w:tc>
        <w:tc>
          <w:tcPr>
            <w:tcW w:w="520" w:type="dxa"/>
            <w:vAlign w:val="bottom"/>
            <w:shd w:val="clear" w:color="auto" w:fill="CCEEFF"/>
          </w:tcPr>
          <w:p>
            <w:pPr>
              <w:ind w:left="60"/>
              <w:spacing w:after="0" w:line="138" w:lineRule="exact"/>
              <w:rPr>
                <w:sz w:val="20"/>
                <w:szCs w:val="20"/>
                <w:color w:val="auto"/>
              </w:rPr>
            </w:pPr>
            <w:r>
              <w:rPr>
                <w:rFonts w:ascii="Arial" w:cs="Arial" w:eastAsia="Arial" w:hAnsi="Arial"/>
                <w:sz w:val="14"/>
                <w:szCs w:val="14"/>
                <w:color w:val="auto"/>
              </w:rPr>
              <w:t>Loan</w:t>
            </w:r>
          </w:p>
        </w:tc>
        <w:tc>
          <w:tcPr>
            <w:tcW w:w="6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180" w:type="dxa"/>
            <w:vAlign w:val="bottom"/>
            <w:shd w:val="clear" w:color="auto" w:fill="CCEEFF"/>
          </w:tcPr>
          <w:p>
            <w:pPr>
              <w:spacing w:after="0"/>
              <w:rPr>
                <w:sz w:val="13"/>
                <w:szCs w:val="13"/>
                <w:color w:val="auto"/>
              </w:rPr>
            </w:pPr>
          </w:p>
        </w:tc>
        <w:tc>
          <w:tcPr>
            <w:tcW w:w="1900" w:type="dxa"/>
            <w:vAlign w:val="bottom"/>
            <w:shd w:val="clear" w:color="auto" w:fill="CCEEFF"/>
          </w:tcPr>
          <w:p>
            <w:pPr>
              <w:spacing w:after="0"/>
              <w:rPr>
                <w:sz w:val="13"/>
                <w:szCs w:val="13"/>
                <w:color w:val="auto"/>
              </w:rPr>
            </w:pPr>
          </w:p>
        </w:tc>
        <w:tc>
          <w:tcPr>
            <w:tcW w:w="880" w:type="dxa"/>
            <w:vAlign w:val="bottom"/>
            <w:shd w:val="clear" w:color="auto" w:fill="CCEEFF"/>
          </w:tcPr>
          <w:p>
            <w:pPr>
              <w:ind w:left="120"/>
              <w:spacing w:after="0" w:line="159" w:lineRule="exact"/>
              <w:rPr>
                <w:sz w:val="20"/>
                <w:szCs w:val="20"/>
                <w:color w:val="auto"/>
              </w:rPr>
            </w:pPr>
            <w:r>
              <w:rPr>
                <w:rFonts w:ascii="Arial" w:cs="Arial" w:eastAsia="Arial" w:hAnsi="Arial"/>
                <w:sz w:val="14"/>
                <w:szCs w:val="14"/>
                <w:color w:val="auto"/>
              </w:rPr>
              <w:t>Loan</w:t>
            </w:r>
          </w:p>
        </w:tc>
        <w:tc>
          <w:tcPr>
            <w:tcW w:w="52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4.00%</w:t>
            </w:r>
          </w:p>
        </w:tc>
        <w:tc>
          <w:tcPr>
            <w:tcW w:w="760" w:type="dxa"/>
            <w:vAlign w:val="bottom"/>
            <w:shd w:val="clear" w:color="auto" w:fill="CCEEFF"/>
          </w:tcPr>
          <w:p>
            <w:pPr>
              <w:jc w:val="right"/>
              <w:ind w:right="32"/>
              <w:spacing w:after="0" w:line="159" w:lineRule="exact"/>
              <w:rPr>
                <w:sz w:val="20"/>
                <w:szCs w:val="20"/>
                <w:color w:val="auto"/>
              </w:rPr>
            </w:pPr>
            <w:r>
              <w:rPr>
                <w:rFonts w:ascii="Arial" w:cs="Arial" w:eastAsia="Arial" w:hAnsi="Arial"/>
                <w:sz w:val="14"/>
                <w:szCs w:val="14"/>
                <w:color w:val="auto"/>
              </w:rPr>
              <w:t>7/19/2018</w:t>
            </w:r>
          </w:p>
        </w:tc>
        <w:tc>
          <w:tcPr>
            <w:tcW w:w="12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w w:val="90"/>
              </w:rPr>
              <w:t>886,138</w:t>
            </w:r>
          </w:p>
        </w:tc>
        <w:tc>
          <w:tcPr>
            <w:tcW w:w="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877,732</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884,756</w:t>
            </w: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180" w:type="dxa"/>
            <w:vAlign w:val="bottom"/>
          </w:tcPr>
          <w:p>
            <w:pPr>
              <w:spacing w:after="0" w:line="138" w:lineRule="exact"/>
              <w:rPr>
                <w:sz w:val="20"/>
                <w:szCs w:val="20"/>
                <w:color w:val="auto"/>
              </w:rPr>
            </w:pPr>
            <w:r>
              <w:rPr>
                <w:rFonts w:ascii="Arial" w:cs="Arial" w:eastAsia="Arial" w:hAnsi="Arial"/>
                <w:sz w:val="14"/>
                <w:szCs w:val="14"/>
                <w:color w:val="auto"/>
              </w:rPr>
              <w:t>SourceHOV LLC</w:t>
            </w:r>
          </w:p>
        </w:tc>
        <w:tc>
          <w:tcPr>
            <w:tcW w:w="1900" w:type="dxa"/>
            <w:vAlign w:val="bottom"/>
          </w:tcPr>
          <w:p>
            <w:pPr>
              <w:ind w:left="320"/>
              <w:spacing w:after="0" w:line="138" w:lineRule="exact"/>
              <w:rPr>
                <w:sz w:val="20"/>
                <w:szCs w:val="20"/>
                <w:color w:val="auto"/>
              </w:rPr>
            </w:pPr>
            <w:r>
              <w:rPr>
                <w:rFonts w:ascii="Arial" w:cs="Arial" w:eastAsia="Arial" w:hAnsi="Arial"/>
                <w:sz w:val="14"/>
                <w:szCs w:val="14"/>
                <w:color w:val="auto"/>
              </w:rPr>
              <w:t>Services: Business</w:t>
            </w:r>
          </w:p>
        </w:tc>
        <w:tc>
          <w:tcPr>
            <w:tcW w:w="880" w:type="dxa"/>
            <w:vAlign w:val="bottom"/>
          </w:tcPr>
          <w:p>
            <w:pPr>
              <w:ind w:left="120"/>
              <w:spacing w:after="0" w:line="138" w:lineRule="exact"/>
              <w:rPr>
                <w:sz w:val="20"/>
                <w:szCs w:val="20"/>
                <w:color w:val="auto"/>
              </w:rPr>
            </w:pPr>
            <w:r>
              <w:rPr>
                <w:rFonts w:ascii="Arial" w:cs="Arial" w:eastAsia="Arial" w:hAnsi="Arial"/>
                <w:sz w:val="14"/>
                <w:szCs w:val="14"/>
                <w:color w:val="auto"/>
              </w:rPr>
              <w:t>Term Loan</w:t>
            </w:r>
          </w:p>
        </w:tc>
        <w:tc>
          <w:tcPr>
            <w:tcW w:w="520" w:type="dxa"/>
            <w:vAlign w:val="bottom"/>
          </w:tcPr>
          <w:p>
            <w:pPr>
              <w:ind w:left="60"/>
              <w:spacing w:after="0" w:line="138" w:lineRule="exact"/>
              <w:rPr>
                <w:sz w:val="20"/>
                <w:szCs w:val="20"/>
                <w:color w:val="auto"/>
              </w:rPr>
            </w:pPr>
            <w:r>
              <w:rPr>
                <w:rFonts w:ascii="Arial" w:cs="Arial" w:eastAsia="Arial" w:hAnsi="Arial"/>
                <w:sz w:val="14"/>
                <w:szCs w:val="14"/>
                <w:color w:val="auto"/>
              </w:rPr>
              <w:t>Loan</w:t>
            </w: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880" w:type="dxa"/>
            <w:vAlign w:val="bottom"/>
          </w:tcPr>
          <w:p>
            <w:pPr>
              <w:ind w:left="120"/>
              <w:spacing w:after="0" w:line="149" w:lineRule="exact"/>
              <w:rPr>
                <w:sz w:val="20"/>
                <w:szCs w:val="20"/>
                <w:color w:val="auto"/>
              </w:rPr>
            </w:pPr>
            <w:r>
              <w:rPr>
                <w:rFonts w:ascii="Arial" w:cs="Arial" w:eastAsia="Arial" w:hAnsi="Arial"/>
                <w:sz w:val="14"/>
                <w:szCs w:val="14"/>
                <w:color w:val="auto"/>
              </w:rPr>
              <w:t>B (First</w:t>
            </w:r>
          </w:p>
        </w:tc>
        <w:tc>
          <w:tcPr>
            <w:tcW w:w="5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18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880" w:type="dxa"/>
            <w:vAlign w:val="bottom"/>
          </w:tcPr>
          <w:p>
            <w:pPr>
              <w:ind w:left="120"/>
              <w:spacing w:after="0" w:line="159" w:lineRule="exact"/>
              <w:rPr>
                <w:sz w:val="20"/>
                <w:szCs w:val="20"/>
                <w:color w:val="auto"/>
              </w:rPr>
            </w:pPr>
            <w:r>
              <w:rPr>
                <w:rFonts w:ascii="Arial" w:cs="Arial" w:eastAsia="Arial" w:hAnsi="Arial"/>
                <w:sz w:val="14"/>
                <w:szCs w:val="14"/>
                <w:color w:val="auto"/>
              </w:rPr>
              <w:t>Lien)</w:t>
            </w:r>
          </w:p>
        </w:tc>
        <w:tc>
          <w:tcPr>
            <w:tcW w:w="520" w:type="dxa"/>
            <w:vAlign w:val="bottom"/>
          </w:tcPr>
          <w:p>
            <w:pPr>
              <w:spacing w:after="0"/>
              <w:rPr>
                <w:sz w:val="13"/>
                <w:szCs w:val="13"/>
                <w:color w:val="auto"/>
              </w:rPr>
            </w:pPr>
          </w:p>
        </w:tc>
        <w:tc>
          <w:tcPr>
            <w:tcW w:w="680" w:type="dxa"/>
            <w:vAlign w:val="bottom"/>
          </w:tcPr>
          <w:p>
            <w:pPr>
              <w:jc w:val="right"/>
              <w:spacing w:after="0" w:line="159" w:lineRule="exact"/>
              <w:rPr>
                <w:sz w:val="20"/>
                <w:szCs w:val="20"/>
                <w:color w:val="auto"/>
              </w:rPr>
            </w:pPr>
            <w:r>
              <w:rPr>
                <w:rFonts w:ascii="Arial" w:cs="Arial" w:eastAsia="Arial" w:hAnsi="Arial"/>
                <w:sz w:val="14"/>
                <w:szCs w:val="14"/>
                <w:color w:val="auto"/>
              </w:rPr>
              <w:t>7.75%</w:t>
            </w:r>
          </w:p>
        </w:tc>
        <w:tc>
          <w:tcPr>
            <w:tcW w:w="760" w:type="dxa"/>
            <w:vAlign w:val="bottom"/>
          </w:tcPr>
          <w:p>
            <w:pPr>
              <w:jc w:val="right"/>
              <w:ind w:right="32"/>
              <w:spacing w:after="0" w:line="159" w:lineRule="exact"/>
              <w:rPr>
                <w:sz w:val="20"/>
                <w:szCs w:val="20"/>
                <w:color w:val="auto"/>
              </w:rPr>
            </w:pPr>
            <w:r>
              <w:rPr>
                <w:rFonts w:ascii="Arial" w:cs="Arial" w:eastAsia="Arial" w:hAnsi="Arial"/>
                <w:sz w:val="14"/>
                <w:szCs w:val="14"/>
                <w:color w:val="auto"/>
                <w:w w:val="91"/>
              </w:rPr>
              <w:t>10/31/2019</w:t>
            </w:r>
          </w:p>
        </w:tc>
        <w:tc>
          <w:tcPr>
            <w:tcW w:w="760" w:type="dxa"/>
            <w:vAlign w:val="bottom"/>
            <w:gridSpan w:val="3"/>
          </w:tcPr>
          <w:p>
            <w:pPr>
              <w:jc w:val="right"/>
              <w:ind w:right="160"/>
              <w:spacing w:after="0" w:line="159" w:lineRule="exact"/>
              <w:rPr>
                <w:sz w:val="20"/>
                <w:szCs w:val="20"/>
                <w:color w:val="auto"/>
              </w:rPr>
            </w:pPr>
            <w:r>
              <w:rPr>
                <w:rFonts w:ascii="Arial" w:cs="Arial" w:eastAsia="Arial" w:hAnsi="Arial"/>
                <w:sz w:val="14"/>
                <w:szCs w:val="14"/>
                <w:color w:val="auto"/>
                <w:w w:val="82"/>
              </w:rPr>
              <w:t>$2,000,000</w:t>
            </w:r>
          </w:p>
        </w:tc>
        <w:tc>
          <w:tcPr>
            <w:tcW w:w="80" w:type="dxa"/>
            <w:vAlign w:val="bottom"/>
          </w:tcPr>
          <w:p>
            <w:pPr>
              <w:spacing w:after="0"/>
              <w:rPr>
                <w:sz w:val="13"/>
                <w:szCs w:val="13"/>
                <w:color w:val="auto"/>
              </w:rPr>
            </w:pPr>
          </w:p>
        </w:tc>
        <w:tc>
          <w:tcPr>
            <w:tcW w:w="74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1,942,284</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jc w:val="right"/>
              <w:spacing w:after="0" w:line="159" w:lineRule="exact"/>
              <w:rPr>
                <w:sz w:val="20"/>
                <w:szCs w:val="20"/>
                <w:color w:val="auto"/>
              </w:rPr>
            </w:pPr>
            <w:r>
              <w:rPr>
                <w:rFonts w:ascii="Arial" w:cs="Arial" w:eastAsia="Arial" w:hAnsi="Arial"/>
                <w:sz w:val="14"/>
                <w:szCs w:val="14"/>
                <w:color w:val="auto"/>
              </w:rPr>
              <w:t>1,915,000</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18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Southwire Company, LLC (f.k.a Southwire Company)</w:t>
            </w:r>
          </w:p>
        </w:tc>
        <w:tc>
          <w:tcPr>
            <w:tcW w:w="1900" w:type="dxa"/>
            <w:vAlign w:val="bottom"/>
            <w:shd w:val="clear" w:color="auto" w:fill="CCEEFF"/>
          </w:tcPr>
          <w:p>
            <w:pPr>
              <w:ind w:left="320"/>
              <w:spacing w:after="0" w:line="138" w:lineRule="exact"/>
              <w:rPr>
                <w:sz w:val="20"/>
                <w:szCs w:val="20"/>
                <w:color w:val="auto"/>
              </w:rPr>
            </w:pPr>
            <w:r>
              <w:rPr>
                <w:rFonts w:ascii="Arial" w:cs="Arial" w:eastAsia="Arial" w:hAnsi="Arial"/>
                <w:sz w:val="14"/>
                <w:szCs w:val="14"/>
                <w:color w:val="auto"/>
                <w:w w:val="95"/>
              </w:rPr>
              <w:t>Building and Development</w:t>
            </w:r>
          </w:p>
        </w:tc>
        <w:tc>
          <w:tcPr>
            <w:tcW w:w="880" w:type="dxa"/>
            <w:vAlign w:val="bottom"/>
            <w:shd w:val="clear" w:color="auto" w:fill="CCEEFF"/>
          </w:tcPr>
          <w:p>
            <w:pPr>
              <w:ind w:left="120"/>
              <w:spacing w:after="0" w:line="138" w:lineRule="exact"/>
              <w:rPr>
                <w:sz w:val="20"/>
                <w:szCs w:val="20"/>
                <w:color w:val="auto"/>
              </w:rPr>
            </w:pPr>
            <w:r>
              <w:rPr>
                <w:rFonts w:ascii="Arial" w:cs="Arial" w:eastAsia="Arial" w:hAnsi="Arial"/>
                <w:sz w:val="14"/>
                <w:szCs w:val="14"/>
                <w:color w:val="auto"/>
              </w:rPr>
              <w:t>Initial Term</w:t>
            </w:r>
          </w:p>
        </w:tc>
        <w:tc>
          <w:tcPr>
            <w:tcW w:w="520" w:type="dxa"/>
            <w:vAlign w:val="bottom"/>
            <w:shd w:val="clear" w:color="auto" w:fill="CCEEFF"/>
          </w:tcPr>
          <w:p>
            <w:pPr>
              <w:ind w:left="60"/>
              <w:spacing w:after="0" w:line="138" w:lineRule="exact"/>
              <w:rPr>
                <w:sz w:val="20"/>
                <w:szCs w:val="20"/>
                <w:color w:val="auto"/>
              </w:rPr>
            </w:pPr>
            <w:r>
              <w:rPr>
                <w:rFonts w:ascii="Arial" w:cs="Arial" w:eastAsia="Arial" w:hAnsi="Arial"/>
                <w:sz w:val="14"/>
                <w:szCs w:val="14"/>
                <w:color w:val="auto"/>
              </w:rPr>
              <w:t>Loan</w:t>
            </w:r>
          </w:p>
        </w:tc>
        <w:tc>
          <w:tcPr>
            <w:tcW w:w="6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180" w:type="dxa"/>
            <w:vAlign w:val="bottom"/>
            <w:shd w:val="clear" w:color="auto" w:fill="CCEEFF"/>
          </w:tcPr>
          <w:p>
            <w:pPr>
              <w:spacing w:after="0"/>
              <w:rPr>
                <w:sz w:val="13"/>
                <w:szCs w:val="13"/>
                <w:color w:val="auto"/>
              </w:rPr>
            </w:pPr>
          </w:p>
        </w:tc>
        <w:tc>
          <w:tcPr>
            <w:tcW w:w="1900" w:type="dxa"/>
            <w:vAlign w:val="bottom"/>
            <w:shd w:val="clear" w:color="auto" w:fill="CCEEFF"/>
          </w:tcPr>
          <w:p>
            <w:pPr>
              <w:spacing w:after="0"/>
              <w:rPr>
                <w:sz w:val="13"/>
                <w:szCs w:val="13"/>
                <w:color w:val="auto"/>
              </w:rPr>
            </w:pPr>
          </w:p>
        </w:tc>
        <w:tc>
          <w:tcPr>
            <w:tcW w:w="880" w:type="dxa"/>
            <w:vAlign w:val="bottom"/>
            <w:shd w:val="clear" w:color="auto" w:fill="CCEEFF"/>
          </w:tcPr>
          <w:p>
            <w:pPr>
              <w:ind w:left="120"/>
              <w:spacing w:after="0" w:line="159" w:lineRule="exact"/>
              <w:rPr>
                <w:sz w:val="20"/>
                <w:szCs w:val="20"/>
                <w:color w:val="auto"/>
              </w:rPr>
            </w:pPr>
            <w:r>
              <w:rPr>
                <w:rFonts w:ascii="Arial" w:cs="Arial" w:eastAsia="Arial" w:hAnsi="Arial"/>
                <w:sz w:val="14"/>
                <w:szCs w:val="14"/>
                <w:color w:val="auto"/>
              </w:rPr>
              <w:t>Loan</w:t>
            </w:r>
          </w:p>
        </w:tc>
        <w:tc>
          <w:tcPr>
            <w:tcW w:w="52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3.25%</w:t>
            </w:r>
          </w:p>
        </w:tc>
        <w:tc>
          <w:tcPr>
            <w:tcW w:w="760" w:type="dxa"/>
            <w:vAlign w:val="bottom"/>
            <w:shd w:val="clear" w:color="auto" w:fill="CCEEFF"/>
          </w:tcPr>
          <w:p>
            <w:pPr>
              <w:jc w:val="right"/>
              <w:ind w:right="32"/>
              <w:spacing w:after="0" w:line="159" w:lineRule="exact"/>
              <w:rPr>
                <w:sz w:val="20"/>
                <w:szCs w:val="20"/>
                <w:color w:val="auto"/>
              </w:rPr>
            </w:pPr>
            <w:r>
              <w:rPr>
                <w:rFonts w:ascii="Arial" w:cs="Arial" w:eastAsia="Arial" w:hAnsi="Arial"/>
                <w:sz w:val="14"/>
                <w:szCs w:val="14"/>
                <w:color w:val="auto"/>
              </w:rPr>
              <w:t>2/10/2021</w:t>
            </w:r>
          </w:p>
        </w:tc>
        <w:tc>
          <w:tcPr>
            <w:tcW w:w="12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w w:val="90"/>
              </w:rPr>
              <w:t>496,250</w:t>
            </w:r>
          </w:p>
        </w:tc>
        <w:tc>
          <w:tcPr>
            <w:tcW w:w="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495,181</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485,084</w:t>
            </w: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180" w:type="dxa"/>
            <w:vAlign w:val="bottom"/>
          </w:tcPr>
          <w:p>
            <w:pPr>
              <w:spacing w:after="0" w:line="138" w:lineRule="exact"/>
              <w:rPr>
                <w:sz w:val="20"/>
                <w:szCs w:val="20"/>
                <w:color w:val="auto"/>
              </w:rPr>
            </w:pPr>
            <w:r>
              <w:rPr>
                <w:rFonts w:ascii="Arial" w:cs="Arial" w:eastAsia="Arial" w:hAnsi="Arial"/>
                <w:sz w:val="14"/>
                <w:szCs w:val="14"/>
                <w:color w:val="auto"/>
              </w:rPr>
              <w:t>SRAM, LLC</w:t>
            </w:r>
          </w:p>
        </w:tc>
        <w:tc>
          <w:tcPr>
            <w:tcW w:w="1900" w:type="dxa"/>
            <w:vAlign w:val="bottom"/>
          </w:tcPr>
          <w:p>
            <w:pPr>
              <w:ind w:left="320"/>
              <w:spacing w:after="0" w:line="138" w:lineRule="exact"/>
              <w:rPr>
                <w:sz w:val="20"/>
                <w:szCs w:val="20"/>
                <w:color w:val="auto"/>
              </w:rPr>
            </w:pPr>
            <w:r>
              <w:rPr>
                <w:rFonts w:ascii="Arial" w:cs="Arial" w:eastAsia="Arial" w:hAnsi="Arial"/>
                <w:sz w:val="14"/>
                <w:szCs w:val="14"/>
                <w:color w:val="auto"/>
              </w:rPr>
              <w:t>Industrial Equipment</w:t>
            </w:r>
          </w:p>
        </w:tc>
        <w:tc>
          <w:tcPr>
            <w:tcW w:w="880" w:type="dxa"/>
            <w:vAlign w:val="bottom"/>
          </w:tcPr>
          <w:p>
            <w:pPr>
              <w:ind w:left="120"/>
              <w:spacing w:after="0" w:line="138" w:lineRule="exact"/>
              <w:rPr>
                <w:sz w:val="20"/>
                <w:szCs w:val="20"/>
                <w:color w:val="auto"/>
              </w:rPr>
            </w:pPr>
            <w:r>
              <w:rPr>
                <w:rFonts w:ascii="Arial" w:cs="Arial" w:eastAsia="Arial" w:hAnsi="Arial"/>
                <w:sz w:val="14"/>
                <w:szCs w:val="14"/>
                <w:color w:val="auto"/>
              </w:rPr>
              <w:t>Term Loan</w:t>
            </w:r>
          </w:p>
        </w:tc>
        <w:tc>
          <w:tcPr>
            <w:tcW w:w="520" w:type="dxa"/>
            <w:vAlign w:val="bottom"/>
          </w:tcPr>
          <w:p>
            <w:pPr>
              <w:ind w:left="60"/>
              <w:spacing w:after="0" w:line="138" w:lineRule="exact"/>
              <w:rPr>
                <w:sz w:val="20"/>
                <w:szCs w:val="20"/>
                <w:color w:val="auto"/>
              </w:rPr>
            </w:pPr>
            <w:r>
              <w:rPr>
                <w:rFonts w:ascii="Arial" w:cs="Arial" w:eastAsia="Arial" w:hAnsi="Arial"/>
                <w:sz w:val="14"/>
                <w:szCs w:val="14"/>
                <w:color w:val="auto"/>
              </w:rPr>
              <w:t>Loan</w:t>
            </w: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18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880" w:type="dxa"/>
            <w:vAlign w:val="bottom"/>
          </w:tcPr>
          <w:p>
            <w:pPr>
              <w:ind w:left="120"/>
              <w:spacing w:after="0" w:line="159" w:lineRule="exact"/>
              <w:rPr>
                <w:sz w:val="20"/>
                <w:szCs w:val="20"/>
                <w:color w:val="auto"/>
              </w:rPr>
            </w:pPr>
            <w:r>
              <w:rPr>
                <w:rFonts w:ascii="Arial" w:cs="Arial" w:eastAsia="Arial" w:hAnsi="Arial"/>
                <w:sz w:val="14"/>
                <w:szCs w:val="14"/>
                <w:color w:val="auto"/>
              </w:rPr>
              <w:t>(First Lien)</w:t>
            </w:r>
          </w:p>
        </w:tc>
        <w:tc>
          <w:tcPr>
            <w:tcW w:w="520" w:type="dxa"/>
            <w:vAlign w:val="bottom"/>
          </w:tcPr>
          <w:p>
            <w:pPr>
              <w:spacing w:after="0"/>
              <w:rPr>
                <w:sz w:val="13"/>
                <w:szCs w:val="13"/>
                <w:color w:val="auto"/>
              </w:rPr>
            </w:pPr>
          </w:p>
        </w:tc>
        <w:tc>
          <w:tcPr>
            <w:tcW w:w="680" w:type="dxa"/>
            <w:vAlign w:val="bottom"/>
          </w:tcPr>
          <w:p>
            <w:pPr>
              <w:jc w:val="right"/>
              <w:spacing w:after="0" w:line="159" w:lineRule="exact"/>
              <w:rPr>
                <w:sz w:val="20"/>
                <w:szCs w:val="20"/>
                <w:color w:val="auto"/>
              </w:rPr>
            </w:pPr>
            <w:r>
              <w:rPr>
                <w:rFonts w:ascii="Arial" w:cs="Arial" w:eastAsia="Arial" w:hAnsi="Arial"/>
                <w:sz w:val="14"/>
                <w:szCs w:val="14"/>
                <w:color w:val="auto"/>
              </w:rPr>
              <w:t>4.00%</w:t>
            </w:r>
          </w:p>
        </w:tc>
        <w:tc>
          <w:tcPr>
            <w:tcW w:w="760" w:type="dxa"/>
            <w:vAlign w:val="bottom"/>
          </w:tcPr>
          <w:p>
            <w:pPr>
              <w:jc w:val="right"/>
              <w:ind w:right="32"/>
              <w:spacing w:after="0" w:line="159" w:lineRule="exact"/>
              <w:rPr>
                <w:sz w:val="20"/>
                <w:szCs w:val="20"/>
                <w:color w:val="auto"/>
              </w:rPr>
            </w:pPr>
            <w:r>
              <w:rPr>
                <w:rFonts w:ascii="Arial" w:cs="Arial" w:eastAsia="Arial" w:hAnsi="Arial"/>
                <w:sz w:val="14"/>
                <w:szCs w:val="14"/>
                <w:color w:val="auto"/>
              </w:rPr>
              <w:t>4/10/2020</w:t>
            </w:r>
          </w:p>
        </w:tc>
        <w:tc>
          <w:tcPr>
            <w:tcW w:w="760" w:type="dxa"/>
            <w:vAlign w:val="bottom"/>
            <w:gridSpan w:val="3"/>
          </w:tcPr>
          <w:p>
            <w:pPr>
              <w:jc w:val="right"/>
              <w:ind w:right="160"/>
              <w:spacing w:after="0" w:line="159" w:lineRule="exact"/>
              <w:rPr>
                <w:sz w:val="20"/>
                <w:szCs w:val="20"/>
                <w:color w:val="auto"/>
              </w:rPr>
            </w:pPr>
            <w:r>
              <w:rPr>
                <w:rFonts w:ascii="Arial" w:cs="Arial" w:eastAsia="Arial" w:hAnsi="Arial"/>
                <w:sz w:val="14"/>
                <w:szCs w:val="14"/>
                <w:color w:val="auto"/>
                <w:w w:val="82"/>
              </w:rPr>
              <w:t>$2,967,681</w:t>
            </w:r>
          </w:p>
        </w:tc>
        <w:tc>
          <w:tcPr>
            <w:tcW w:w="80" w:type="dxa"/>
            <w:vAlign w:val="bottom"/>
          </w:tcPr>
          <w:p>
            <w:pPr>
              <w:spacing w:after="0"/>
              <w:rPr>
                <w:sz w:val="13"/>
                <w:szCs w:val="13"/>
                <w:color w:val="auto"/>
              </w:rPr>
            </w:pPr>
          </w:p>
        </w:tc>
        <w:tc>
          <w:tcPr>
            <w:tcW w:w="74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2,957,888</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jc w:val="right"/>
              <w:spacing w:after="0" w:line="159" w:lineRule="exact"/>
              <w:rPr>
                <w:sz w:val="20"/>
                <w:szCs w:val="20"/>
                <w:color w:val="auto"/>
              </w:rPr>
            </w:pPr>
            <w:r>
              <w:rPr>
                <w:rFonts w:ascii="Arial" w:cs="Arial" w:eastAsia="Arial" w:hAnsi="Arial"/>
                <w:sz w:val="14"/>
                <w:szCs w:val="14"/>
                <w:color w:val="auto"/>
              </w:rPr>
              <w:t>2,952,842</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Steak ‘n Shake Operations, Inc.</w:t>
            </w:r>
          </w:p>
        </w:tc>
        <w:tc>
          <w:tcPr>
            <w:tcW w:w="190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Food Services</w:t>
            </w:r>
          </w:p>
        </w:tc>
        <w:tc>
          <w:tcPr>
            <w:tcW w:w="88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Term Loan</w:t>
            </w:r>
          </w:p>
        </w:tc>
        <w:tc>
          <w:tcPr>
            <w:tcW w:w="52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Loan</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4.75%</w:t>
            </w:r>
          </w:p>
        </w:tc>
        <w:tc>
          <w:tcPr>
            <w:tcW w:w="76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3/19/2021</w:t>
            </w:r>
          </w:p>
        </w:tc>
        <w:tc>
          <w:tcPr>
            <w:tcW w:w="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90"/>
              </w:rPr>
              <w:t>992,500</w:t>
            </w: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983,723</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975,131</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180" w:type="dxa"/>
            <w:vAlign w:val="bottom"/>
          </w:tcPr>
          <w:p>
            <w:pPr>
              <w:spacing w:after="0" w:line="138" w:lineRule="exact"/>
              <w:rPr>
                <w:sz w:val="20"/>
                <w:szCs w:val="20"/>
                <w:color w:val="auto"/>
              </w:rPr>
            </w:pPr>
            <w:r>
              <w:rPr>
                <w:rFonts w:ascii="Arial" w:cs="Arial" w:eastAsia="Arial" w:hAnsi="Arial"/>
                <w:sz w:val="14"/>
                <w:szCs w:val="14"/>
                <w:color w:val="auto"/>
              </w:rPr>
              <w:t>STHI Holding</w:t>
            </w:r>
          </w:p>
        </w:tc>
        <w:tc>
          <w:tcPr>
            <w:tcW w:w="1900" w:type="dxa"/>
            <w:vAlign w:val="bottom"/>
          </w:tcPr>
          <w:p>
            <w:pPr>
              <w:ind w:left="320"/>
              <w:spacing w:after="0" w:line="138" w:lineRule="exact"/>
              <w:rPr>
                <w:sz w:val="20"/>
                <w:szCs w:val="20"/>
                <w:color w:val="auto"/>
              </w:rPr>
            </w:pPr>
            <w:r>
              <w:rPr>
                <w:rFonts w:ascii="Arial" w:cs="Arial" w:eastAsia="Arial" w:hAnsi="Arial"/>
                <w:sz w:val="14"/>
                <w:szCs w:val="14"/>
                <w:color w:val="auto"/>
              </w:rPr>
              <w:t>Healthcare &amp;</w:t>
            </w:r>
          </w:p>
        </w:tc>
        <w:tc>
          <w:tcPr>
            <w:tcW w:w="880" w:type="dxa"/>
            <w:vAlign w:val="bottom"/>
          </w:tcPr>
          <w:p>
            <w:pPr>
              <w:ind w:left="120"/>
              <w:spacing w:after="0" w:line="138" w:lineRule="exact"/>
              <w:rPr>
                <w:sz w:val="20"/>
                <w:szCs w:val="20"/>
                <w:color w:val="auto"/>
              </w:rPr>
            </w:pPr>
            <w:r>
              <w:rPr>
                <w:rFonts w:ascii="Arial" w:cs="Arial" w:eastAsia="Arial" w:hAnsi="Arial"/>
                <w:sz w:val="14"/>
                <w:szCs w:val="14"/>
                <w:color w:val="auto"/>
              </w:rPr>
              <w:t>Term Loan</w:t>
            </w:r>
          </w:p>
        </w:tc>
        <w:tc>
          <w:tcPr>
            <w:tcW w:w="520" w:type="dxa"/>
            <w:vAlign w:val="bottom"/>
          </w:tcPr>
          <w:p>
            <w:pPr>
              <w:ind w:left="60"/>
              <w:spacing w:after="0" w:line="138" w:lineRule="exact"/>
              <w:rPr>
                <w:sz w:val="20"/>
                <w:szCs w:val="20"/>
                <w:color w:val="auto"/>
              </w:rPr>
            </w:pPr>
            <w:r>
              <w:rPr>
                <w:rFonts w:ascii="Arial" w:cs="Arial" w:eastAsia="Arial" w:hAnsi="Arial"/>
                <w:sz w:val="14"/>
                <w:szCs w:val="14"/>
                <w:color w:val="auto"/>
              </w:rPr>
              <w:t>Loan</w:t>
            </w: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180" w:type="dxa"/>
            <w:vAlign w:val="bottom"/>
          </w:tcPr>
          <w:p>
            <w:pPr>
              <w:spacing w:after="0"/>
              <w:rPr>
                <w:sz w:val="13"/>
                <w:szCs w:val="13"/>
                <w:color w:val="auto"/>
              </w:rPr>
            </w:pPr>
          </w:p>
        </w:tc>
        <w:tc>
          <w:tcPr>
            <w:tcW w:w="1900" w:type="dxa"/>
            <w:vAlign w:val="bottom"/>
          </w:tcPr>
          <w:p>
            <w:pPr>
              <w:ind w:left="320"/>
              <w:spacing w:after="0" w:line="159" w:lineRule="exact"/>
              <w:rPr>
                <w:sz w:val="20"/>
                <w:szCs w:val="20"/>
                <w:color w:val="auto"/>
              </w:rPr>
            </w:pPr>
            <w:r>
              <w:rPr>
                <w:rFonts w:ascii="Arial" w:cs="Arial" w:eastAsia="Arial" w:hAnsi="Arial"/>
                <w:sz w:val="14"/>
                <w:szCs w:val="14"/>
                <w:color w:val="auto"/>
              </w:rPr>
              <w:t>Pharmaceuticals</w:t>
            </w:r>
          </w:p>
        </w:tc>
        <w:tc>
          <w:tcPr>
            <w:tcW w:w="8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80" w:type="dxa"/>
            <w:vAlign w:val="bottom"/>
          </w:tcPr>
          <w:p>
            <w:pPr>
              <w:jc w:val="right"/>
              <w:spacing w:after="0" w:line="159" w:lineRule="exact"/>
              <w:rPr>
                <w:sz w:val="20"/>
                <w:szCs w:val="20"/>
                <w:color w:val="auto"/>
              </w:rPr>
            </w:pPr>
            <w:r>
              <w:rPr>
                <w:rFonts w:ascii="Arial" w:cs="Arial" w:eastAsia="Arial" w:hAnsi="Arial"/>
                <w:sz w:val="14"/>
                <w:szCs w:val="14"/>
                <w:color w:val="auto"/>
              </w:rPr>
              <w:t>4.50%</w:t>
            </w:r>
          </w:p>
        </w:tc>
        <w:tc>
          <w:tcPr>
            <w:tcW w:w="760" w:type="dxa"/>
            <w:vAlign w:val="bottom"/>
          </w:tcPr>
          <w:p>
            <w:pPr>
              <w:jc w:val="right"/>
              <w:ind w:right="32"/>
              <w:spacing w:after="0" w:line="159" w:lineRule="exact"/>
              <w:rPr>
                <w:sz w:val="20"/>
                <w:szCs w:val="20"/>
                <w:color w:val="auto"/>
              </w:rPr>
            </w:pPr>
            <w:r>
              <w:rPr>
                <w:rFonts w:ascii="Arial" w:cs="Arial" w:eastAsia="Arial" w:hAnsi="Arial"/>
                <w:sz w:val="14"/>
                <w:szCs w:val="14"/>
                <w:color w:val="auto"/>
              </w:rPr>
              <w:t>8/6/2021</w:t>
            </w:r>
          </w:p>
        </w:tc>
        <w:tc>
          <w:tcPr>
            <w:tcW w:w="120" w:type="dxa"/>
            <w:vAlign w:val="bottom"/>
          </w:tcPr>
          <w:p>
            <w:pPr>
              <w:spacing w:after="0" w:line="159"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w w:val="90"/>
              </w:rPr>
              <w:t>997,500</w:t>
            </w:r>
          </w:p>
        </w:tc>
        <w:tc>
          <w:tcPr>
            <w:tcW w:w="80" w:type="dxa"/>
            <w:vAlign w:val="bottom"/>
          </w:tcPr>
          <w:p>
            <w:pPr>
              <w:spacing w:after="0"/>
              <w:rPr>
                <w:sz w:val="13"/>
                <w:szCs w:val="13"/>
                <w:color w:val="auto"/>
              </w:rPr>
            </w:pPr>
          </w:p>
        </w:tc>
        <w:tc>
          <w:tcPr>
            <w:tcW w:w="74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997,500</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jc w:val="right"/>
              <w:spacing w:after="0" w:line="159" w:lineRule="exact"/>
              <w:rPr>
                <w:sz w:val="20"/>
                <w:szCs w:val="20"/>
                <w:color w:val="auto"/>
              </w:rPr>
            </w:pPr>
            <w:r>
              <w:rPr>
                <w:rFonts w:ascii="Arial" w:cs="Arial" w:eastAsia="Arial" w:hAnsi="Arial"/>
                <w:sz w:val="14"/>
                <w:szCs w:val="14"/>
                <w:color w:val="auto"/>
              </w:rPr>
              <w:t>994,388</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18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SunGard Data Systems Inc. (Solar Capital Corp.)</w:t>
            </w:r>
          </w:p>
        </w:tc>
        <w:tc>
          <w:tcPr>
            <w:tcW w:w="1900" w:type="dxa"/>
            <w:vAlign w:val="bottom"/>
            <w:shd w:val="clear" w:color="auto" w:fill="CCEEFF"/>
          </w:tcPr>
          <w:p>
            <w:pPr>
              <w:ind w:left="320"/>
              <w:spacing w:after="0" w:line="138" w:lineRule="exact"/>
              <w:rPr>
                <w:sz w:val="20"/>
                <w:szCs w:val="20"/>
                <w:color w:val="auto"/>
              </w:rPr>
            </w:pPr>
            <w:r>
              <w:rPr>
                <w:rFonts w:ascii="Arial" w:cs="Arial" w:eastAsia="Arial" w:hAnsi="Arial"/>
                <w:sz w:val="14"/>
                <w:szCs w:val="14"/>
                <w:color w:val="auto"/>
              </w:rPr>
              <w:t>Conglomerate</w:t>
            </w:r>
          </w:p>
        </w:tc>
        <w:tc>
          <w:tcPr>
            <w:tcW w:w="880" w:type="dxa"/>
            <w:vAlign w:val="bottom"/>
            <w:shd w:val="clear" w:color="auto" w:fill="CCEEFF"/>
          </w:tcPr>
          <w:p>
            <w:pPr>
              <w:ind w:left="120"/>
              <w:spacing w:after="0" w:line="138" w:lineRule="exact"/>
              <w:rPr>
                <w:sz w:val="20"/>
                <w:szCs w:val="20"/>
                <w:color w:val="auto"/>
              </w:rPr>
            </w:pPr>
            <w:r>
              <w:rPr>
                <w:rFonts w:ascii="Arial" w:cs="Arial" w:eastAsia="Arial" w:hAnsi="Arial"/>
                <w:sz w:val="14"/>
                <w:szCs w:val="14"/>
                <w:color w:val="auto"/>
              </w:rPr>
              <w:t>Tranche C</w:t>
            </w:r>
          </w:p>
        </w:tc>
        <w:tc>
          <w:tcPr>
            <w:tcW w:w="520" w:type="dxa"/>
            <w:vAlign w:val="bottom"/>
            <w:shd w:val="clear" w:color="auto" w:fill="CCEEFF"/>
          </w:tcPr>
          <w:p>
            <w:pPr>
              <w:ind w:left="60"/>
              <w:spacing w:after="0" w:line="138" w:lineRule="exact"/>
              <w:rPr>
                <w:sz w:val="20"/>
                <w:szCs w:val="20"/>
                <w:color w:val="auto"/>
              </w:rPr>
            </w:pPr>
            <w:r>
              <w:rPr>
                <w:rFonts w:ascii="Arial" w:cs="Arial" w:eastAsia="Arial" w:hAnsi="Arial"/>
                <w:sz w:val="14"/>
                <w:szCs w:val="14"/>
                <w:color w:val="auto"/>
              </w:rPr>
              <w:t>Loan</w:t>
            </w:r>
          </w:p>
        </w:tc>
        <w:tc>
          <w:tcPr>
            <w:tcW w:w="6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180" w:type="dxa"/>
            <w:vAlign w:val="bottom"/>
            <w:shd w:val="clear" w:color="auto" w:fill="CCEEFF"/>
          </w:tcPr>
          <w:p>
            <w:pPr>
              <w:spacing w:after="0"/>
              <w:rPr>
                <w:sz w:val="13"/>
                <w:szCs w:val="13"/>
                <w:color w:val="auto"/>
              </w:rPr>
            </w:pPr>
          </w:p>
        </w:tc>
        <w:tc>
          <w:tcPr>
            <w:tcW w:w="1900" w:type="dxa"/>
            <w:vAlign w:val="bottom"/>
            <w:shd w:val="clear" w:color="auto" w:fill="CCEEFF"/>
          </w:tcPr>
          <w:p>
            <w:pPr>
              <w:spacing w:after="0"/>
              <w:rPr>
                <w:sz w:val="13"/>
                <w:szCs w:val="13"/>
                <w:color w:val="auto"/>
              </w:rPr>
            </w:pPr>
          </w:p>
        </w:tc>
        <w:tc>
          <w:tcPr>
            <w:tcW w:w="880" w:type="dxa"/>
            <w:vAlign w:val="bottom"/>
            <w:shd w:val="clear" w:color="auto" w:fill="CCEEFF"/>
          </w:tcPr>
          <w:p>
            <w:pPr>
              <w:ind w:left="120"/>
              <w:spacing w:after="0" w:line="159" w:lineRule="exact"/>
              <w:rPr>
                <w:sz w:val="20"/>
                <w:szCs w:val="20"/>
                <w:color w:val="auto"/>
              </w:rPr>
            </w:pPr>
            <w:r>
              <w:rPr>
                <w:rFonts w:ascii="Arial" w:cs="Arial" w:eastAsia="Arial" w:hAnsi="Arial"/>
                <w:sz w:val="14"/>
                <w:szCs w:val="14"/>
                <w:color w:val="auto"/>
              </w:rPr>
              <w:t>Term Loan</w:t>
            </w:r>
          </w:p>
        </w:tc>
        <w:tc>
          <w:tcPr>
            <w:tcW w:w="52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3.90%</w:t>
            </w:r>
          </w:p>
        </w:tc>
        <w:tc>
          <w:tcPr>
            <w:tcW w:w="760" w:type="dxa"/>
            <w:vAlign w:val="bottom"/>
            <w:shd w:val="clear" w:color="auto" w:fill="CCEEFF"/>
          </w:tcPr>
          <w:p>
            <w:pPr>
              <w:jc w:val="right"/>
              <w:ind w:right="32"/>
              <w:spacing w:after="0" w:line="159" w:lineRule="exact"/>
              <w:rPr>
                <w:sz w:val="20"/>
                <w:szCs w:val="20"/>
                <w:color w:val="auto"/>
              </w:rPr>
            </w:pPr>
            <w:r>
              <w:rPr>
                <w:rFonts w:ascii="Arial" w:cs="Arial" w:eastAsia="Arial" w:hAnsi="Arial"/>
                <w:sz w:val="14"/>
                <w:szCs w:val="14"/>
                <w:color w:val="auto"/>
              </w:rPr>
              <w:t>2/28/2017</w:t>
            </w:r>
          </w:p>
        </w:tc>
        <w:tc>
          <w:tcPr>
            <w:tcW w:w="12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w w:val="90"/>
              </w:rPr>
              <w:t>285,352</w:t>
            </w:r>
          </w:p>
        </w:tc>
        <w:tc>
          <w:tcPr>
            <w:tcW w:w="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283,117</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285,084</w:t>
            </w: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180" w:type="dxa"/>
            <w:vAlign w:val="bottom"/>
          </w:tcPr>
          <w:p>
            <w:pPr>
              <w:spacing w:after="0" w:line="138" w:lineRule="exact"/>
              <w:rPr>
                <w:sz w:val="20"/>
                <w:szCs w:val="20"/>
                <w:color w:val="auto"/>
              </w:rPr>
            </w:pPr>
            <w:r>
              <w:rPr>
                <w:rFonts w:ascii="Arial" w:cs="Arial" w:eastAsia="Arial" w:hAnsi="Arial"/>
                <w:sz w:val="14"/>
                <w:szCs w:val="14"/>
                <w:color w:val="auto"/>
              </w:rPr>
              <w:t>SunGard Data Systems Inc. (Solar Capital Corp.)</w:t>
            </w:r>
          </w:p>
        </w:tc>
        <w:tc>
          <w:tcPr>
            <w:tcW w:w="1900" w:type="dxa"/>
            <w:vAlign w:val="bottom"/>
          </w:tcPr>
          <w:p>
            <w:pPr>
              <w:ind w:left="320"/>
              <w:spacing w:after="0" w:line="138" w:lineRule="exact"/>
              <w:rPr>
                <w:sz w:val="20"/>
                <w:szCs w:val="20"/>
                <w:color w:val="auto"/>
              </w:rPr>
            </w:pPr>
            <w:r>
              <w:rPr>
                <w:rFonts w:ascii="Arial" w:cs="Arial" w:eastAsia="Arial" w:hAnsi="Arial"/>
                <w:sz w:val="14"/>
                <w:szCs w:val="14"/>
                <w:color w:val="auto"/>
              </w:rPr>
              <w:t>Conglomerate</w:t>
            </w:r>
          </w:p>
        </w:tc>
        <w:tc>
          <w:tcPr>
            <w:tcW w:w="880" w:type="dxa"/>
            <w:vAlign w:val="bottom"/>
          </w:tcPr>
          <w:p>
            <w:pPr>
              <w:ind w:left="120"/>
              <w:spacing w:after="0" w:line="138" w:lineRule="exact"/>
              <w:rPr>
                <w:sz w:val="20"/>
                <w:szCs w:val="20"/>
                <w:color w:val="auto"/>
              </w:rPr>
            </w:pPr>
            <w:r>
              <w:rPr>
                <w:rFonts w:ascii="Arial" w:cs="Arial" w:eastAsia="Arial" w:hAnsi="Arial"/>
                <w:sz w:val="14"/>
                <w:szCs w:val="14"/>
                <w:color w:val="auto"/>
              </w:rPr>
              <w:t>Tranche E</w:t>
            </w:r>
          </w:p>
        </w:tc>
        <w:tc>
          <w:tcPr>
            <w:tcW w:w="520" w:type="dxa"/>
            <w:vAlign w:val="bottom"/>
          </w:tcPr>
          <w:p>
            <w:pPr>
              <w:ind w:left="60"/>
              <w:spacing w:after="0" w:line="138" w:lineRule="exact"/>
              <w:rPr>
                <w:sz w:val="20"/>
                <w:szCs w:val="20"/>
                <w:color w:val="auto"/>
              </w:rPr>
            </w:pPr>
            <w:r>
              <w:rPr>
                <w:rFonts w:ascii="Arial" w:cs="Arial" w:eastAsia="Arial" w:hAnsi="Arial"/>
                <w:sz w:val="14"/>
                <w:szCs w:val="14"/>
                <w:color w:val="auto"/>
              </w:rPr>
              <w:t>Loan</w:t>
            </w: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18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880" w:type="dxa"/>
            <w:vAlign w:val="bottom"/>
          </w:tcPr>
          <w:p>
            <w:pPr>
              <w:ind w:left="120"/>
              <w:spacing w:after="0" w:line="159" w:lineRule="exact"/>
              <w:rPr>
                <w:sz w:val="20"/>
                <w:szCs w:val="20"/>
                <w:color w:val="auto"/>
              </w:rPr>
            </w:pPr>
            <w:r>
              <w:rPr>
                <w:rFonts w:ascii="Arial" w:cs="Arial" w:eastAsia="Arial" w:hAnsi="Arial"/>
                <w:sz w:val="14"/>
                <w:szCs w:val="14"/>
                <w:color w:val="auto"/>
              </w:rPr>
              <w:t>Term Loan</w:t>
            </w:r>
          </w:p>
        </w:tc>
        <w:tc>
          <w:tcPr>
            <w:tcW w:w="520" w:type="dxa"/>
            <w:vAlign w:val="bottom"/>
          </w:tcPr>
          <w:p>
            <w:pPr>
              <w:spacing w:after="0"/>
              <w:rPr>
                <w:sz w:val="13"/>
                <w:szCs w:val="13"/>
                <w:color w:val="auto"/>
              </w:rPr>
            </w:pPr>
          </w:p>
        </w:tc>
        <w:tc>
          <w:tcPr>
            <w:tcW w:w="680" w:type="dxa"/>
            <w:vAlign w:val="bottom"/>
          </w:tcPr>
          <w:p>
            <w:pPr>
              <w:jc w:val="right"/>
              <w:spacing w:after="0" w:line="159" w:lineRule="exact"/>
              <w:rPr>
                <w:sz w:val="20"/>
                <w:szCs w:val="20"/>
                <w:color w:val="auto"/>
              </w:rPr>
            </w:pPr>
            <w:r>
              <w:rPr>
                <w:rFonts w:ascii="Arial" w:cs="Arial" w:eastAsia="Arial" w:hAnsi="Arial"/>
                <w:sz w:val="14"/>
                <w:szCs w:val="14"/>
                <w:color w:val="auto"/>
              </w:rPr>
              <w:t>4.00%</w:t>
            </w:r>
          </w:p>
        </w:tc>
        <w:tc>
          <w:tcPr>
            <w:tcW w:w="760" w:type="dxa"/>
            <w:vAlign w:val="bottom"/>
          </w:tcPr>
          <w:p>
            <w:pPr>
              <w:jc w:val="right"/>
              <w:ind w:right="32"/>
              <w:spacing w:after="0" w:line="159" w:lineRule="exact"/>
              <w:rPr>
                <w:sz w:val="20"/>
                <w:szCs w:val="20"/>
                <w:color w:val="auto"/>
              </w:rPr>
            </w:pPr>
            <w:r>
              <w:rPr>
                <w:rFonts w:ascii="Arial" w:cs="Arial" w:eastAsia="Arial" w:hAnsi="Arial"/>
                <w:sz w:val="14"/>
                <w:szCs w:val="14"/>
                <w:color w:val="auto"/>
              </w:rPr>
              <w:t>3/9/2020</w:t>
            </w:r>
          </w:p>
        </w:tc>
        <w:tc>
          <w:tcPr>
            <w:tcW w:w="760" w:type="dxa"/>
            <w:vAlign w:val="bottom"/>
            <w:gridSpan w:val="3"/>
          </w:tcPr>
          <w:p>
            <w:pPr>
              <w:jc w:val="right"/>
              <w:ind w:right="160"/>
              <w:spacing w:after="0" w:line="159" w:lineRule="exact"/>
              <w:rPr>
                <w:sz w:val="20"/>
                <w:szCs w:val="20"/>
                <w:color w:val="auto"/>
              </w:rPr>
            </w:pPr>
            <w:r>
              <w:rPr>
                <w:rFonts w:ascii="Arial" w:cs="Arial" w:eastAsia="Arial" w:hAnsi="Arial"/>
                <w:sz w:val="14"/>
                <w:szCs w:val="14"/>
                <w:color w:val="auto"/>
                <w:w w:val="82"/>
              </w:rPr>
              <w:t>$3,707,953</w:t>
            </w:r>
          </w:p>
        </w:tc>
        <w:tc>
          <w:tcPr>
            <w:tcW w:w="80" w:type="dxa"/>
            <w:vAlign w:val="bottom"/>
          </w:tcPr>
          <w:p>
            <w:pPr>
              <w:spacing w:after="0"/>
              <w:rPr>
                <w:sz w:val="13"/>
                <w:szCs w:val="13"/>
                <w:color w:val="auto"/>
              </w:rPr>
            </w:pPr>
          </w:p>
        </w:tc>
        <w:tc>
          <w:tcPr>
            <w:tcW w:w="74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3,618,899</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jc w:val="right"/>
              <w:spacing w:after="0" w:line="159" w:lineRule="exact"/>
              <w:rPr>
                <w:sz w:val="20"/>
                <w:szCs w:val="20"/>
                <w:color w:val="auto"/>
              </w:rPr>
            </w:pPr>
            <w:r>
              <w:rPr>
                <w:rFonts w:ascii="Arial" w:cs="Arial" w:eastAsia="Arial" w:hAnsi="Arial"/>
                <w:sz w:val="14"/>
                <w:szCs w:val="14"/>
                <w:color w:val="auto"/>
              </w:rPr>
              <w:t>3,706,804</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SuperMedia Inc. (fka Idearc Inc.)</w:t>
            </w:r>
          </w:p>
        </w:tc>
        <w:tc>
          <w:tcPr>
            <w:tcW w:w="190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Publishing</w:t>
            </w:r>
          </w:p>
        </w:tc>
        <w:tc>
          <w:tcPr>
            <w:tcW w:w="88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Loan</w:t>
            </w:r>
          </w:p>
        </w:tc>
        <w:tc>
          <w:tcPr>
            <w:tcW w:w="52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Loan</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11.60%</w:t>
            </w:r>
          </w:p>
        </w:tc>
        <w:tc>
          <w:tcPr>
            <w:tcW w:w="76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w w:val="91"/>
              </w:rPr>
              <w:t>12/30/2016</w:t>
            </w:r>
          </w:p>
        </w:tc>
        <w:tc>
          <w:tcPr>
            <w:tcW w:w="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90"/>
              </w:rPr>
              <w:t>238,660</w:t>
            </w: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232,462</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203,756</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180" w:type="dxa"/>
            <w:vAlign w:val="bottom"/>
          </w:tcPr>
          <w:p>
            <w:pPr>
              <w:spacing w:after="0" w:line="138" w:lineRule="exact"/>
              <w:rPr>
                <w:sz w:val="20"/>
                <w:szCs w:val="20"/>
                <w:color w:val="auto"/>
              </w:rPr>
            </w:pPr>
            <w:r>
              <w:rPr>
                <w:rFonts w:ascii="Arial" w:cs="Arial" w:eastAsia="Arial" w:hAnsi="Arial"/>
                <w:sz w:val="14"/>
                <w:szCs w:val="14"/>
                <w:color w:val="auto"/>
              </w:rPr>
              <w:t>Syniverse Holdings, Inc.</w:t>
            </w:r>
          </w:p>
        </w:tc>
        <w:tc>
          <w:tcPr>
            <w:tcW w:w="1900" w:type="dxa"/>
            <w:vAlign w:val="bottom"/>
          </w:tcPr>
          <w:p>
            <w:pPr>
              <w:ind w:left="320"/>
              <w:spacing w:after="0" w:line="138" w:lineRule="exact"/>
              <w:rPr>
                <w:sz w:val="20"/>
                <w:szCs w:val="20"/>
                <w:color w:val="auto"/>
              </w:rPr>
            </w:pPr>
            <w:r>
              <w:rPr>
                <w:rFonts w:ascii="Arial" w:cs="Arial" w:eastAsia="Arial" w:hAnsi="Arial"/>
                <w:sz w:val="14"/>
                <w:szCs w:val="14"/>
                <w:color w:val="auto"/>
              </w:rPr>
              <w:t>Telecommunications</w:t>
            </w:r>
          </w:p>
        </w:tc>
        <w:tc>
          <w:tcPr>
            <w:tcW w:w="880" w:type="dxa"/>
            <w:vAlign w:val="bottom"/>
          </w:tcPr>
          <w:p>
            <w:pPr>
              <w:ind w:left="120"/>
              <w:spacing w:after="0" w:line="138" w:lineRule="exact"/>
              <w:rPr>
                <w:sz w:val="20"/>
                <w:szCs w:val="20"/>
                <w:color w:val="auto"/>
              </w:rPr>
            </w:pPr>
            <w:r>
              <w:rPr>
                <w:rFonts w:ascii="Arial" w:cs="Arial" w:eastAsia="Arial" w:hAnsi="Arial"/>
                <w:sz w:val="14"/>
                <w:szCs w:val="14"/>
                <w:color w:val="auto"/>
              </w:rPr>
              <w:t>Initial Term</w:t>
            </w:r>
          </w:p>
        </w:tc>
        <w:tc>
          <w:tcPr>
            <w:tcW w:w="520" w:type="dxa"/>
            <w:vAlign w:val="bottom"/>
          </w:tcPr>
          <w:p>
            <w:pPr>
              <w:ind w:left="60"/>
              <w:spacing w:after="0" w:line="138" w:lineRule="exact"/>
              <w:rPr>
                <w:sz w:val="20"/>
                <w:szCs w:val="20"/>
                <w:color w:val="auto"/>
              </w:rPr>
            </w:pPr>
            <w:r>
              <w:rPr>
                <w:rFonts w:ascii="Arial" w:cs="Arial" w:eastAsia="Arial" w:hAnsi="Arial"/>
                <w:sz w:val="14"/>
                <w:szCs w:val="14"/>
                <w:color w:val="auto"/>
              </w:rPr>
              <w:t>Loan</w:t>
            </w: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18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880" w:type="dxa"/>
            <w:vAlign w:val="bottom"/>
          </w:tcPr>
          <w:p>
            <w:pPr>
              <w:ind w:left="120"/>
              <w:spacing w:after="0" w:line="159" w:lineRule="exact"/>
              <w:rPr>
                <w:sz w:val="20"/>
                <w:szCs w:val="20"/>
                <w:color w:val="auto"/>
              </w:rPr>
            </w:pPr>
            <w:r>
              <w:rPr>
                <w:rFonts w:ascii="Arial" w:cs="Arial" w:eastAsia="Arial" w:hAnsi="Arial"/>
                <w:sz w:val="14"/>
                <w:szCs w:val="14"/>
                <w:color w:val="auto"/>
              </w:rPr>
              <w:t>Loan</w:t>
            </w:r>
          </w:p>
        </w:tc>
        <w:tc>
          <w:tcPr>
            <w:tcW w:w="520" w:type="dxa"/>
            <w:vAlign w:val="bottom"/>
          </w:tcPr>
          <w:p>
            <w:pPr>
              <w:spacing w:after="0"/>
              <w:rPr>
                <w:sz w:val="13"/>
                <w:szCs w:val="13"/>
                <w:color w:val="auto"/>
              </w:rPr>
            </w:pPr>
          </w:p>
        </w:tc>
        <w:tc>
          <w:tcPr>
            <w:tcW w:w="680" w:type="dxa"/>
            <w:vAlign w:val="bottom"/>
          </w:tcPr>
          <w:p>
            <w:pPr>
              <w:jc w:val="right"/>
              <w:spacing w:after="0" w:line="159" w:lineRule="exact"/>
              <w:rPr>
                <w:sz w:val="20"/>
                <w:szCs w:val="20"/>
                <w:color w:val="auto"/>
              </w:rPr>
            </w:pPr>
            <w:r>
              <w:rPr>
                <w:rFonts w:ascii="Arial" w:cs="Arial" w:eastAsia="Arial" w:hAnsi="Arial"/>
                <w:sz w:val="14"/>
                <w:szCs w:val="14"/>
                <w:color w:val="auto"/>
              </w:rPr>
              <w:t>4.00%</w:t>
            </w:r>
          </w:p>
        </w:tc>
        <w:tc>
          <w:tcPr>
            <w:tcW w:w="760" w:type="dxa"/>
            <w:vAlign w:val="bottom"/>
          </w:tcPr>
          <w:p>
            <w:pPr>
              <w:jc w:val="right"/>
              <w:ind w:right="32"/>
              <w:spacing w:after="0" w:line="159" w:lineRule="exact"/>
              <w:rPr>
                <w:sz w:val="20"/>
                <w:szCs w:val="20"/>
                <w:color w:val="auto"/>
              </w:rPr>
            </w:pPr>
            <w:r>
              <w:rPr>
                <w:rFonts w:ascii="Arial" w:cs="Arial" w:eastAsia="Arial" w:hAnsi="Arial"/>
                <w:sz w:val="14"/>
                <w:szCs w:val="14"/>
                <w:color w:val="auto"/>
              </w:rPr>
              <w:t>4/23/2019</w:t>
            </w:r>
          </w:p>
        </w:tc>
        <w:tc>
          <w:tcPr>
            <w:tcW w:w="120" w:type="dxa"/>
            <w:vAlign w:val="bottom"/>
          </w:tcPr>
          <w:p>
            <w:pPr>
              <w:spacing w:after="0" w:line="159"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w w:val="90"/>
              </w:rPr>
              <w:t>479,913</w:t>
            </w:r>
          </w:p>
        </w:tc>
        <w:tc>
          <w:tcPr>
            <w:tcW w:w="80" w:type="dxa"/>
            <w:vAlign w:val="bottom"/>
          </w:tcPr>
          <w:p>
            <w:pPr>
              <w:spacing w:after="0"/>
              <w:rPr>
                <w:sz w:val="13"/>
                <w:szCs w:val="13"/>
                <w:color w:val="auto"/>
              </w:rPr>
            </w:pPr>
          </w:p>
        </w:tc>
        <w:tc>
          <w:tcPr>
            <w:tcW w:w="74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476,105</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jc w:val="right"/>
              <w:spacing w:after="0" w:line="159" w:lineRule="exact"/>
              <w:rPr>
                <w:sz w:val="20"/>
                <w:szCs w:val="20"/>
                <w:color w:val="auto"/>
              </w:rPr>
            </w:pPr>
            <w:r>
              <w:rPr>
                <w:rFonts w:ascii="Arial" w:cs="Arial" w:eastAsia="Arial" w:hAnsi="Arial"/>
                <w:sz w:val="14"/>
                <w:szCs w:val="14"/>
                <w:color w:val="auto"/>
              </w:rPr>
              <w:t>473,314</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18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TGI Friday’s</w:t>
            </w:r>
          </w:p>
        </w:tc>
        <w:tc>
          <w:tcPr>
            <w:tcW w:w="1900" w:type="dxa"/>
            <w:vAlign w:val="bottom"/>
            <w:shd w:val="clear" w:color="auto" w:fill="CCEEFF"/>
          </w:tcPr>
          <w:p>
            <w:pPr>
              <w:ind w:left="320"/>
              <w:spacing w:after="0" w:line="138" w:lineRule="exact"/>
              <w:rPr>
                <w:sz w:val="20"/>
                <w:szCs w:val="20"/>
                <w:color w:val="auto"/>
              </w:rPr>
            </w:pPr>
            <w:r>
              <w:rPr>
                <w:rFonts w:ascii="Arial" w:cs="Arial" w:eastAsia="Arial" w:hAnsi="Arial"/>
                <w:sz w:val="14"/>
                <w:szCs w:val="14"/>
                <w:color w:val="auto"/>
              </w:rPr>
              <w:t>Food Services</w:t>
            </w:r>
          </w:p>
        </w:tc>
        <w:tc>
          <w:tcPr>
            <w:tcW w:w="880" w:type="dxa"/>
            <w:vAlign w:val="bottom"/>
            <w:shd w:val="clear" w:color="auto" w:fill="CCEEFF"/>
          </w:tcPr>
          <w:p>
            <w:pPr>
              <w:ind w:left="120"/>
              <w:spacing w:after="0" w:line="138" w:lineRule="exact"/>
              <w:rPr>
                <w:sz w:val="20"/>
                <w:szCs w:val="20"/>
                <w:color w:val="auto"/>
              </w:rPr>
            </w:pPr>
            <w:r>
              <w:rPr>
                <w:rFonts w:ascii="Arial" w:cs="Arial" w:eastAsia="Arial" w:hAnsi="Arial"/>
                <w:sz w:val="14"/>
                <w:szCs w:val="14"/>
                <w:color w:val="auto"/>
              </w:rPr>
              <w:t>Term Loan</w:t>
            </w:r>
          </w:p>
        </w:tc>
        <w:tc>
          <w:tcPr>
            <w:tcW w:w="520" w:type="dxa"/>
            <w:vAlign w:val="bottom"/>
            <w:shd w:val="clear" w:color="auto" w:fill="CCEEFF"/>
          </w:tcPr>
          <w:p>
            <w:pPr>
              <w:ind w:left="60"/>
              <w:spacing w:after="0" w:line="138" w:lineRule="exact"/>
              <w:rPr>
                <w:sz w:val="20"/>
                <w:szCs w:val="20"/>
                <w:color w:val="auto"/>
              </w:rPr>
            </w:pPr>
            <w:r>
              <w:rPr>
                <w:rFonts w:ascii="Arial" w:cs="Arial" w:eastAsia="Arial" w:hAnsi="Arial"/>
                <w:sz w:val="14"/>
                <w:szCs w:val="14"/>
                <w:color w:val="auto"/>
              </w:rPr>
              <w:t>Loan</w:t>
            </w:r>
          </w:p>
        </w:tc>
        <w:tc>
          <w:tcPr>
            <w:tcW w:w="6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180" w:type="dxa"/>
            <w:vAlign w:val="bottom"/>
            <w:shd w:val="clear" w:color="auto" w:fill="CCEEFF"/>
          </w:tcPr>
          <w:p>
            <w:pPr>
              <w:spacing w:after="0"/>
              <w:rPr>
                <w:sz w:val="13"/>
                <w:szCs w:val="13"/>
                <w:color w:val="auto"/>
              </w:rPr>
            </w:pPr>
          </w:p>
        </w:tc>
        <w:tc>
          <w:tcPr>
            <w:tcW w:w="1900" w:type="dxa"/>
            <w:vAlign w:val="bottom"/>
            <w:shd w:val="clear" w:color="auto" w:fill="CCEEFF"/>
          </w:tcPr>
          <w:p>
            <w:pPr>
              <w:spacing w:after="0"/>
              <w:rPr>
                <w:sz w:val="13"/>
                <w:szCs w:val="13"/>
                <w:color w:val="auto"/>
              </w:rPr>
            </w:pPr>
          </w:p>
        </w:tc>
        <w:tc>
          <w:tcPr>
            <w:tcW w:w="880" w:type="dxa"/>
            <w:vAlign w:val="bottom"/>
            <w:shd w:val="clear" w:color="auto" w:fill="CCEEFF"/>
          </w:tcPr>
          <w:p>
            <w:pPr>
              <w:ind w:left="120"/>
              <w:spacing w:after="0" w:line="159" w:lineRule="exact"/>
              <w:rPr>
                <w:sz w:val="20"/>
                <w:szCs w:val="20"/>
                <w:color w:val="auto"/>
              </w:rPr>
            </w:pPr>
            <w:r>
              <w:rPr>
                <w:rFonts w:ascii="Arial" w:cs="Arial" w:eastAsia="Arial" w:hAnsi="Arial"/>
                <w:sz w:val="14"/>
                <w:szCs w:val="14"/>
                <w:color w:val="auto"/>
              </w:rPr>
              <w:t>B</w:t>
            </w:r>
          </w:p>
        </w:tc>
        <w:tc>
          <w:tcPr>
            <w:tcW w:w="52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5.25%</w:t>
            </w:r>
          </w:p>
        </w:tc>
        <w:tc>
          <w:tcPr>
            <w:tcW w:w="760" w:type="dxa"/>
            <w:vAlign w:val="bottom"/>
            <w:shd w:val="clear" w:color="auto" w:fill="CCEEFF"/>
          </w:tcPr>
          <w:p>
            <w:pPr>
              <w:jc w:val="right"/>
              <w:ind w:right="32"/>
              <w:spacing w:after="0" w:line="159" w:lineRule="exact"/>
              <w:rPr>
                <w:sz w:val="20"/>
                <w:szCs w:val="20"/>
                <w:color w:val="auto"/>
              </w:rPr>
            </w:pPr>
            <w:r>
              <w:rPr>
                <w:rFonts w:ascii="Arial" w:cs="Arial" w:eastAsia="Arial" w:hAnsi="Arial"/>
                <w:sz w:val="14"/>
                <w:szCs w:val="14"/>
                <w:color w:val="auto"/>
              </w:rPr>
              <w:t>7/15/2020</w:t>
            </w:r>
          </w:p>
        </w:tc>
        <w:tc>
          <w:tcPr>
            <w:tcW w:w="12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w w:val="90"/>
              </w:rPr>
              <w:t>267,977</w:t>
            </w:r>
          </w:p>
        </w:tc>
        <w:tc>
          <w:tcPr>
            <w:tcW w:w="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266,768</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267,642</w:t>
            </w: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180" w:type="dxa"/>
            <w:vAlign w:val="bottom"/>
          </w:tcPr>
          <w:p>
            <w:pPr>
              <w:spacing w:after="0" w:line="138" w:lineRule="exact"/>
              <w:rPr>
                <w:sz w:val="20"/>
                <w:szCs w:val="20"/>
                <w:color w:val="auto"/>
              </w:rPr>
            </w:pPr>
            <w:r>
              <w:rPr>
                <w:rFonts w:ascii="Arial" w:cs="Arial" w:eastAsia="Arial" w:hAnsi="Arial"/>
                <w:sz w:val="14"/>
                <w:szCs w:val="14"/>
                <w:color w:val="auto"/>
              </w:rPr>
              <w:t>TGI Friday’s</w:t>
            </w:r>
          </w:p>
        </w:tc>
        <w:tc>
          <w:tcPr>
            <w:tcW w:w="1900" w:type="dxa"/>
            <w:vAlign w:val="bottom"/>
          </w:tcPr>
          <w:p>
            <w:pPr>
              <w:ind w:left="320"/>
              <w:spacing w:after="0" w:line="138" w:lineRule="exact"/>
              <w:rPr>
                <w:sz w:val="20"/>
                <w:szCs w:val="20"/>
                <w:color w:val="auto"/>
              </w:rPr>
            </w:pPr>
            <w:r>
              <w:rPr>
                <w:rFonts w:ascii="Arial" w:cs="Arial" w:eastAsia="Arial" w:hAnsi="Arial"/>
                <w:sz w:val="14"/>
                <w:szCs w:val="14"/>
                <w:color w:val="auto"/>
              </w:rPr>
              <w:t>Food Services</w:t>
            </w:r>
          </w:p>
        </w:tc>
        <w:tc>
          <w:tcPr>
            <w:tcW w:w="880" w:type="dxa"/>
            <w:vAlign w:val="bottom"/>
          </w:tcPr>
          <w:p>
            <w:pPr>
              <w:ind w:left="120"/>
              <w:spacing w:after="0" w:line="138" w:lineRule="exact"/>
              <w:rPr>
                <w:sz w:val="20"/>
                <w:szCs w:val="20"/>
                <w:color w:val="auto"/>
              </w:rPr>
            </w:pPr>
            <w:r>
              <w:rPr>
                <w:rFonts w:ascii="Arial" w:cs="Arial" w:eastAsia="Arial" w:hAnsi="Arial"/>
                <w:sz w:val="14"/>
                <w:szCs w:val="14"/>
                <w:color w:val="auto"/>
              </w:rPr>
              <w:t>Term Loan</w:t>
            </w:r>
          </w:p>
        </w:tc>
        <w:tc>
          <w:tcPr>
            <w:tcW w:w="520" w:type="dxa"/>
            <w:vAlign w:val="bottom"/>
          </w:tcPr>
          <w:p>
            <w:pPr>
              <w:ind w:left="60"/>
              <w:spacing w:after="0" w:line="138" w:lineRule="exact"/>
              <w:rPr>
                <w:sz w:val="20"/>
                <w:szCs w:val="20"/>
                <w:color w:val="auto"/>
              </w:rPr>
            </w:pPr>
            <w:r>
              <w:rPr>
                <w:rFonts w:ascii="Arial" w:cs="Arial" w:eastAsia="Arial" w:hAnsi="Arial"/>
                <w:sz w:val="14"/>
                <w:szCs w:val="14"/>
                <w:color w:val="auto"/>
              </w:rPr>
              <w:t>Loan</w:t>
            </w: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880" w:type="dxa"/>
            <w:vAlign w:val="bottom"/>
          </w:tcPr>
          <w:p>
            <w:pPr>
              <w:ind w:left="120"/>
              <w:spacing w:after="0" w:line="149" w:lineRule="exact"/>
              <w:rPr>
                <w:sz w:val="20"/>
                <w:szCs w:val="20"/>
                <w:color w:val="auto"/>
              </w:rPr>
            </w:pPr>
            <w:r>
              <w:rPr>
                <w:rFonts w:ascii="Arial" w:cs="Arial" w:eastAsia="Arial" w:hAnsi="Arial"/>
                <w:sz w:val="14"/>
                <w:szCs w:val="14"/>
                <w:color w:val="auto"/>
              </w:rPr>
              <w:t>(Second</w:t>
            </w:r>
          </w:p>
        </w:tc>
        <w:tc>
          <w:tcPr>
            <w:tcW w:w="5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18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880" w:type="dxa"/>
            <w:vAlign w:val="bottom"/>
          </w:tcPr>
          <w:p>
            <w:pPr>
              <w:ind w:left="120"/>
              <w:spacing w:after="0" w:line="159" w:lineRule="exact"/>
              <w:rPr>
                <w:sz w:val="20"/>
                <w:szCs w:val="20"/>
                <w:color w:val="auto"/>
              </w:rPr>
            </w:pPr>
            <w:r>
              <w:rPr>
                <w:rFonts w:ascii="Arial" w:cs="Arial" w:eastAsia="Arial" w:hAnsi="Arial"/>
                <w:sz w:val="14"/>
                <w:szCs w:val="14"/>
                <w:color w:val="auto"/>
              </w:rPr>
              <w:t>Lien)</w:t>
            </w:r>
          </w:p>
        </w:tc>
        <w:tc>
          <w:tcPr>
            <w:tcW w:w="520" w:type="dxa"/>
            <w:vAlign w:val="bottom"/>
          </w:tcPr>
          <w:p>
            <w:pPr>
              <w:spacing w:after="0"/>
              <w:rPr>
                <w:sz w:val="13"/>
                <w:szCs w:val="13"/>
                <w:color w:val="auto"/>
              </w:rPr>
            </w:pPr>
          </w:p>
        </w:tc>
        <w:tc>
          <w:tcPr>
            <w:tcW w:w="680" w:type="dxa"/>
            <w:vAlign w:val="bottom"/>
          </w:tcPr>
          <w:p>
            <w:pPr>
              <w:jc w:val="right"/>
              <w:spacing w:after="0" w:line="159" w:lineRule="exact"/>
              <w:rPr>
                <w:sz w:val="20"/>
                <w:szCs w:val="20"/>
                <w:color w:val="auto"/>
              </w:rPr>
            </w:pPr>
            <w:r>
              <w:rPr>
                <w:rFonts w:ascii="Arial" w:cs="Arial" w:eastAsia="Arial" w:hAnsi="Arial"/>
                <w:sz w:val="14"/>
                <w:szCs w:val="14"/>
                <w:color w:val="auto"/>
              </w:rPr>
              <w:t>9.25%</w:t>
            </w:r>
          </w:p>
        </w:tc>
        <w:tc>
          <w:tcPr>
            <w:tcW w:w="760" w:type="dxa"/>
            <w:vAlign w:val="bottom"/>
          </w:tcPr>
          <w:p>
            <w:pPr>
              <w:jc w:val="right"/>
              <w:ind w:right="32"/>
              <w:spacing w:after="0" w:line="159" w:lineRule="exact"/>
              <w:rPr>
                <w:sz w:val="20"/>
                <w:szCs w:val="20"/>
                <w:color w:val="auto"/>
              </w:rPr>
            </w:pPr>
            <w:r>
              <w:rPr>
                <w:rFonts w:ascii="Arial" w:cs="Arial" w:eastAsia="Arial" w:hAnsi="Arial"/>
                <w:sz w:val="14"/>
                <w:szCs w:val="14"/>
                <w:color w:val="auto"/>
              </w:rPr>
              <w:t>7/15/2021</w:t>
            </w:r>
          </w:p>
        </w:tc>
        <w:tc>
          <w:tcPr>
            <w:tcW w:w="760" w:type="dxa"/>
            <w:vAlign w:val="bottom"/>
            <w:gridSpan w:val="3"/>
          </w:tcPr>
          <w:p>
            <w:pPr>
              <w:jc w:val="right"/>
              <w:ind w:right="160"/>
              <w:spacing w:after="0" w:line="159" w:lineRule="exact"/>
              <w:rPr>
                <w:sz w:val="20"/>
                <w:szCs w:val="20"/>
                <w:color w:val="auto"/>
              </w:rPr>
            </w:pPr>
            <w:r>
              <w:rPr>
                <w:rFonts w:ascii="Arial" w:cs="Arial" w:eastAsia="Arial" w:hAnsi="Arial"/>
                <w:sz w:val="14"/>
                <w:szCs w:val="14"/>
                <w:color w:val="auto"/>
                <w:w w:val="82"/>
              </w:rPr>
              <w:t>$2,000,000</w:t>
            </w:r>
          </w:p>
        </w:tc>
        <w:tc>
          <w:tcPr>
            <w:tcW w:w="80" w:type="dxa"/>
            <w:vAlign w:val="bottom"/>
          </w:tcPr>
          <w:p>
            <w:pPr>
              <w:spacing w:after="0"/>
              <w:rPr>
                <w:sz w:val="13"/>
                <w:szCs w:val="13"/>
                <w:color w:val="auto"/>
              </w:rPr>
            </w:pPr>
          </w:p>
        </w:tc>
        <w:tc>
          <w:tcPr>
            <w:tcW w:w="74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2,016,250</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jc w:val="right"/>
              <w:spacing w:after="0" w:line="159" w:lineRule="exact"/>
              <w:rPr>
                <w:sz w:val="20"/>
                <w:szCs w:val="20"/>
                <w:color w:val="auto"/>
              </w:rPr>
            </w:pPr>
            <w:r>
              <w:rPr>
                <w:rFonts w:ascii="Arial" w:cs="Arial" w:eastAsia="Arial" w:hAnsi="Arial"/>
                <w:sz w:val="14"/>
                <w:szCs w:val="14"/>
                <w:color w:val="auto"/>
              </w:rPr>
              <w:t>2,000,000</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18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TPF II Power LLC and TPF II Covert Midco LLC</w:t>
            </w:r>
          </w:p>
        </w:tc>
        <w:tc>
          <w:tcPr>
            <w:tcW w:w="1900" w:type="dxa"/>
            <w:vAlign w:val="bottom"/>
            <w:shd w:val="clear" w:color="auto" w:fill="CCEEFF"/>
          </w:tcPr>
          <w:p>
            <w:pPr>
              <w:ind w:left="320"/>
              <w:spacing w:after="0" w:line="138" w:lineRule="exact"/>
              <w:rPr>
                <w:sz w:val="20"/>
                <w:szCs w:val="20"/>
                <w:color w:val="auto"/>
              </w:rPr>
            </w:pPr>
            <w:r>
              <w:rPr>
                <w:rFonts w:ascii="Arial" w:cs="Arial" w:eastAsia="Arial" w:hAnsi="Arial"/>
                <w:sz w:val="14"/>
                <w:szCs w:val="14"/>
                <w:color w:val="auto"/>
              </w:rPr>
              <w:t>Utilities</w:t>
            </w:r>
          </w:p>
        </w:tc>
        <w:tc>
          <w:tcPr>
            <w:tcW w:w="880" w:type="dxa"/>
            <w:vAlign w:val="bottom"/>
            <w:shd w:val="clear" w:color="auto" w:fill="CCEEFF"/>
          </w:tcPr>
          <w:p>
            <w:pPr>
              <w:ind w:left="120"/>
              <w:spacing w:after="0" w:line="138" w:lineRule="exact"/>
              <w:rPr>
                <w:sz w:val="20"/>
                <w:szCs w:val="20"/>
                <w:color w:val="auto"/>
              </w:rPr>
            </w:pPr>
            <w:r>
              <w:rPr>
                <w:rFonts w:ascii="Arial" w:cs="Arial" w:eastAsia="Arial" w:hAnsi="Arial"/>
                <w:sz w:val="14"/>
                <w:szCs w:val="14"/>
                <w:color w:val="auto"/>
              </w:rPr>
              <w:t>Term Loan</w:t>
            </w:r>
          </w:p>
        </w:tc>
        <w:tc>
          <w:tcPr>
            <w:tcW w:w="520" w:type="dxa"/>
            <w:vAlign w:val="bottom"/>
            <w:shd w:val="clear" w:color="auto" w:fill="CCEEFF"/>
          </w:tcPr>
          <w:p>
            <w:pPr>
              <w:ind w:left="60"/>
              <w:spacing w:after="0" w:line="138" w:lineRule="exact"/>
              <w:rPr>
                <w:sz w:val="20"/>
                <w:szCs w:val="20"/>
                <w:color w:val="auto"/>
              </w:rPr>
            </w:pPr>
            <w:r>
              <w:rPr>
                <w:rFonts w:ascii="Arial" w:cs="Arial" w:eastAsia="Arial" w:hAnsi="Arial"/>
                <w:sz w:val="14"/>
                <w:szCs w:val="14"/>
                <w:color w:val="auto"/>
              </w:rPr>
              <w:t>Loan</w:t>
            </w:r>
          </w:p>
        </w:tc>
        <w:tc>
          <w:tcPr>
            <w:tcW w:w="6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180" w:type="dxa"/>
            <w:vAlign w:val="bottom"/>
            <w:shd w:val="clear" w:color="auto" w:fill="CCEEFF"/>
          </w:tcPr>
          <w:p>
            <w:pPr>
              <w:spacing w:after="0"/>
              <w:rPr>
                <w:sz w:val="13"/>
                <w:szCs w:val="13"/>
                <w:color w:val="auto"/>
              </w:rPr>
            </w:pPr>
          </w:p>
        </w:tc>
        <w:tc>
          <w:tcPr>
            <w:tcW w:w="1900" w:type="dxa"/>
            <w:vAlign w:val="bottom"/>
            <w:shd w:val="clear" w:color="auto" w:fill="CCEEFF"/>
          </w:tcPr>
          <w:p>
            <w:pPr>
              <w:spacing w:after="0"/>
              <w:rPr>
                <w:sz w:val="13"/>
                <w:szCs w:val="13"/>
                <w:color w:val="auto"/>
              </w:rPr>
            </w:pPr>
          </w:p>
        </w:tc>
        <w:tc>
          <w:tcPr>
            <w:tcW w:w="880" w:type="dxa"/>
            <w:vAlign w:val="bottom"/>
            <w:shd w:val="clear" w:color="auto" w:fill="CCEEFF"/>
          </w:tcPr>
          <w:p>
            <w:pPr>
              <w:ind w:left="120"/>
              <w:spacing w:after="0" w:line="159" w:lineRule="exact"/>
              <w:rPr>
                <w:sz w:val="20"/>
                <w:szCs w:val="20"/>
                <w:color w:val="auto"/>
              </w:rPr>
            </w:pPr>
            <w:r>
              <w:rPr>
                <w:rFonts w:ascii="Arial" w:cs="Arial" w:eastAsia="Arial" w:hAnsi="Arial"/>
                <w:sz w:val="14"/>
                <w:szCs w:val="14"/>
                <w:color w:val="auto"/>
              </w:rPr>
              <w:t>B</w:t>
            </w:r>
          </w:p>
        </w:tc>
        <w:tc>
          <w:tcPr>
            <w:tcW w:w="52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5.50%</w:t>
            </w:r>
          </w:p>
        </w:tc>
        <w:tc>
          <w:tcPr>
            <w:tcW w:w="760" w:type="dxa"/>
            <w:vAlign w:val="bottom"/>
            <w:shd w:val="clear" w:color="auto" w:fill="CCEEFF"/>
          </w:tcPr>
          <w:p>
            <w:pPr>
              <w:jc w:val="right"/>
              <w:ind w:right="32"/>
              <w:spacing w:after="0" w:line="159" w:lineRule="exact"/>
              <w:rPr>
                <w:sz w:val="20"/>
                <w:szCs w:val="20"/>
                <w:color w:val="auto"/>
              </w:rPr>
            </w:pPr>
            <w:r>
              <w:rPr>
                <w:rFonts w:ascii="Arial" w:cs="Arial" w:eastAsia="Arial" w:hAnsi="Arial"/>
                <w:sz w:val="14"/>
                <w:szCs w:val="14"/>
                <w:color w:val="auto"/>
              </w:rPr>
              <w:t>10/2/2021</w:t>
            </w:r>
          </w:p>
        </w:tc>
        <w:tc>
          <w:tcPr>
            <w:tcW w:w="12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w w:val="90"/>
              </w:rPr>
              <w:t>500,000</w:t>
            </w:r>
          </w:p>
        </w:tc>
        <w:tc>
          <w:tcPr>
            <w:tcW w:w="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496,689</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504,790</w:t>
            </w: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180" w:type="dxa"/>
            <w:vAlign w:val="bottom"/>
          </w:tcPr>
          <w:p>
            <w:pPr>
              <w:spacing w:after="0" w:line="138" w:lineRule="exact"/>
              <w:rPr>
                <w:sz w:val="20"/>
                <w:szCs w:val="20"/>
                <w:color w:val="auto"/>
              </w:rPr>
            </w:pPr>
            <w:r>
              <w:rPr>
                <w:rFonts w:ascii="Arial" w:cs="Arial" w:eastAsia="Arial" w:hAnsi="Arial"/>
                <w:sz w:val="14"/>
                <w:szCs w:val="14"/>
                <w:color w:val="auto"/>
              </w:rPr>
              <w:t>TransDigm, Inc.</w:t>
            </w:r>
          </w:p>
        </w:tc>
        <w:tc>
          <w:tcPr>
            <w:tcW w:w="1900" w:type="dxa"/>
            <w:vAlign w:val="bottom"/>
          </w:tcPr>
          <w:p>
            <w:pPr>
              <w:ind w:left="320"/>
              <w:spacing w:after="0" w:line="138" w:lineRule="exact"/>
              <w:rPr>
                <w:sz w:val="20"/>
                <w:szCs w:val="20"/>
                <w:color w:val="auto"/>
              </w:rPr>
            </w:pPr>
            <w:r>
              <w:rPr>
                <w:rFonts w:ascii="Arial" w:cs="Arial" w:eastAsia="Arial" w:hAnsi="Arial"/>
                <w:sz w:val="14"/>
                <w:szCs w:val="14"/>
                <w:color w:val="auto"/>
              </w:rPr>
              <w:t>Aerospace and Defense</w:t>
            </w:r>
          </w:p>
        </w:tc>
        <w:tc>
          <w:tcPr>
            <w:tcW w:w="880" w:type="dxa"/>
            <w:vAlign w:val="bottom"/>
          </w:tcPr>
          <w:p>
            <w:pPr>
              <w:ind w:left="120"/>
              <w:spacing w:after="0" w:line="138" w:lineRule="exact"/>
              <w:rPr>
                <w:sz w:val="20"/>
                <w:szCs w:val="20"/>
                <w:color w:val="auto"/>
              </w:rPr>
            </w:pPr>
            <w:r>
              <w:rPr>
                <w:rFonts w:ascii="Arial" w:cs="Arial" w:eastAsia="Arial" w:hAnsi="Arial"/>
                <w:sz w:val="14"/>
                <w:szCs w:val="14"/>
                <w:color w:val="auto"/>
              </w:rPr>
              <w:t>Tranche C</w:t>
            </w:r>
          </w:p>
        </w:tc>
        <w:tc>
          <w:tcPr>
            <w:tcW w:w="520" w:type="dxa"/>
            <w:vAlign w:val="bottom"/>
          </w:tcPr>
          <w:p>
            <w:pPr>
              <w:ind w:left="60"/>
              <w:spacing w:after="0" w:line="138" w:lineRule="exact"/>
              <w:rPr>
                <w:sz w:val="20"/>
                <w:szCs w:val="20"/>
                <w:color w:val="auto"/>
              </w:rPr>
            </w:pPr>
            <w:r>
              <w:rPr>
                <w:rFonts w:ascii="Arial" w:cs="Arial" w:eastAsia="Arial" w:hAnsi="Arial"/>
                <w:sz w:val="14"/>
                <w:szCs w:val="14"/>
                <w:color w:val="auto"/>
              </w:rPr>
              <w:t>Loan</w:t>
            </w: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18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880" w:type="dxa"/>
            <w:vAlign w:val="bottom"/>
          </w:tcPr>
          <w:p>
            <w:pPr>
              <w:ind w:left="120"/>
              <w:spacing w:after="0" w:line="159" w:lineRule="exact"/>
              <w:rPr>
                <w:sz w:val="20"/>
                <w:szCs w:val="20"/>
                <w:color w:val="auto"/>
              </w:rPr>
            </w:pPr>
            <w:r>
              <w:rPr>
                <w:rFonts w:ascii="Arial" w:cs="Arial" w:eastAsia="Arial" w:hAnsi="Arial"/>
                <w:sz w:val="14"/>
                <w:szCs w:val="14"/>
                <w:color w:val="auto"/>
              </w:rPr>
              <w:t>Term Loan</w:t>
            </w:r>
          </w:p>
        </w:tc>
        <w:tc>
          <w:tcPr>
            <w:tcW w:w="520" w:type="dxa"/>
            <w:vAlign w:val="bottom"/>
          </w:tcPr>
          <w:p>
            <w:pPr>
              <w:spacing w:after="0"/>
              <w:rPr>
                <w:sz w:val="13"/>
                <w:szCs w:val="13"/>
                <w:color w:val="auto"/>
              </w:rPr>
            </w:pPr>
          </w:p>
        </w:tc>
        <w:tc>
          <w:tcPr>
            <w:tcW w:w="680" w:type="dxa"/>
            <w:vAlign w:val="bottom"/>
          </w:tcPr>
          <w:p>
            <w:pPr>
              <w:jc w:val="right"/>
              <w:spacing w:after="0" w:line="159" w:lineRule="exact"/>
              <w:rPr>
                <w:sz w:val="20"/>
                <w:szCs w:val="20"/>
                <w:color w:val="auto"/>
              </w:rPr>
            </w:pPr>
            <w:r>
              <w:rPr>
                <w:rFonts w:ascii="Arial" w:cs="Arial" w:eastAsia="Arial" w:hAnsi="Arial"/>
                <w:sz w:val="14"/>
                <w:szCs w:val="14"/>
                <w:color w:val="auto"/>
              </w:rPr>
              <w:t>3.75%</w:t>
            </w:r>
          </w:p>
        </w:tc>
        <w:tc>
          <w:tcPr>
            <w:tcW w:w="760" w:type="dxa"/>
            <w:vAlign w:val="bottom"/>
          </w:tcPr>
          <w:p>
            <w:pPr>
              <w:jc w:val="right"/>
              <w:ind w:right="32"/>
              <w:spacing w:after="0" w:line="159" w:lineRule="exact"/>
              <w:rPr>
                <w:sz w:val="20"/>
                <w:szCs w:val="20"/>
                <w:color w:val="auto"/>
              </w:rPr>
            </w:pPr>
            <w:r>
              <w:rPr>
                <w:rFonts w:ascii="Arial" w:cs="Arial" w:eastAsia="Arial" w:hAnsi="Arial"/>
                <w:sz w:val="14"/>
                <w:szCs w:val="14"/>
                <w:color w:val="auto"/>
              </w:rPr>
              <w:t>2/28/2020</w:t>
            </w:r>
          </w:p>
        </w:tc>
        <w:tc>
          <w:tcPr>
            <w:tcW w:w="760" w:type="dxa"/>
            <w:vAlign w:val="bottom"/>
            <w:gridSpan w:val="3"/>
          </w:tcPr>
          <w:p>
            <w:pPr>
              <w:jc w:val="right"/>
              <w:ind w:right="160"/>
              <w:spacing w:after="0" w:line="159" w:lineRule="exact"/>
              <w:rPr>
                <w:sz w:val="20"/>
                <w:szCs w:val="20"/>
                <w:color w:val="auto"/>
              </w:rPr>
            </w:pPr>
            <w:r>
              <w:rPr>
                <w:rFonts w:ascii="Arial" w:cs="Arial" w:eastAsia="Arial" w:hAnsi="Arial"/>
                <w:sz w:val="14"/>
                <w:szCs w:val="14"/>
                <w:color w:val="auto"/>
                <w:w w:val="82"/>
              </w:rPr>
              <w:t>$4,847,054</w:t>
            </w:r>
          </w:p>
        </w:tc>
        <w:tc>
          <w:tcPr>
            <w:tcW w:w="80" w:type="dxa"/>
            <w:vAlign w:val="bottom"/>
          </w:tcPr>
          <w:p>
            <w:pPr>
              <w:spacing w:after="0"/>
              <w:rPr>
                <w:sz w:val="13"/>
                <w:szCs w:val="13"/>
                <w:color w:val="auto"/>
              </w:rPr>
            </w:pPr>
          </w:p>
        </w:tc>
        <w:tc>
          <w:tcPr>
            <w:tcW w:w="74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4,856,484</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jc w:val="right"/>
              <w:spacing w:after="0" w:line="159" w:lineRule="exact"/>
              <w:rPr>
                <w:sz w:val="20"/>
                <w:szCs w:val="20"/>
                <w:color w:val="auto"/>
              </w:rPr>
            </w:pPr>
            <w:r>
              <w:rPr>
                <w:rFonts w:ascii="Arial" w:cs="Arial" w:eastAsia="Arial" w:hAnsi="Arial"/>
                <w:sz w:val="14"/>
                <w:szCs w:val="14"/>
                <w:color w:val="auto"/>
              </w:rPr>
              <w:t>4,824,661</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TransFirst</w:t>
            </w:r>
          </w:p>
        </w:tc>
        <w:tc>
          <w:tcPr>
            <w:tcW w:w="190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Financial Intermediaries</w:t>
            </w:r>
          </w:p>
        </w:tc>
        <w:tc>
          <w:tcPr>
            <w:tcW w:w="88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Term Loan</w:t>
            </w:r>
          </w:p>
        </w:tc>
        <w:tc>
          <w:tcPr>
            <w:tcW w:w="52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Loan</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5.50%</w:t>
            </w:r>
          </w:p>
        </w:tc>
        <w:tc>
          <w:tcPr>
            <w:tcW w:w="76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w w:val="91"/>
              </w:rPr>
              <w:t>11/12/2021</w:t>
            </w:r>
          </w:p>
        </w:tc>
        <w:tc>
          <w:tcPr>
            <w:tcW w:w="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90"/>
              </w:rPr>
              <w:t>500,000</w:t>
            </w: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495,182</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502,815</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tcPr>
          <w:p>
            <w:pPr>
              <w:spacing w:after="0" w:line="149" w:lineRule="exact"/>
              <w:rPr>
                <w:sz w:val="20"/>
                <w:szCs w:val="20"/>
                <w:color w:val="auto"/>
              </w:rPr>
            </w:pPr>
            <w:r>
              <w:rPr>
                <w:rFonts w:ascii="Arial" w:cs="Arial" w:eastAsia="Arial" w:hAnsi="Arial"/>
                <w:sz w:val="14"/>
                <w:szCs w:val="14"/>
                <w:color w:val="auto"/>
              </w:rPr>
              <w:t>TransUnion</w:t>
            </w:r>
          </w:p>
        </w:tc>
        <w:tc>
          <w:tcPr>
            <w:tcW w:w="1900" w:type="dxa"/>
            <w:vAlign w:val="bottom"/>
          </w:tcPr>
          <w:p>
            <w:pPr>
              <w:ind w:left="320"/>
              <w:spacing w:after="0" w:line="149" w:lineRule="exact"/>
              <w:rPr>
                <w:sz w:val="20"/>
                <w:szCs w:val="20"/>
                <w:color w:val="auto"/>
              </w:rPr>
            </w:pPr>
            <w:r>
              <w:rPr>
                <w:rFonts w:ascii="Arial" w:cs="Arial" w:eastAsia="Arial" w:hAnsi="Arial"/>
                <w:sz w:val="14"/>
                <w:szCs w:val="14"/>
                <w:color w:val="auto"/>
              </w:rPr>
              <w:t>Financial Intermediaries</w:t>
            </w:r>
          </w:p>
        </w:tc>
        <w:tc>
          <w:tcPr>
            <w:tcW w:w="880" w:type="dxa"/>
            <w:vAlign w:val="bottom"/>
          </w:tcPr>
          <w:p>
            <w:pPr>
              <w:ind w:left="120"/>
              <w:spacing w:after="0" w:line="149" w:lineRule="exact"/>
              <w:rPr>
                <w:sz w:val="20"/>
                <w:szCs w:val="20"/>
                <w:color w:val="auto"/>
              </w:rPr>
            </w:pPr>
            <w:r>
              <w:rPr>
                <w:rFonts w:ascii="Arial" w:cs="Arial" w:eastAsia="Arial" w:hAnsi="Arial"/>
                <w:sz w:val="14"/>
                <w:szCs w:val="14"/>
                <w:color w:val="auto"/>
              </w:rPr>
              <w:t>Term Loan</w:t>
            </w:r>
          </w:p>
        </w:tc>
        <w:tc>
          <w:tcPr>
            <w:tcW w:w="520" w:type="dxa"/>
            <w:vAlign w:val="bottom"/>
          </w:tcPr>
          <w:p>
            <w:pPr>
              <w:ind w:left="60"/>
              <w:spacing w:after="0" w:line="149" w:lineRule="exact"/>
              <w:rPr>
                <w:sz w:val="20"/>
                <w:szCs w:val="20"/>
                <w:color w:val="auto"/>
              </w:rPr>
            </w:pPr>
            <w:r>
              <w:rPr>
                <w:rFonts w:ascii="Arial" w:cs="Arial" w:eastAsia="Arial" w:hAnsi="Arial"/>
                <w:sz w:val="14"/>
                <w:szCs w:val="14"/>
                <w:color w:val="auto"/>
              </w:rPr>
              <w:t>Loan</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4.00%</w:t>
            </w:r>
          </w:p>
        </w:tc>
        <w:tc>
          <w:tcPr>
            <w:tcW w:w="760" w:type="dxa"/>
            <w:vAlign w:val="bottom"/>
          </w:tcPr>
          <w:p>
            <w:pPr>
              <w:jc w:val="right"/>
              <w:ind w:right="32"/>
              <w:spacing w:after="0" w:line="149" w:lineRule="exact"/>
              <w:rPr>
                <w:sz w:val="20"/>
                <w:szCs w:val="20"/>
                <w:color w:val="auto"/>
              </w:rPr>
            </w:pPr>
            <w:r>
              <w:rPr>
                <w:rFonts w:ascii="Arial" w:cs="Arial" w:eastAsia="Arial" w:hAnsi="Arial"/>
                <w:sz w:val="14"/>
                <w:szCs w:val="14"/>
                <w:color w:val="auto"/>
              </w:rPr>
              <w:t>4/9/2021</w:t>
            </w:r>
          </w:p>
        </w:tc>
        <w:tc>
          <w:tcPr>
            <w:tcW w:w="12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w w:val="90"/>
              </w:rPr>
              <w:t>496,250</w:t>
            </w:r>
          </w:p>
        </w:tc>
        <w:tc>
          <w:tcPr>
            <w:tcW w:w="80" w:type="dxa"/>
            <w:vAlign w:val="bottom"/>
          </w:tcPr>
          <w:p>
            <w:pPr>
              <w:spacing w:after="0"/>
              <w:rPr>
                <w:sz w:val="12"/>
                <w:szCs w:val="12"/>
                <w:color w:val="auto"/>
              </w:rPr>
            </w:pPr>
          </w:p>
        </w:tc>
        <w:tc>
          <w:tcPr>
            <w:tcW w:w="7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495,138</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493,977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Tricorbraun, Inc. (fka Kranson Industries, Inc.)</w:t>
            </w:r>
          </w:p>
        </w:tc>
        <w:tc>
          <w:tcPr>
            <w:tcW w:w="190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w w:val="93"/>
              </w:rPr>
              <w:t>Containers/Glass Products</w:t>
            </w:r>
          </w:p>
        </w:tc>
        <w:tc>
          <w:tcPr>
            <w:tcW w:w="88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Term Loan</w:t>
            </w:r>
          </w:p>
        </w:tc>
        <w:tc>
          <w:tcPr>
            <w:tcW w:w="52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Loan</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4.00%</w:t>
            </w:r>
          </w:p>
        </w:tc>
        <w:tc>
          <w:tcPr>
            <w:tcW w:w="76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5/3/2018</w:t>
            </w:r>
          </w:p>
        </w:tc>
        <w:tc>
          <w:tcPr>
            <w:tcW w:w="76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82"/>
              </w:rPr>
              <w:t>$1,850,000</w:t>
            </w: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1,843,008</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1,822,250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180" w:type="dxa"/>
            <w:vAlign w:val="bottom"/>
          </w:tcPr>
          <w:p>
            <w:pPr>
              <w:spacing w:after="0" w:line="138" w:lineRule="exact"/>
              <w:rPr>
                <w:sz w:val="20"/>
                <w:szCs w:val="20"/>
                <w:color w:val="auto"/>
              </w:rPr>
            </w:pPr>
            <w:r>
              <w:rPr>
                <w:rFonts w:ascii="Arial" w:cs="Arial" w:eastAsia="Arial" w:hAnsi="Arial"/>
                <w:sz w:val="14"/>
                <w:szCs w:val="14"/>
                <w:color w:val="auto"/>
                <w:w w:val="97"/>
              </w:rPr>
              <w:t>Truven Health Analytics Inc. (fka Thomson Reuters (Healthcare) Inc.)</w:t>
            </w:r>
          </w:p>
        </w:tc>
        <w:tc>
          <w:tcPr>
            <w:tcW w:w="1900" w:type="dxa"/>
            <w:vAlign w:val="bottom"/>
          </w:tcPr>
          <w:p>
            <w:pPr>
              <w:ind w:left="320"/>
              <w:spacing w:after="0" w:line="138" w:lineRule="exact"/>
              <w:rPr>
                <w:sz w:val="20"/>
                <w:szCs w:val="20"/>
                <w:color w:val="auto"/>
              </w:rPr>
            </w:pPr>
            <w:r>
              <w:rPr>
                <w:rFonts w:ascii="Arial" w:cs="Arial" w:eastAsia="Arial" w:hAnsi="Arial"/>
                <w:sz w:val="14"/>
                <w:szCs w:val="14"/>
                <w:color w:val="auto"/>
              </w:rPr>
              <w:t>Healthcare &amp;</w:t>
            </w:r>
          </w:p>
        </w:tc>
        <w:tc>
          <w:tcPr>
            <w:tcW w:w="880" w:type="dxa"/>
            <w:vAlign w:val="bottom"/>
          </w:tcPr>
          <w:p>
            <w:pPr>
              <w:ind w:left="120"/>
              <w:spacing w:after="0" w:line="138" w:lineRule="exact"/>
              <w:rPr>
                <w:sz w:val="20"/>
                <w:szCs w:val="20"/>
                <w:color w:val="auto"/>
              </w:rPr>
            </w:pPr>
            <w:r>
              <w:rPr>
                <w:rFonts w:ascii="Arial" w:cs="Arial" w:eastAsia="Arial" w:hAnsi="Arial"/>
                <w:sz w:val="14"/>
                <w:szCs w:val="14"/>
                <w:color w:val="auto"/>
              </w:rPr>
              <w:t>New</w:t>
            </w:r>
          </w:p>
        </w:tc>
        <w:tc>
          <w:tcPr>
            <w:tcW w:w="520" w:type="dxa"/>
            <w:vAlign w:val="bottom"/>
          </w:tcPr>
          <w:p>
            <w:pPr>
              <w:ind w:left="60"/>
              <w:spacing w:after="0" w:line="138" w:lineRule="exact"/>
              <w:rPr>
                <w:sz w:val="20"/>
                <w:szCs w:val="20"/>
                <w:color w:val="auto"/>
              </w:rPr>
            </w:pPr>
            <w:r>
              <w:rPr>
                <w:rFonts w:ascii="Arial" w:cs="Arial" w:eastAsia="Arial" w:hAnsi="Arial"/>
                <w:sz w:val="14"/>
                <w:szCs w:val="14"/>
                <w:color w:val="auto"/>
              </w:rPr>
              <w:t>Loan</w:t>
            </w: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1900" w:type="dxa"/>
            <w:vAlign w:val="bottom"/>
          </w:tcPr>
          <w:p>
            <w:pPr>
              <w:ind w:left="320"/>
              <w:spacing w:after="0" w:line="149" w:lineRule="exact"/>
              <w:rPr>
                <w:sz w:val="20"/>
                <w:szCs w:val="20"/>
                <w:color w:val="auto"/>
              </w:rPr>
            </w:pPr>
            <w:r>
              <w:rPr>
                <w:rFonts w:ascii="Arial" w:cs="Arial" w:eastAsia="Arial" w:hAnsi="Arial"/>
                <w:sz w:val="14"/>
                <w:szCs w:val="14"/>
                <w:color w:val="auto"/>
              </w:rPr>
              <w:t>Pharmaceuticals</w:t>
            </w:r>
          </w:p>
        </w:tc>
        <w:tc>
          <w:tcPr>
            <w:tcW w:w="880" w:type="dxa"/>
            <w:vAlign w:val="bottom"/>
          </w:tcPr>
          <w:p>
            <w:pPr>
              <w:ind w:left="120"/>
              <w:spacing w:after="0" w:line="149" w:lineRule="exact"/>
              <w:rPr>
                <w:sz w:val="20"/>
                <w:szCs w:val="20"/>
                <w:color w:val="auto"/>
              </w:rPr>
            </w:pPr>
            <w:r>
              <w:rPr>
                <w:rFonts w:ascii="Arial" w:cs="Arial" w:eastAsia="Arial" w:hAnsi="Arial"/>
                <w:sz w:val="14"/>
                <w:szCs w:val="14"/>
                <w:color w:val="auto"/>
              </w:rPr>
              <w:t>Tranche B</w:t>
            </w:r>
          </w:p>
        </w:tc>
        <w:tc>
          <w:tcPr>
            <w:tcW w:w="5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18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880" w:type="dxa"/>
            <w:vAlign w:val="bottom"/>
          </w:tcPr>
          <w:p>
            <w:pPr>
              <w:ind w:left="120"/>
              <w:spacing w:after="0" w:line="159" w:lineRule="exact"/>
              <w:rPr>
                <w:sz w:val="20"/>
                <w:szCs w:val="20"/>
                <w:color w:val="auto"/>
              </w:rPr>
            </w:pPr>
            <w:r>
              <w:rPr>
                <w:rFonts w:ascii="Arial" w:cs="Arial" w:eastAsia="Arial" w:hAnsi="Arial"/>
                <w:sz w:val="14"/>
                <w:szCs w:val="14"/>
                <w:color w:val="auto"/>
              </w:rPr>
              <w:t>Term Loan</w:t>
            </w:r>
          </w:p>
        </w:tc>
        <w:tc>
          <w:tcPr>
            <w:tcW w:w="520" w:type="dxa"/>
            <w:vAlign w:val="bottom"/>
          </w:tcPr>
          <w:p>
            <w:pPr>
              <w:spacing w:after="0"/>
              <w:rPr>
                <w:sz w:val="13"/>
                <w:szCs w:val="13"/>
                <w:color w:val="auto"/>
              </w:rPr>
            </w:pPr>
          </w:p>
        </w:tc>
        <w:tc>
          <w:tcPr>
            <w:tcW w:w="680" w:type="dxa"/>
            <w:vAlign w:val="bottom"/>
          </w:tcPr>
          <w:p>
            <w:pPr>
              <w:jc w:val="right"/>
              <w:spacing w:after="0" w:line="159" w:lineRule="exact"/>
              <w:rPr>
                <w:sz w:val="20"/>
                <w:szCs w:val="20"/>
                <w:color w:val="auto"/>
              </w:rPr>
            </w:pPr>
            <w:r>
              <w:rPr>
                <w:rFonts w:ascii="Arial" w:cs="Arial" w:eastAsia="Arial" w:hAnsi="Arial"/>
                <w:sz w:val="14"/>
                <w:szCs w:val="14"/>
                <w:color w:val="auto"/>
              </w:rPr>
              <w:t>4.50%</w:t>
            </w:r>
          </w:p>
        </w:tc>
        <w:tc>
          <w:tcPr>
            <w:tcW w:w="760" w:type="dxa"/>
            <w:vAlign w:val="bottom"/>
          </w:tcPr>
          <w:p>
            <w:pPr>
              <w:jc w:val="right"/>
              <w:ind w:right="32"/>
              <w:spacing w:after="0" w:line="159" w:lineRule="exact"/>
              <w:rPr>
                <w:sz w:val="20"/>
                <w:szCs w:val="20"/>
                <w:color w:val="auto"/>
              </w:rPr>
            </w:pPr>
            <w:r>
              <w:rPr>
                <w:rFonts w:ascii="Arial" w:cs="Arial" w:eastAsia="Arial" w:hAnsi="Arial"/>
                <w:sz w:val="14"/>
                <w:szCs w:val="14"/>
                <w:color w:val="auto"/>
              </w:rPr>
              <w:t>6/6/2019</w:t>
            </w:r>
          </w:p>
        </w:tc>
        <w:tc>
          <w:tcPr>
            <w:tcW w:w="120" w:type="dxa"/>
            <w:vAlign w:val="bottom"/>
          </w:tcPr>
          <w:p>
            <w:pPr>
              <w:spacing w:after="0" w:line="159"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w w:val="90"/>
              </w:rPr>
              <w:t>487,566</w:t>
            </w:r>
          </w:p>
        </w:tc>
        <w:tc>
          <w:tcPr>
            <w:tcW w:w="80" w:type="dxa"/>
            <w:vAlign w:val="bottom"/>
          </w:tcPr>
          <w:p>
            <w:pPr>
              <w:spacing w:after="0"/>
              <w:rPr>
                <w:sz w:val="13"/>
                <w:szCs w:val="13"/>
                <w:color w:val="auto"/>
              </w:rPr>
            </w:pPr>
          </w:p>
        </w:tc>
        <w:tc>
          <w:tcPr>
            <w:tcW w:w="74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479,874</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jc w:val="right"/>
              <w:spacing w:after="0" w:line="159" w:lineRule="exact"/>
              <w:rPr>
                <w:sz w:val="20"/>
                <w:szCs w:val="20"/>
                <w:color w:val="auto"/>
              </w:rPr>
            </w:pPr>
            <w:r>
              <w:rPr>
                <w:rFonts w:ascii="Arial" w:cs="Arial" w:eastAsia="Arial" w:hAnsi="Arial"/>
                <w:sz w:val="14"/>
                <w:szCs w:val="14"/>
                <w:color w:val="auto"/>
              </w:rPr>
              <w:t>481,471</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18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Twin River Management Group, Inc.</w:t>
            </w:r>
          </w:p>
        </w:tc>
        <w:tc>
          <w:tcPr>
            <w:tcW w:w="1900" w:type="dxa"/>
            <w:vAlign w:val="bottom"/>
            <w:shd w:val="clear" w:color="auto" w:fill="CCEEFF"/>
          </w:tcPr>
          <w:p>
            <w:pPr>
              <w:ind w:left="320"/>
              <w:spacing w:after="0" w:line="138" w:lineRule="exact"/>
              <w:rPr>
                <w:sz w:val="20"/>
                <w:szCs w:val="20"/>
                <w:color w:val="auto"/>
              </w:rPr>
            </w:pPr>
            <w:r>
              <w:rPr>
                <w:rFonts w:ascii="Arial" w:cs="Arial" w:eastAsia="Arial" w:hAnsi="Arial"/>
                <w:sz w:val="14"/>
                <w:szCs w:val="14"/>
                <w:color w:val="auto"/>
              </w:rPr>
              <w:t>Lodging &amp; Casinos</w:t>
            </w:r>
          </w:p>
        </w:tc>
        <w:tc>
          <w:tcPr>
            <w:tcW w:w="880" w:type="dxa"/>
            <w:vAlign w:val="bottom"/>
            <w:shd w:val="clear" w:color="auto" w:fill="CCEEFF"/>
          </w:tcPr>
          <w:p>
            <w:pPr>
              <w:ind w:left="120"/>
              <w:spacing w:after="0" w:line="138" w:lineRule="exact"/>
              <w:rPr>
                <w:sz w:val="20"/>
                <w:szCs w:val="20"/>
                <w:color w:val="auto"/>
              </w:rPr>
            </w:pPr>
            <w:r>
              <w:rPr>
                <w:rFonts w:ascii="Arial" w:cs="Arial" w:eastAsia="Arial" w:hAnsi="Arial"/>
                <w:sz w:val="14"/>
                <w:szCs w:val="14"/>
                <w:color w:val="auto"/>
              </w:rPr>
              <w:t>Term Loan</w:t>
            </w:r>
          </w:p>
        </w:tc>
        <w:tc>
          <w:tcPr>
            <w:tcW w:w="520" w:type="dxa"/>
            <w:vAlign w:val="bottom"/>
            <w:shd w:val="clear" w:color="auto" w:fill="CCEEFF"/>
          </w:tcPr>
          <w:p>
            <w:pPr>
              <w:ind w:left="60"/>
              <w:spacing w:after="0" w:line="138" w:lineRule="exact"/>
              <w:rPr>
                <w:sz w:val="20"/>
                <w:szCs w:val="20"/>
                <w:color w:val="auto"/>
              </w:rPr>
            </w:pPr>
            <w:r>
              <w:rPr>
                <w:rFonts w:ascii="Arial" w:cs="Arial" w:eastAsia="Arial" w:hAnsi="Arial"/>
                <w:sz w:val="14"/>
                <w:szCs w:val="14"/>
                <w:color w:val="auto"/>
              </w:rPr>
              <w:t>Loan</w:t>
            </w:r>
          </w:p>
        </w:tc>
        <w:tc>
          <w:tcPr>
            <w:tcW w:w="6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180" w:type="dxa"/>
            <w:vAlign w:val="bottom"/>
            <w:shd w:val="clear" w:color="auto" w:fill="CCEEFF"/>
          </w:tcPr>
          <w:p>
            <w:pPr>
              <w:spacing w:after="0"/>
              <w:rPr>
                <w:sz w:val="13"/>
                <w:szCs w:val="13"/>
                <w:color w:val="auto"/>
              </w:rPr>
            </w:pPr>
          </w:p>
        </w:tc>
        <w:tc>
          <w:tcPr>
            <w:tcW w:w="1900" w:type="dxa"/>
            <w:vAlign w:val="bottom"/>
            <w:shd w:val="clear" w:color="auto" w:fill="CCEEFF"/>
          </w:tcPr>
          <w:p>
            <w:pPr>
              <w:spacing w:after="0"/>
              <w:rPr>
                <w:sz w:val="13"/>
                <w:szCs w:val="13"/>
                <w:color w:val="auto"/>
              </w:rPr>
            </w:pPr>
          </w:p>
        </w:tc>
        <w:tc>
          <w:tcPr>
            <w:tcW w:w="880" w:type="dxa"/>
            <w:vAlign w:val="bottom"/>
            <w:shd w:val="clear" w:color="auto" w:fill="CCEEFF"/>
          </w:tcPr>
          <w:p>
            <w:pPr>
              <w:ind w:left="120"/>
              <w:spacing w:after="0" w:line="159" w:lineRule="exact"/>
              <w:rPr>
                <w:sz w:val="20"/>
                <w:szCs w:val="20"/>
                <w:color w:val="auto"/>
              </w:rPr>
            </w:pPr>
            <w:r>
              <w:rPr>
                <w:rFonts w:ascii="Arial" w:cs="Arial" w:eastAsia="Arial" w:hAnsi="Arial"/>
                <w:sz w:val="14"/>
                <w:szCs w:val="14"/>
                <w:color w:val="auto"/>
              </w:rPr>
              <w:t>B</w:t>
            </w:r>
          </w:p>
        </w:tc>
        <w:tc>
          <w:tcPr>
            <w:tcW w:w="52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5.25%</w:t>
            </w:r>
          </w:p>
        </w:tc>
        <w:tc>
          <w:tcPr>
            <w:tcW w:w="760" w:type="dxa"/>
            <w:vAlign w:val="bottom"/>
            <w:shd w:val="clear" w:color="auto" w:fill="CCEEFF"/>
          </w:tcPr>
          <w:p>
            <w:pPr>
              <w:jc w:val="right"/>
              <w:ind w:right="32"/>
              <w:spacing w:after="0" w:line="159" w:lineRule="exact"/>
              <w:rPr>
                <w:sz w:val="20"/>
                <w:szCs w:val="20"/>
                <w:color w:val="auto"/>
              </w:rPr>
            </w:pPr>
            <w:r>
              <w:rPr>
                <w:rFonts w:ascii="Arial" w:cs="Arial" w:eastAsia="Arial" w:hAnsi="Arial"/>
                <w:sz w:val="14"/>
                <w:szCs w:val="14"/>
                <w:color w:val="auto"/>
              </w:rPr>
              <w:t>7/10/2020</w:t>
            </w:r>
          </w:p>
        </w:tc>
        <w:tc>
          <w:tcPr>
            <w:tcW w:w="12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w w:val="90"/>
              </w:rPr>
              <w:t>974,167</w:t>
            </w:r>
          </w:p>
        </w:tc>
        <w:tc>
          <w:tcPr>
            <w:tcW w:w="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976,455</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975,998</w:t>
            </w: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180" w:type="dxa"/>
            <w:vAlign w:val="bottom"/>
          </w:tcPr>
          <w:p>
            <w:pPr>
              <w:spacing w:after="0" w:line="138" w:lineRule="exact"/>
              <w:rPr>
                <w:sz w:val="20"/>
                <w:szCs w:val="20"/>
                <w:color w:val="auto"/>
              </w:rPr>
            </w:pPr>
            <w:r>
              <w:rPr>
                <w:rFonts w:ascii="Arial" w:cs="Arial" w:eastAsia="Arial" w:hAnsi="Arial"/>
                <w:sz w:val="14"/>
                <w:szCs w:val="14"/>
                <w:color w:val="auto"/>
              </w:rPr>
              <w:t>U.S. Security Associates Holdings, Inc.</w:t>
            </w:r>
          </w:p>
        </w:tc>
        <w:tc>
          <w:tcPr>
            <w:tcW w:w="1900" w:type="dxa"/>
            <w:vAlign w:val="bottom"/>
          </w:tcPr>
          <w:p>
            <w:pPr>
              <w:ind w:left="320"/>
              <w:spacing w:after="0" w:line="138" w:lineRule="exact"/>
              <w:rPr>
                <w:sz w:val="20"/>
                <w:szCs w:val="20"/>
                <w:color w:val="auto"/>
              </w:rPr>
            </w:pPr>
            <w:r>
              <w:rPr>
                <w:rFonts w:ascii="Arial" w:cs="Arial" w:eastAsia="Arial" w:hAnsi="Arial"/>
                <w:sz w:val="14"/>
                <w:szCs w:val="14"/>
                <w:color w:val="auto"/>
              </w:rPr>
              <w:t>Services: Business</w:t>
            </w:r>
          </w:p>
        </w:tc>
        <w:tc>
          <w:tcPr>
            <w:tcW w:w="880" w:type="dxa"/>
            <w:vAlign w:val="bottom"/>
          </w:tcPr>
          <w:p>
            <w:pPr>
              <w:ind w:left="120"/>
              <w:spacing w:after="0" w:line="138" w:lineRule="exact"/>
              <w:rPr>
                <w:sz w:val="20"/>
                <w:szCs w:val="20"/>
                <w:color w:val="auto"/>
              </w:rPr>
            </w:pPr>
            <w:r>
              <w:rPr>
                <w:rFonts w:ascii="Arial" w:cs="Arial" w:eastAsia="Arial" w:hAnsi="Arial"/>
                <w:sz w:val="14"/>
                <w:szCs w:val="14"/>
                <w:color w:val="auto"/>
              </w:rPr>
              <w:t>Delayed</w:t>
            </w:r>
          </w:p>
        </w:tc>
        <w:tc>
          <w:tcPr>
            <w:tcW w:w="520" w:type="dxa"/>
            <w:vAlign w:val="bottom"/>
          </w:tcPr>
          <w:p>
            <w:pPr>
              <w:ind w:left="60"/>
              <w:spacing w:after="0" w:line="138" w:lineRule="exact"/>
              <w:rPr>
                <w:sz w:val="20"/>
                <w:szCs w:val="20"/>
                <w:color w:val="auto"/>
              </w:rPr>
            </w:pPr>
            <w:r>
              <w:rPr>
                <w:rFonts w:ascii="Arial" w:cs="Arial" w:eastAsia="Arial" w:hAnsi="Arial"/>
                <w:sz w:val="14"/>
                <w:szCs w:val="14"/>
                <w:color w:val="auto"/>
              </w:rPr>
              <w:t>Loan</w:t>
            </w: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18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880" w:type="dxa"/>
            <w:vAlign w:val="bottom"/>
          </w:tcPr>
          <w:p>
            <w:pPr>
              <w:ind w:left="120"/>
              <w:spacing w:after="0" w:line="159" w:lineRule="exact"/>
              <w:rPr>
                <w:sz w:val="20"/>
                <w:szCs w:val="20"/>
                <w:color w:val="auto"/>
              </w:rPr>
            </w:pPr>
            <w:r>
              <w:rPr>
                <w:rFonts w:ascii="Arial" w:cs="Arial" w:eastAsia="Arial" w:hAnsi="Arial"/>
                <w:sz w:val="14"/>
                <w:szCs w:val="14"/>
                <w:color w:val="auto"/>
              </w:rPr>
              <w:t>Draw Loan</w:t>
            </w:r>
          </w:p>
        </w:tc>
        <w:tc>
          <w:tcPr>
            <w:tcW w:w="520" w:type="dxa"/>
            <w:vAlign w:val="bottom"/>
          </w:tcPr>
          <w:p>
            <w:pPr>
              <w:spacing w:after="0"/>
              <w:rPr>
                <w:sz w:val="13"/>
                <w:szCs w:val="13"/>
                <w:color w:val="auto"/>
              </w:rPr>
            </w:pPr>
          </w:p>
        </w:tc>
        <w:tc>
          <w:tcPr>
            <w:tcW w:w="680" w:type="dxa"/>
            <w:vAlign w:val="bottom"/>
          </w:tcPr>
          <w:p>
            <w:pPr>
              <w:jc w:val="right"/>
              <w:spacing w:after="0" w:line="159" w:lineRule="exact"/>
              <w:rPr>
                <w:sz w:val="20"/>
                <w:szCs w:val="20"/>
                <w:color w:val="auto"/>
              </w:rPr>
            </w:pPr>
            <w:r>
              <w:rPr>
                <w:rFonts w:ascii="Arial" w:cs="Arial" w:eastAsia="Arial" w:hAnsi="Arial"/>
                <w:sz w:val="14"/>
                <w:szCs w:val="14"/>
                <w:color w:val="auto"/>
              </w:rPr>
              <w:t>6.25%</w:t>
            </w:r>
          </w:p>
        </w:tc>
        <w:tc>
          <w:tcPr>
            <w:tcW w:w="760" w:type="dxa"/>
            <w:vAlign w:val="bottom"/>
          </w:tcPr>
          <w:p>
            <w:pPr>
              <w:jc w:val="right"/>
              <w:ind w:right="32"/>
              <w:spacing w:after="0" w:line="159" w:lineRule="exact"/>
              <w:rPr>
                <w:sz w:val="20"/>
                <w:szCs w:val="20"/>
                <w:color w:val="auto"/>
              </w:rPr>
            </w:pPr>
            <w:r>
              <w:rPr>
                <w:rFonts w:ascii="Arial" w:cs="Arial" w:eastAsia="Arial" w:hAnsi="Arial"/>
                <w:sz w:val="14"/>
                <w:szCs w:val="14"/>
                <w:color w:val="auto"/>
              </w:rPr>
              <w:t>7/28/2017</w:t>
            </w:r>
          </w:p>
        </w:tc>
        <w:tc>
          <w:tcPr>
            <w:tcW w:w="120" w:type="dxa"/>
            <w:vAlign w:val="bottom"/>
          </w:tcPr>
          <w:p>
            <w:pPr>
              <w:spacing w:after="0" w:line="159"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w w:val="90"/>
              </w:rPr>
              <w:t>158,518</w:t>
            </w:r>
          </w:p>
        </w:tc>
        <w:tc>
          <w:tcPr>
            <w:tcW w:w="80" w:type="dxa"/>
            <w:vAlign w:val="bottom"/>
          </w:tcPr>
          <w:p>
            <w:pPr>
              <w:spacing w:after="0"/>
              <w:rPr>
                <w:sz w:val="13"/>
                <w:szCs w:val="13"/>
                <w:color w:val="auto"/>
              </w:rPr>
            </w:pPr>
          </w:p>
        </w:tc>
        <w:tc>
          <w:tcPr>
            <w:tcW w:w="74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157,610</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jc w:val="right"/>
              <w:spacing w:after="0" w:line="159" w:lineRule="exact"/>
              <w:rPr>
                <w:sz w:val="20"/>
                <w:szCs w:val="20"/>
                <w:color w:val="auto"/>
              </w:rPr>
            </w:pPr>
            <w:r>
              <w:rPr>
                <w:rFonts w:ascii="Arial" w:cs="Arial" w:eastAsia="Arial" w:hAnsi="Arial"/>
                <w:sz w:val="14"/>
                <w:szCs w:val="14"/>
                <w:color w:val="auto"/>
              </w:rPr>
              <w:t>156,734</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18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U.S. Security Associates Holdings, Inc.</w:t>
            </w:r>
          </w:p>
        </w:tc>
        <w:tc>
          <w:tcPr>
            <w:tcW w:w="1900" w:type="dxa"/>
            <w:vAlign w:val="bottom"/>
            <w:shd w:val="clear" w:color="auto" w:fill="CCEEFF"/>
          </w:tcPr>
          <w:p>
            <w:pPr>
              <w:ind w:left="320"/>
              <w:spacing w:after="0" w:line="138" w:lineRule="exact"/>
              <w:rPr>
                <w:sz w:val="20"/>
                <w:szCs w:val="20"/>
                <w:color w:val="auto"/>
              </w:rPr>
            </w:pPr>
            <w:r>
              <w:rPr>
                <w:rFonts w:ascii="Arial" w:cs="Arial" w:eastAsia="Arial" w:hAnsi="Arial"/>
                <w:sz w:val="14"/>
                <w:szCs w:val="14"/>
                <w:color w:val="auto"/>
              </w:rPr>
              <w:t>Services: Business</w:t>
            </w:r>
          </w:p>
        </w:tc>
        <w:tc>
          <w:tcPr>
            <w:tcW w:w="880" w:type="dxa"/>
            <w:vAlign w:val="bottom"/>
            <w:shd w:val="clear" w:color="auto" w:fill="CCEEFF"/>
          </w:tcPr>
          <w:p>
            <w:pPr>
              <w:ind w:left="120"/>
              <w:spacing w:after="0" w:line="138" w:lineRule="exact"/>
              <w:rPr>
                <w:sz w:val="20"/>
                <w:szCs w:val="20"/>
                <w:color w:val="auto"/>
              </w:rPr>
            </w:pPr>
            <w:r>
              <w:rPr>
                <w:rFonts w:ascii="Arial" w:cs="Arial" w:eastAsia="Arial" w:hAnsi="Arial"/>
                <w:sz w:val="14"/>
                <w:szCs w:val="14"/>
                <w:color w:val="auto"/>
              </w:rPr>
              <w:t>Term B</w:t>
            </w:r>
          </w:p>
        </w:tc>
        <w:tc>
          <w:tcPr>
            <w:tcW w:w="520" w:type="dxa"/>
            <w:vAlign w:val="bottom"/>
            <w:shd w:val="clear" w:color="auto" w:fill="CCEEFF"/>
          </w:tcPr>
          <w:p>
            <w:pPr>
              <w:ind w:left="60"/>
              <w:spacing w:after="0" w:line="138" w:lineRule="exact"/>
              <w:rPr>
                <w:sz w:val="20"/>
                <w:szCs w:val="20"/>
                <w:color w:val="auto"/>
              </w:rPr>
            </w:pPr>
            <w:r>
              <w:rPr>
                <w:rFonts w:ascii="Arial" w:cs="Arial" w:eastAsia="Arial" w:hAnsi="Arial"/>
                <w:sz w:val="14"/>
                <w:szCs w:val="14"/>
                <w:color w:val="auto"/>
              </w:rPr>
              <w:t>Loan</w:t>
            </w:r>
          </w:p>
        </w:tc>
        <w:tc>
          <w:tcPr>
            <w:tcW w:w="6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180" w:type="dxa"/>
            <w:vAlign w:val="bottom"/>
            <w:shd w:val="clear" w:color="auto" w:fill="CCEEFF"/>
          </w:tcPr>
          <w:p>
            <w:pPr>
              <w:spacing w:after="0"/>
              <w:rPr>
                <w:sz w:val="13"/>
                <w:szCs w:val="13"/>
                <w:color w:val="auto"/>
              </w:rPr>
            </w:pPr>
          </w:p>
        </w:tc>
        <w:tc>
          <w:tcPr>
            <w:tcW w:w="1900" w:type="dxa"/>
            <w:vAlign w:val="bottom"/>
            <w:shd w:val="clear" w:color="auto" w:fill="CCEEFF"/>
          </w:tcPr>
          <w:p>
            <w:pPr>
              <w:spacing w:after="0"/>
              <w:rPr>
                <w:sz w:val="13"/>
                <w:szCs w:val="13"/>
                <w:color w:val="auto"/>
              </w:rPr>
            </w:pPr>
          </w:p>
        </w:tc>
        <w:tc>
          <w:tcPr>
            <w:tcW w:w="880" w:type="dxa"/>
            <w:vAlign w:val="bottom"/>
            <w:shd w:val="clear" w:color="auto" w:fill="CCEEFF"/>
          </w:tcPr>
          <w:p>
            <w:pPr>
              <w:ind w:left="120"/>
              <w:spacing w:after="0" w:line="159" w:lineRule="exact"/>
              <w:rPr>
                <w:sz w:val="20"/>
                <w:szCs w:val="20"/>
                <w:color w:val="auto"/>
              </w:rPr>
            </w:pPr>
            <w:r>
              <w:rPr>
                <w:rFonts w:ascii="Arial" w:cs="Arial" w:eastAsia="Arial" w:hAnsi="Arial"/>
                <w:sz w:val="14"/>
                <w:szCs w:val="14"/>
                <w:color w:val="auto"/>
              </w:rPr>
              <w:t>Loan</w:t>
            </w:r>
          </w:p>
        </w:tc>
        <w:tc>
          <w:tcPr>
            <w:tcW w:w="52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6.25%</w:t>
            </w:r>
          </w:p>
        </w:tc>
        <w:tc>
          <w:tcPr>
            <w:tcW w:w="760" w:type="dxa"/>
            <w:vAlign w:val="bottom"/>
            <w:shd w:val="clear" w:color="auto" w:fill="CCEEFF"/>
          </w:tcPr>
          <w:p>
            <w:pPr>
              <w:jc w:val="right"/>
              <w:ind w:right="32"/>
              <w:spacing w:after="0" w:line="159" w:lineRule="exact"/>
              <w:rPr>
                <w:sz w:val="20"/>
                <w:szCs w:val="20"/>
                <w:color w:val="auto"/>
              </w:rPr>
            </w:pPr>
            <w:r>
              <w:rPr>
                <w:rFonts w:ascii="Arial" w:cs="Arial" w:eastAsia="Arial" w:hAnsi="Arial"/>
                <w:sz w:val="14"/>
                <w:szCs w:val="14"/>
                <w:color w:val="auto"/>
              </w:rPr>
              <w:t>7/28/2017</w:t>
            </w:r>
          </w:p>
        </w:tc>
        <w:tc>
          <w:tcPr>
            <w:tcW w:w="12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w w:val="90"/>
              </w:rPr>
              <w:t>931,046</w:t>
            </w:r>
          </w:p>
        </w:tc>
        <w:tc>
          <w:tcPr>
            <w:tcW w:w="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926,144</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920,572</w:t>
            </w: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180" w:type="dxa"/>
            <w:vAlign w:val="bottom"/>
          </w:tcPr>
          <w:p>
            <w:pPr>
              <w:spacing w:after="0" w:line="138" w:lineRule="exact"/>
              <w:rPr>
                <w:sz w:val="20"/>
                <w:szCs w:val="20"/>
                <w:color w:val="auto"/>
              </w:rPr>
            </w:pPr>
            <w:r>
              <w:rPr>
                <w:rFonts w:ascii="Arial" w:cs="Arial" w:eastAsia="Arial" w:hAnsi="Arial"/>
                <w:sz w:val="14"/>
                <w:szCs w:val="14"/>
                <w:color w:val="auto"/>
              </w:rPr>
              <w:t>United Surgical Partners International, Inc.</w:t>
            </w:r>
          </w:p>
        </w:tc>
        <w:tc>
          <w:tcPr>
            <w:tcW w:w="1900" w:type="dxa"/>
            <w:vAlign w:val="bottom"/>
          </w:tcPr>
          <w:p>
            <w:pPr>
              <w:ind w:left="320"/>
              <w:spacing w:after="0" w:line="138" w:lineRule="exact"/>
              <w:rPr>
                <w:sz w:val="20"/>
                <w:szCs w:val="20"/>
                <w:color w:val="auto"/>
              </w:rPr>
            </w:pPr>
            <w:r>
              <w:rPr>
                <w:rFonts w:ascii="Arial" w:cs="Arial" w:eastAsia="Arial" w:hAnsi="Arial"/>
                <w:sz w:val="14"/>
                <w:szCs w:val="14"/>
                <w:color w:val="auto"/>
              </w:rPr>
              <w:t>Healthcare &amp;</w:t>
            </w:r>
          </w:p>
        </w:tc>
        <w:tc>
          <w:tcPr>
            <w:tcW w:w="880" w:type="dxa"/>
            <w:vAlign w:val="bottom"/>
          </w:tcPr>
          <w:p>
            <w:pPr>
              <w:ind w:left="120"/>
              <w:spacing w:after="0" w:line="138" w:lineRule="exact"/>
              <w:rPr>
                <w:sz w:val="20"/>
                <w:szCs w:val="20"/>
                <w:color w:val="auto"/>
              </w:rPr>
            </w:pPr>
            <w:r>
              <w:rPr>
                <w:rFonts w:ascii="Arial" w:cs="Arial" w:eastAsia="Arial" w:hAnsi="Arial"/>
                <w:sz w:val="14"/>
                <w:szCs w:val="14"/>
                <w:color w:val="auto"/>
              </w:rPr>
              <w:t>New</w:t>
            </w:r>
          </w:p>
        </w:tc>
        <w:tc>
          <w:tcPr>
            <w:tcW w:w="520" w:type="dxa"/>
            <w:vAlign w:val="bottom"/>
          </w:tcPr>
          <w:p>
            <w:pPr>
              <w:ind w:left="60"/>
              <w:spacing w:after="0" w:line="138" w:lineRule="exact"/>
              <w:rPr>
                <w:sz w:val="20"/>
                <w:szCs w:val="20"/>
                <w:color w:val="auto"/>
              </w:rPr>
            </w:pPr>
            <w:r>
              <w:rPr>
                <w:rFonts w:ascii="Arial" w:cs="Arial" w:eastAsia="Arial" w:hAnsi="Arial"/>
                <w:sz w:val="14"/>
                <w:szCs w:val="14"/>
                <w:color w:val="auto"/>
              </w:rPr>
              <w:t>Loan</w:t>
            </w: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1900" w:type="dxa"/>
            <w:vAlign w:val="bottom"/>
          </w:tcPr>
          <w:p>
            <w:pPr>
              <w:ind w:left="320"/>
              <w:spacing w:after="0" w:line="149" w:lineRule="exact"/>
              <w:rPr>
                <w:sz w:val="20"/>
                <w:szCs w:val="20"/>
                <w:color w:val="auto"/>
              </w:rPr>
            </w:pPr>
            <w:r>
              <w:rPr>
                <w:rFonts w:ascii="Arial" w:cs="Arial" w:eastAsia="Arial" w:hAnsi="Arial"/>
                <w:sz w:val="14"/>
                <w:szCs w:val="14"/>
                <w:color w:val="auto"/>
              </w:rPr>
              <w:t>Pharmaceuticals</w:t>
            </w:r>
          </w:p>
        </w:tc>
        <w:tc>
          <w:tcPr>
            <w:tcW w:w="880" w:type="dxa"/>
            <w:vAlign w:val="bottom"/>
          </w:tcPr>
          <w:p>
            <w:pPr>
              <w:ind w:left="120"/>
              <w:spacing w:after="0" w:line="149" w:lineRule="exact"/>
              <w:rPr>
                <w:sz w:val="20"/>
                <w:szCs w:val="20"/>
                <w:color w:val="auto"/>
              </w:rPr>
            </w:pPr>
            <w:r>
              <w:rPr>
                <w:rFonts w:ascii="Arial" w:cs="Arial" w:eastAsia="Arial" w:hAnsi="Arial"/>
                <w:sz w:val="14"/>
                <w:szCs w:val="14"/>
                <w:color w:val="auto"/>
              </w:rPr>
              <w:t>Tranche B</w:t>
            </w:r>
          </w:p>
        </w:tc>
        <w:tc>
          <w:tcPr>
            <w:tcW w:w="5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18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880" w:type="dxa"/>
            <w:vAlign w:val="bottom"/>
          </w:tcPr>
          <w:p>
            <w:pPr>
              <w:ind w:left="120"/>
              <w:spacing w:after="0" w:line="159" w:lineRule="exact"/>
              <w:rPr>
                <w:sz w:val="20"/>
                <w:szCs w:val="20"/>
                <w:color w:val="auto"/>
              </w:rPr>
            </w:pPr>
            <w:r>
              <w:rPr>
                <w:rFonts w:ascii="Arial" w:cs="Arial" w:eastAsia="Arial" w:hAnsi="Arial"/>
                <w:sz w:val="14"/>
                <w:szCs w:val="14"/>
                <w:color w:val="auto"/>
              </w:rPr>
              <w:t>Term Loan</w:t>
            </w:r>
          </w:p>
        </w:tc>
        <w:tc>
          <w:tcPr>
            <w:tcW w:w="520" w:type="dxa"/>
            <w:vAlign w:val="bottom"/>
          </w:tcPr>
          <w:p>
            <w:pPr>
              <w:spacing w:after="0"/>
              <w:rPr>
                <w:sz w:val="13"/>
                <w:szCs w:val="13"/>
                <w:color w:val="auto"/>
              </w:rPr>
            </w:pPr>
          </w:p>
        </w:tc>
        <w:tc>
          <w:tcPr>
            <w:tcW w:w="680" w:type="dxa"/>
            <w:vAlign w:val="bottom"/>
          </w:tcPr>
          <w:p>
            <w:pPr>
              <w:jc w:val="right"/>
              <w:spacing w:after="0" w:line="159" w:lineRule="exact"/>
              <w:rPr>
                <w:sz w:val="20"/>
                <w:szCs w:val="20"/>
                <w:color w:val="auto"/>
              </w:rPr>
            </w:pPr>
            <w:r>
              <w:rPr>
                <w:rFonts w:ascii="Arial" w:cs="Arial" w:eastAsia="Arial" w:hAnsi="Arial"/>
                <w:sz w:val="14"/>
                <w:szCs w:val="14"/>
                <w:color w:val="auto"/>
              </w:rPr>
              <w:t>4.75%</w:t>
            </w:r>
          </w:p>
        </w:tc>
        <w:tc>
          <w:tcPr>
            <w:tcW w:w="760" w:type="dxa"/>
            <w:vAlign w:val="bottom"/>
          </w:tcPr>
          <w:p>
            <w:pPr>
              <w:jc w:val="right"/>
              <w:ind w:right="32"/>
              <w:spacing w:after="0" w:line="159" w:lineRule="exact"/>
              <w:rPr>
                <w:sz w:val="20"/>
                <w:szCs w:val="20"/>
                <w:color w:val="auto"/>
              </w:rPr>
            </w:pPr>
            <w:r>
              <w:rPr>
                <w:rFonts w:ascii="Arial" w:cs="Arial" w:eastAsia="Arial" w:hAnsi="Arial"/>
                <w:sz w:val="14"/>
                <w:szCs w:val="14"/>
                <w:color w:val="auto"/>
              </w:rPr>
              <w:t>4/3/2019</w:t>
            </w:r>
          </w:p>
        </w:tc>
        <w:tc>
          <w:tcPr>
            <w:tcW w:w="760" w:type="dxa"/>
            <w:vAlign w:val="bottom"/>
            <w:gridSpan w:val="3"/>
          </w:tcPr>
          <w:p>
            <w:pPr>
              <w:jc w:val="right"/>
              <w:ind w:right="160"/>
              <w:spacing w:after="0" w:line="159" w:lineRule="exact"/>
              <w:rPr>
                <w:sz w:val="20"/>
                <w:szCs w:val="20"/>
                <w:color w:val="auto"/>
              </w:rPr>
            </w:pPr>
            <w:r>
              <w:rPr>
                <w:rFonts w:ascii="Arial" w:cs="Arial" w:eastAsia="Arial" w:hAnsi="Arial"/>
                <w:sz w:val="14"/>
                <w:szCs w:val="14"/>
                <w:color w:val="auto"/>
                <w:w w:val="82"/>
              </w:rPr>
              <w:t>$2,431,749</w:t>
            </w:r>
          </w:p>
        </w:tc>
        <w:tc>
          <w:tcPr>
            <w:tcW w:w="80" w:type="dxa"/>
            <w:vAlign w:val="bottom"/>
          </w:tcPr>
          <w:p>
            <w:pPr>
              <w:spacing w:after="0"/>
              <w:rPr>
                <w:sz w:val="13"/>
                <w:szCs w:val="13"/>
                <w:color w:val="auto"/>
              </w:rPr>
            </w:pPr>
          </w:p>
        </w:tc>
        <w:tc>
          <w:tcPr>
            <w:tcW w:w="74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2,408,580</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jc w:val="right"/>
              <w:spacing w:after="0" w:line="159" w:lineRule="exact"/>
              <w:rPr>
                <w:sz w:val="20"/>
                <w:szCs w:val="20"/>
                <w:color w:val="auto"/>
              </w:rPr>
            </w:pPr>
            <w:r>
              <w:rPr>
                <w:rFonts w:ascii="Arial" w:cs="Arial" w:eastAsia="Arial" w:hAnsi="Arial"/>
                <w:sz w:val="14"/>
                <w:szCs w:val="14"/>
                <w:color w:val="auto"/>
              </w:rPr>
              <w:t>2,431,749</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18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Univar Inc.</w:t>
            </w:r>
          </w:p>
        </w:tc>
        <w:tc>
          <w:tcPr>
            <w:tcW w:w="1900" w:type="dxa"/>
            <w:vAlign w:val="bottom"/>
            <w:shd w:val="clear" w:color="auto" w:fill="CCEEFF"/>
          </w:tcPr>
          <w:p>
            <w:pPr>
              <w:ind w:left="320"/>
              <w:spacing w:after="0" w:line="138" w:lineRule="exact"/>
              <w:rPr>
                <w:sz w:val="20"/>
                <w:szCs w:val="20"/>
                <w:color w:val="auto"/>
              </w:rPr>
            </w:pPr>
            <w:r>
              <w:rPr>
                <w:rFonts w:ascii="Arial" w:cs="Arial" w:eastAsia="Arial" w:hAnsi="Arial"/>
                <w:sz w:val="14"/>
                <w:szCs w:val="14"/>
                <w:color w:val="auto"/>
              </w:rPr>
              <w:t>Chemicals/Plastics</w:t>
            </w:r>
          </w:p>
        </w:tc>
        <w:tc>
          <w:tcPr>
            <w:tcW w:w="880" w:type="dxa"/>
            <w:vAlign w:val="bottom"/>
            <w:shd w:val="clear" w:color="auto" w:fill="CCEEFF"/>
          </w:tcPr>
          <w:p>
            <w:pPr>
              <w:ind w:left="120"/>
              <w:spacing w:after="0" w:line="138" w:lineRule="exact"/>
              <w:rPr>
                <w:sz w:val="20"/>
                <w:szCs w:val="20"/>
                <w:color w:val="auto"/>
              </w:rPr>
            </w:pPr>
            <w:r>
              <w:rPr>
                <w:rFonts w:ascii="Arial" w:cs="Arial" w:eastAsia="Arial" w:hAnsi="Arial"/>
                <w:sz w:val="14"/>
                <w:szCs w:val="14"/>
                <w:color w:val="auto"/>
              </w:rPr>
              <w:t>Term B</w:t>
            </w:r>
          </w:p>
        </w:tc>
        <w:tc>
          <w:tcPr>
            <w:tcW w:w="520" w:type="dxa"/>
            <w:vAlign w:val="bottom"/>
            <w:shd w:val="clear" w:color="auto" w:fill="CCEEFF"/>
          </w:tcPr>
          <w:p>
            <w:pPr>
              <w:ind w:left="60"/>
              <w:spacing w:after="0" w:line="138" w:lineRule="exact"/>
              <w:rPr>
                <w:sz w:val="20"/>
                <w:szCs w:val="20"/>
                <w:color w:val="auto"/>
              </w:rPr>
            </w:pPr>
            <w:r>
              <w:rPr>
                <w:rFonts w:ascii="Arial" w:cs="Arial" w:eastAsia="Arial" w:hAnsi="Arial"/>
                <w:sz w:val="14"/>
                <w:szCs w:val="14"/>
                <w:color w:val="auto"/>
              </w:rPr>
              <w:t>Loan</w:t>
            </w:r>
          </w:p>
        </w:tc>
        <w:tc>
          <w:tcPr>
            <w:tcW w:w="6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180" w:type="dxa"/>
            <w:vAlign w:val="bottom"/>
            <w:shd w:val="clear" w:color="auto" w:fill="CCEEFF"/>
          </w:tcPr>
          <w:p>
            <w:pPr>
              <w:spacing w:after="0"/>
              <w:rPr>
                <w:sz w:val="13"/>
                <w:szCs w:val="13"/>
                <w:color w:val="auto"/>
              </w:rPr>
            </w:pPr>
          </w:p>
        </w:tc>
        <w:tc>
          <w:tcPr>
            <w:tcW w:w="1900" w:type="dxa"/>
            <w:vAlign w:val="bottom"/>
            <w:shd w:val="clear" w:color="auto" w:fill="CCEEFF"/>
          </w:tcPr>
          <w:p>
            <w:pPr>
              <w:spacing w:after="0"/>
              <w:rPr>
                <w:sz w:val="13"/>
                <w:szCs w:val="13"/>
                <w:color w:val="auto"/>
              </w:rPr>
            </w:pPr>
          </w:p>
        </w:tc>
        <w:tc>
          <w:tcPr>
            <w:tcW w:w="880" w:type="dxa"/>
            <w:vAlign w:val="bottom"/>
            <w:shd w:val="clear" w:color="auto" w:fill="CCEEFF"/>
          </w:tcPr>
          <w:p>
            <w:pPr>
              <w:ind w:left="120"/>
              <w:spacing w:after="0" w:line="159" w:lineRule="exact"/>
              <w:rPr>
                <w:sz w:val="20"/>
                <w:szCs w:val="20"/>
                <w:color w:val="auto"/>
              </w:rPr>
            </w:pPr>
            <w:r>
              <w:rPr>
                <w:rFonts w:ascii="Arial" w:cs="Arial" w:eastAsia="Arial" w:hAnsi="Arial"/>
                <w:sz w:val="14"/>
                <w:szCs w:val="14"/>
                <w:color w:val="auto"/>
              </w:rPr>
              <w:t>Loan</w:t>
            </w:r>
          </w:p>
        </w:tc>
        <w:tc>
          <w:tcPr>
            <w:tcW w:w="52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5.00%</w:t>
            </w:r>
          </w:p>
        </w:tc>
        <w:tc>
          <w:tcPr>
            <w:tcW w:w="760" w:type="dxa"/>
            <w:vAlign w:val="bottom"/>
            <w:shd w:val="clear" w:color="auto" w:fill="CCEEFF"/>
          </w:tcPr>
          <w:p>
            <w:pPr>
              <w:jc w:val="right"/>
              <w:ind w:right="32"/>
              <w:spacing w:after="0" w:line="159" w:lineRule="exact"/>
              <w:rPr>
                <w:sz w:val="20"/>
                <w:szCs w:val="20"/>
                <w:color w:val="auto"/>
              </w:rPr>
            </w:pPr>
            <w:r>
              <w:rPr>
                <w:rFonts w:ascii="Arial" w:cs="Arial" w:eastAsia="Arial" w:hAnsi="Arial"/>
                <w:sz w:val="14"/>
                <w:szCs w:val="14"/>
                <w:color w:val="auto"/>
              </w:rPr>
              <w:t>6/30/2017</w:t>
            </w:r>
          </w:p>
        </w:tc>
        <w:tc>
          <w:tcPr>
            <w:tcW w:w="760" w:type="dxa"/>
            <w:vAlign w:val="bottom"/>
            <w:gridSpan w:val="3"/>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w w:val="82"/>
              </w:rPr>
              <w:t>$3,844,964</w:t>
            </w:r>
          </w:p>
        </w:tc>
        <w:tc>
          <w:tcPr>
            <w:tcW w:w="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3,844,749</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3,813,935</w:t>
            </w: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180" w:type="dxa"/>
            <w:vAlign w:val="bottom"/>
          </w:tcPr>
          <w:p>
            <w:pPr>
              <w:spacing w:after="0" w:line="138" w:lineRule="exact"/>
              <w:rPr>
                <w:sz w:val="20"/>
                <w:szCs w:val="20"/>
                <w:color w:val="auto"/>
              </w:rPr>
            </w:pPr>
            <w:r>
              <w:rPr>
                <w:rFonts w:ascii="Arial" w:cs="Arial" w:eastAsia="Arial" w:hAnsi="Arial"/>
                <w:sz w:val="14"/>
                <w:szCs w:val="14"/>
                <w:color w:val="auto"/>
              </w:rPr>
              <w:t>Univision Communications Inc.</w:t>
            </w:r>
          </w:p>
        </w:tc>
        <w:tc>
          <w:tcPr>
            <w:tcW w:w="1900" w:type="dxa"/>
            <w:vAlign w:val="bottom"/>
          </w:tcPr>
          <w:p>
            <w:pPr>
              <w:ind w:left="320"/>
              <w:spacing w:after="0" w:line="138" w:lineRule="exact"/>
              <w:rPr>
                <w:sz w:val="20"/>
                <w:szCs w:val="20"/>
                <w:color w:val="auto"/>
              </w:rPr>
            </w:pPr>
            <w:r>
              <w:rPr>
                <w:rFonts w:ascii="Arial" w:cs="Arial" w:eastAsia="Arial" w:hAnsi="Arial"/>
                <w:sz w:val="14"/>
                <w:szCs w:val="14"/>
                <w:color w:val="auto"/>
              </w:rPr>
              <w:t>Telecommunications</w:t>
            </w:r>
          </w:p>
        </w:tc>
        <w:tc>
          <w:tcPr>
            <w:tcW w:w="880" w:type="dxa"/>
            <w:vAlign w:val="bottom"/>
          </w:tcPr>
          <w:p>
            <w:pPr>
              <w:ind w:left="120"/>
              <w:spacing w:after="0" w:line="138" w:lineRule="exact"/>
              <w:rPr>
                <w:sz w:val="20"/>
                <w:szCs w:val="20"/>
                <w:color w:val="auto"/>
              </w:rPr>
            </w:pPr>
            <w:r>
              <w:rPr>
                <w:rFonts w:ascii="Arial" w:cs="Arial" w:eastAsia="Arial" w:hAnsi="Arial"/>
                <w:sz w:val="14"/>
                <w:szCs w:val="14"/>
                <w:color w:val="auto"/>
                <w:w w:val="89"/>
              </w:rPr>
              <w:t>Replacement</w:t>
            </w:r>
          </w:p>
        </w:tc>
        <w:tc>
          <w:tcPr>
            <w:tcW w:w="520" w:type="dxa"/>
            <w:vAlign w:val="bottom"/>
          </w:tcPr>
          <w:p>
            <w:pPr>
              <w:ind w:left="60"/>
              <w:spacing w:after="0" w:line="138" w:lineRule="exact"/>
              <w:rPr>
                <w:sz w:val="20"/>
                <w:szCs w:val="20"/>
                <w:color w:val="auto"/>
              </w:rPr>
            </w:pPr>
            <w:r>
              <w:rPr>
                <w:rFonts w:ascii="Arial" w:cs="Arial" w:eastAsia="Arial" w:hAnsi="Arial"/>
                <w:sz w:val="14"/>
                <w:szCs w:val="14"/>
                <w:color w:val="auto"/>
              </w:rPr>
              <w:t>Loan</w:t>
            </w: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880" w:type="dxa"/>
            <w:vAlign w:val="bottom"/>
          </w:tcPr>
          <w:p>
            <w:pPr>
              <w:ind w:left="120"/>
              <w:spacing w:after="0" w:line="149" w:lineRule="exact"/>
              <w:rPr>
                <w:sz w:val="20"/>
                <w:szCs w:val="20"/>
                <w:color w:val="auto"/>
              </w:rPr>
            </w:pPr>
            <w:r>
              <w:rPr>
                <w:rFonts w:ascii="Arial" w:cs="Arial" w:eastAsia="Arial" w:hAnsi="Arial"/>
                <w:sz w:val="14"/>
                <w:szCs w:val="14"/>
                <w:color w:val="auto"/>
              </w:rPr>
              <w:t>First-Lien</w:t>
            </w:r>
          </w:p>
        </w:tc>
        <w:tc>
          <w:tcPr>
            <w:tcW w:w="5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18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880" w:type="dxa"/>
            <w:vAlign w:val="bottom"/>
          </w:tcPr>
          <w:p>
            <w:pPr>
              <w:ind w:left="120"/>
              <w:spacing w:after="0" w:line="159" w:lineRule="exact"/>
              <w:rPr>
                <w:sz w:val="20"/>
                <w:szCs w:val="20"/>
                <w:color w:val="auto"/>
              </w:rPr>
            </w:pPr>
            <w:r>
              <w:rPr>
                <w:rFonts w:ascii="Arial" w:cs="Arial" w:eastAsia="Arial" w:hAnsi="Arial"/>
                <w:sz w:val="14"/>
                <w:szCs w:val="14"/>
                <w:color w:val="auto"/>
              </w:rPr>
              <w:t>Term Loan</w:t>
            </w:r>
          </w:p>
        </w:tc>
        <w:tc>
          <w:tcPr>
            <w:tcW w:w="520" w:type="dxa"/>
            <w:vAlign w:val="bottom"/>
          </w:tcPr>
          <w:p>
            <w:pPr>
              <w:spacing w:after="0"/>
              <w:rPr>
                <w:sz w:val="13"/>
                <w:szCs w:val="13"/>
                <w:color w:val="auto"/>
              </w:rPr>
            </w:pPr>
          </w:p>
        </w:tc>
        <w:tc>
          <w:tcPr>
            <w:tcW w:w="680" w:type="dxa"/>
            <w:vAlign w:val="bottom"/>
          </w:tcPr>
          <w:p>
            <w:pPr>
              <w:jc w:val="right"/>
              <w:spacing w:after="0" w:line="159" w:lineRule="exact"/>
              <w:rPr>
                <w:sz w:val="20"/>
                <w:szCs w:val="20"/>
                <w:color w:val="auto"/>
              </w:rPr>
            </w:pPr>
            <w:r>
              <w:rPr>
                <w:rFonts w:ascii="Arial" w:cs="Arial" w:eastAsia="Arial" w:hAnsi="Arial"/>
                <w:sz w:val="14"/>
                <w:szCs w:val="14"/>
                <w:color w:val="auto"/>
              </w:rPr>
              <w:t>4.00%</w:t>
            </w:r>
          </w:p>
        </w:tc>
        <w:tc>
          <w:tcPr>
            <w:tcW w:w="760" w:type="dxa"/>
            <w:vAlign w:val="bottom"/>
          </w:tcPr>
          <w:p>
            <w:pPr>
              <w:jc w:val="right"/>
              <w:ind w:right="32"/>
              <w:spacing w:after="0" w:line="159" w:lineRule="exact"/>
              <w:rPr>
                <w:sz w:val="20"/>
                <w:szCs w:val="20"/>
                <w:color w:val="auto"/>
              </w:rPr>
            </w:pPr>
            <w:r>
              <w:rPr>
                <w:rFonts w:ascii="Arial" w:cs="Arial" w:eastAsia="Arial" w:hAnsi="Arial"/>
                <w:sz w:val="14"/>
                <w:szCs w:val="14"/>
                <w:color w:val="auto"/>
              </w:rPr>
              <w:t>3/1/2020</w:t>
            </w:r>
          </w:p>
        </w:tc>
        <w:tc>
          <w:tcPr>
            <w:tcW w:w="760" w:type="dxa"/>
            <w:vAlign w:val="bottom"/>
            <w:gridSpan w:val="3"/>
          </w:tcPr>
          <w:p>
            <w:pPr>
              <w:jc w:val="right"/>
              <w:ind w:right="160"/>
              <w:spacing w:after="0" w:line="159" w:lineRule="exact"/>
              <w:rPr>
                <w:sz w:val="20"/>
                <w:szCs w:val="20"/>
                <w:color w:val="auto"/>
              </w:rPr>
            </w:pPr>
            <w:r>
              <w:rPr>
                <w:rFonts w:ascii="Arial" w:cs="Arial" w:eastAsia="Arial" w:hAnsi="Arial"/>
                <w:sz w:val="14"/>
                <w:szCs w:val="14"/>
                <w:color w:val="auto"/>
                <w:w w:val="82"/>
              </w:rPr>
              <w:t>$2,947,446</w:t>
            </w:r>
          </w:p>
        </w:tc>
        <w:tc>
          <w:tcPr>
            <w:tcW w:w="80" w:type="dxa"/>
            <w:vAlign w:val="bottom"/>
          </w:tcPr>
          <w:p>
            <w:pPr>
              <w:spacing w:after="0"/>
              <w:rPr>
                <w:sz w:val="13"/>
                <w:szCs w:val="13"/>
                <w:color w:val="auto"/>
              </w:rPr>
            </w:pPr>
          </w:p>
        </w:tc>
        <w:tc>
          <w:tcPr>
            <w:tcW w:w="74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2,931,982</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jc w:val="right"/>
              <w:spacing w:after="0" w:line="159" w:lineRule="exact"/>
              <w:rPr>
                <w:sz w:val="20"/>
                <w:szCs w:val="20"/>
                <w:color w:val="auto"/>
              </w:rPr>
            </w:pPr>
            <w:r>
              <w:rPr>
                <w:rFonts w:ascii="Arial" w:cs="Arial" w:eastAsia="Arial" w:hAnsi="Arial"/>
                <w:sz w:val="14"/>
                <w:szCs w:val="14"/>
                <w:color w:val="auto"/>
              </w:rPr>
              <w:t>2,940,549</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18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Valeant Pharmaceuticals International, Inc.</w:t>
            </w:r>
          </w:p>
        </w:tc>
        <w:tc>
          <w:tcPr>
            <w:tcW w:w="1900" w:type="dxa"/>
            <w:vAlign w:val="bottom"/>
            <w:shd w:val="clear" w:color="auto" w:fill="CCEEFF"/>
          </w:tcPr>
          <w:p>
            <w:pPr>
              <w:ind w:left="320"/>
              <w:spacing w:after="0" w:line="138" w:lineRule="exact"/>
              <w:rPr>
                <w:sz w:val="20"/>
                <w:szCs w:val="20"/>
                <w:color w:val="auto"/>
              </w:rPr>
            </w:pPr>
            <w:r>
              <w:rPr>
                <w:rFonts w:ascii="Arial" w:cs="Arial" w:eastAsia="Arial" w:hAnsi="Arial"/>
                <w:sz w:val="14"/>
                <w:szCs w:val="14"/>
                <w:color w:val="auto"/>
              </w:rPr>
              <w:t>Drugs</w:t>
            </w:r>
          </w:p>
        </w:tc>
        <w:tc>
          <w:tcPr>
            <w:tcW w:w="880" w:type="dxa"/>
            <w:vAlign w:val="bottom"/>
            <w:shd w:val="clear" w:color="auto" w:fill="CCEEFF"/>
          </w:tcPr>
          <w:p>
            <w:pPr>
              <w:ind w:left="120"/>
              <w:spacing w:after="0" w:line="138" w:lineRule="exact"/>
              <w:rPr>
                <w:sz w:val="20"/>
                <w:szCs w:val="20"/>
                <w:color w:val="auto"/>
              </w:rPr>
            </w:pPr>
            <w:r>
              <w:rPr>
                <w:rFonts w:ascii="Arial" w:cs="Arial" w:eastAsia="Arial" w:hAnsi="Arial"/>
                <w:sz w:val="14"/>
                <w:szCs w:val="14"/>
                <w:color w:val="auto"/>
              </w:rPr>
              <w:t>Series D2</w:t>
            </w:r>
          </w:p>
        </w:tc>
        <w:tc>
          <w:tcPr>
            <w:tcW w:w="520" w:type="dxa"/>
            <w:vAlign w:val="bottom"/>
            <w:shd w:val="clear" w:color="auto" w:fill="CCEEFF"/>
          </w:tcPr>
          <w:p>
            <w:pPr>
              <w:ind w:left="60"/>
              <w:spacing w:after="0" w:line="138" w:lineRule="exact"/>
              <w:rPr>
                <w:sz w:val="20"/>
                <w:szCs w:val="20"/>
                <w:color w:val="auto"/>
              </w:rPr>
            </w:pPr>
            <w:r>
              <w:rPr>
                <w:rFonts w:ascii="Arial" w:cs="Arial" w:eastAsia="Arial" w:hAnsi="Arial"/>
                <w:sz w:val="14"/>
                <w:szCs w:val="14"/>
                <w:color w:val="auto"/>
              </w:rPr>
              <w:t>Loan</w:t>
            </w:r>
          </w:p>
        </w:tc>
        <w:tc>
          <w:tcPr>
            <w:tcW w:w="6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shd w:val="clear" w:color="auto" w:fill="CCEEFF"/>
          </w:tcPr>
          <w:p>
            <w:pPr>
              <w:spacing w:after="0"/>
              <w:rPr>
                <w:sz w:val="12"/>
                <w:szCs w:val="12"/>
                <w:color w:val="auto"/>
              </w:rPr>
            </w:pPr>
          </w:p>
        </w:tc>
        <w:tc>
          <w:tcPr>
            <w:tcW w:w="1900" w:type="dxa"/>
            <w:vAlign w:val="bottom"/>
            <w:shd w:val="clear" w:color="auto" w:fill="CCEEFF"/>
          </w:tcPr>
          <w:p>
            <w:pPr>
              <w:spacing w:after="0"/>
              <w:rPr>
                <w:sz w:val="12"/>
                <w:szCs w:val="12"/>
                <w:color w:val="auto"/>
              </w:rPr>
            </w:pPr>
          </w:p>
        </w:tc>
        <w:tc>
          <w:tcPr>
            <w:tcW w:w="88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Term Loan</w:t>
            </w:r>
          </w:p>
        </w:tc>
        <w:tc>
          <w:tcPr>
            <w:tcW w:w="5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180" w:type="dxa"/>
            <w:vAlign w:val="bottom"/>
            <w:shd w:val="clear" w:color="auto" w:fill="CCEEFF"/>
          </w:tcPr>
          <w:p>
            <w:pPr>
              <w:spacing w:after="0"/>
              <w:rPr>
                <w:sz w:val="13"/>
                <w:szCs w:val="13"/>
                <w:color w:val="auto"/>
              </w:rPr>
            </w:pPr>
          </w:p>
        </w:tc>
        <w:tc>
          <w:tcPr>
            <w:tcW w:w="1900" w:type="dxa"/>
            <w:vAlign w:val="bottom"/>
            <w:shd w:val="clear" w:color="auto" w:fill="CCEEFF"/>
          </w:tcPr>
          <w:p>
            <w:pPr>
              <w:spacing w:after="0"/>
              <w:rPr>
                <w:sz w:val="13"/>
                <w:szCs w:val="13"/>
                <w:color w:val="auto"/>
              </w:rPr>
            </w:pPr>
          </w:p>
        </w:tc>
        <w:tc>
          <w:tcPr>
            <w:tcW w:w="880" w:type="dxa"/>
            <w:vAlign w:val="bottom"/>
            <w:shd w:val="clear" w:color="auto" w:fill="CCEEFF"/>
          </w:tcPr>
          <w:p>
            <w:pPr>
              <w:ind w:left="120"/>
              <w:spacing w:after="0" w:line="159" w:lineRule="exact"/>
              <w:rPr>
                <w:sz w:val="20"/>
                <w:szCs w:val="20"/>
                <w:color w:val="auto"/>
              </w:rPr>
            </w:pPr>
            <w:r>
              <w:rPr>
                <w:rFonts w:ascii="Arial" w:cs="Arial" w:eastAsia="Arial" w:hAnsi="Arial"/>
                <w:sz w:val="14"/>
                <w:szCs w:val="14"/>
                <w:color w:val="auto"/>
              </w:rPr>
              <w:t>B</w:t>
            </w:r>
          </w:p>
        </w:tc>
        <w:tc>
          <w:tcPr>
            <w:tcW w:w="52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3.50%</w:t>
            </w:r>
          </w:p>
        </w:tc>
        <w:tc>
          <w:tcPr>
            <w:tcW w:w="760" w:type="dxa"/>
            <w:vAlign w:val="bottom"/>
            <w:shd w:val="clear" w:color="auto" w:fill="CCEEFF"/>
          </w:tcPr>
          <w:p>
            <w:pPr>
              <w:jc w:val="right"/>
              <w:ind w:right="32"/>
              <w:spacing w:after="0" w:line="159" w:lineRule="exact"/>
              <w:rPr>
                <w:sz w:val="20"/>
                <w:szCs w:val="20"/>
                <w:color w:val="auto"/>
              </w:rPr>
            </w:pPr>
            <w:r>
              <w:rPr>
                <w:rFonts w:ascii="Arial" w:cs="Arial" w:eastAsia="Arial" w:hAnsi="Arial"/>
                <w:sz w:val="14"/>
                <w:szCs w:val="14"/>
                <w:color w:val="auto"/>
              </w:rPr>
              <w:t>2/13/2019</w:t>
            </w:r>
          </w:p>
        </w:tc>
        <w:tc>
          <w:tcPr>
            <w:tcW w:w="760" w:type="dxa"/>
            <w:vAlign w:val="bottom"/>
            <w:gridSpan w:val="3"/>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w w:val="82"/>
              </w:rPr>
              <w:t>$2,545,588</w:t>
            </w:r>
          </w:p>
        </w:tc>
        <w:tc>
          <w:tcPr>
            <w:tcW w:w="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2,537,415</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2,539,683</w:t>
            </w: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tcPr>
          <w:p>
            <w:pPr>
              <w:spacing w:after="0" w:line="149" w:lineRule="exact"/>
              <w:rPr>
                <w:sz w:val="20"/>
                <w:szCs w:val="20"/>
                <w:color w:val="auto"/>
              </w:rPr>
            </w:pPr>
            <w:r>
              <w:rPr>
                <w:rFonts w:ascii="Arial" w:cs="Arial" w:eastAsia="Arial" w:hAnsi="Arial"/>
                <w:sz w:val="14"/>
                <w:szCs w:val="14"/>
                <w:color w:val="auto"/>
              </w:rPr>
              <w:t>Verint Systems Inc.</w:t>
            </w:r>
          </w:p>
        </w:tc>
        <w:tc>
          <w:tcPr>
            <w:tcW w:w="1900" w:type="dxa"/>
            <w:vAlign w:val="bottom"/>
          </w:tcPr>
          <w:p>
            <w:pPr>
              <w:ind w:left="320"/>
              <w:spacing w:after="0" w:line="149" w:lineRule="exact"/>
              <w:rPr>
                <w:sz w:val="20"/>
                <w:szCs w:val="20"/>
                <w:color w:val="auto"/>
              </w:rPr>
            </w:pPr>
            <w:r>
              <w:rPr>
                <w:rFonts w:ascii="Arial" w:cs="Arial" w:eastAsia="Arial" w:hAnsi="Arial"/>
                <w:sz w:val="14"/>
                <w:szCs w:val="14"/>
                <w:color w:val="auto"/>
              </w:rPr>
              <w:t>Services: Business</w:t>
            </w:r>
          </w:p>
        </w:tc>
        <w:tc>
          <w:tcPr>
            <w:tcW w:w="880" w:type="dxa"/>
            <w:vAlign w:val="bottom"/>
          </w:tcPr>
          <w:p>
            <w:pPr>
              <w:ind w:left="120"/>
              <w:spacing w:after="0" w:line="149" w:lineRule="exact"/>
              <w:rPr>
                <w:sz w:val="20"/>
                <w:szCs w:val="20"/>
                <w:color w:val="auto"/>
              </w:rPr>
            </w:pPr>
            <w:r>
              <w:rPr>
                <w:rFonts w:ascii="Arial" w:cs="Arial" w:eastAsia="Arial" w:hAnsi="Arial"/>
                <w:sz w:val="14"/>
                <w:szCs w:val="14"/>
                <w:color w:val="auto"/>
              </w:rPr>
              <w:t>Term Loan</w:t>
            </w:r>
          </w:p>
        </w:tc>
        <w:tc>
          <w:tcPr>
            <w:tcW w:w="520" w:type="dxa"/>
            <w:vAlign w:val="bottom"/>
          </w:tcPr>
          <w:p>
            <w:pPr>
              <w:ind w:left="60"/>
              <w:spacing w:after="0" w:line="149" w:lineRule="exact"/>
              <w:rPr>
                <w:sz w:val="20"/>
                <w:szCs w:val="20"/>
                <w:color w:val="auto"/>
              </w:rPr>
            </w:pPr>
            <w:r>
              <w:rPr>
                <w:rFonts w:ascii="Arial" w:cs="Arial" w:eastAsia="Arial" w:hAnsi="Arial"/>
                <w:sz w:val="14"/>
                <w:szCs w:val="14"/>
                <w:color w:val="auto"/>
              </w:rPr>
              <w:t>Loan</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3.50%</w:t>
            </w:r>
          </w:p>
        </w:tc>
        <w:tc>
          <w:tcPr>
            <w:tcW w:w="760" w:type="dxa"/>
            <w:vAlign w:val="bottom"/>
          </w:tcPr>
          <w:p>
            <w:pPr>
              <w:jc w:val="right"/>
              <w:ind w:right="32"/>
              <w:spacing w:after="0" w:line="149" w:lineRule="exact"/>
              <w:rPr>
                <w:sz w:val="20"/>
                <w:szCs w:val="20"/>
                <w:color w:val="auto"/>
              </w:rPr>
            </w:pPr>
            <w:r>
              <w:rPr>
                <w:rFonts w:ascii="Arial" w:cs="Arial" w:eastAsia="Arial" w:hAnsi="Arial"/>
                <w:sz w:val="14"/>
                <w:szCs w:val="14"/>
                <w:color w:val="auto"/>
              </w:rPr>
              <w:t>9/6/2019</w:t>
            </w:r>
          </w:p>
        </w:tc>
        <w:tc>
          <w:tcPr>
            <w:tcW w:w="76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w w:val="82"/>
              </w:rPr>
              <w:t>$1,264,058</w:t>
            </w:r>
          </w:p>
        </w:tc>
        <w:tc>
          <w:tcPr>
            <w:tcW w:w="80" w:type="dxa"/>
            <w:vAlign w:val="bottom"/>
          </w:tcPr>
          <w:p>
            <w:pPr>
              <w:spacing w:after="0"/>
              <w:rPr>
                <w:sz w:val="12"/>
                <w:szCs w:val="12"/>
                <w:color w:val="auto"/>
              </w:rPr>
            </w:pPr>
          </w:p>
        </w:tc>
        <w:tc>
          <w:tcPr>
            <w:tcW w:w="7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1,259,623</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1,259,634</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18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Vertafore, Inc.</w:t>
            </w:r>
          </w:p>
        </w:tc>
        <w:tc>
          <w:tcPr>
            <w:tcW w:w="1900" w:type="dxa"/>
            <w:vAlign w:val="bottom"/>
            <w:shd w:val="clear" w:color="auto" w:fill="CCEEFF"/>
          </w:tcPr>
          <w:p>
            <w:pPr>
              <w:ind w:left="320"/>
              <w:spacing w:after="0" w:line="138" w:lineRule="exact"/>
              <w:rPr>
                <w:sz w:val="20"/>
                <w:szCs w:val="20"/>
                <w:color w:val="auto"/>
              </w:rPr>
            </w:pPr>
            <w:r>
              <w:rPr>
                <w:rFonts w:ascii="Arial" w:cs="Arial" w:eastAsia="Arial" w:hAnsi="Arial"/>
                <w:sz w:val="14"/>
                <w:szCs w:val="14"/>
                <w:color w:val="auto"/>
              </w:rPr>
              <w:t>Services: Business</w:t>
            </w:r>
          </w:p>
        </w:tc>
        <w:tc>
          <w:tcPr>
            <w:tcW w:w="880" w:type="dxa"/>
            <w:vAlign w:val="bottom"/>
            <w:shd w:val="clear" w:color="auto" w:fill="CCEEFF"/>
          </w:tcPr>
          <w:p>
            <w:pPr>
              <w:ind w:left="120"/>
              <w:spacing w:after="0" w:line="138" w:lineRule="exact"/>
              <w:rPr>
                <w:sz w:val="20"/>
                <w:szCs w:val="20"/>
                <w:color w:val="auto"/>
              </w:rPr>
            </w:pPr>
            <w:r>
              <w:rPr>
                <w:rFonts w:ascii="Arial" w:cs="Arial" w:eastAsia="Arial" w:hAnsi="Arial"/>
                <w:sz w:val="14"/>
                <w:szCs w:val="14"/>
                <w:color w:val="auto"/>
              </w:rPr>
              <w:t>Term Loan</w:t>
            </w:r>
          </w:p>
        </w:tc>
        <w:tc>
          <w:tcPr>
            <w:tcW w:w="520" w:type="dxa"/>
            <w:vAlign w:val="bottom"/>
            <w:shd w:val="clear" w:color="auto" w:fill="CCEEFF"/>
          </w:tcPr>
          <w:p>
            <w:pPr>
              <w:ind w:left="60"/>
              <w:spacing w:after="0" w:line="138" w:lineRule="exact"/>
              <w:rPr>
                <w:sz w:val="20"/>
                <w:szCs w:val="20"/>
                <w:color w:val="auto"/>
              </w:rPr>
            </w:pPr>
            <w:r>
              <w:rPr>
                <w:rFonts w:ascii="Arial" w:cs="Arial" w:eastAsia="Arial" w:hAnsi="Arial"/>
                <w:sz w:val="14"/>
                <w:szCs w:val="14"/>
                <w:color w:val="auto"/>
              </w:rPr>
              <w:t>Loan</w:t>
            </w:r>
          </w:p>
        </w:tc>
        <w:tc>
          <w:tcPr>
            <w:tcW w:w="6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180" w:type="dxa"/>
            <w:vAlign w:val="bottom"/>
            <w:shd w:val="clear" w:color="auto" w:fill="CCEEFF"/>
          </w:tcPr>
          <w:p>
            <w:pPr>
              <w:spacing w:after="0"/>
              <w:rPr>
                <w:sz w:val="13"/>
                <w:szCs w:val="13"/>
                <w:color w:val="auto"/>
              </w:rPr>
            </w:pPr>
          </w:p>
        </w:tc>
        <w:tc>
          <w:tcPr>
            <w:tcW w:w="1900" w:type="dxa"/>
            <w:vAlign w:val="bottom"/>
            <w:shd w:val="clear" w:color="auto" w:fill="CCEEFF"/>
          </w:tcPr>
          <w:p>
            <w:pPr>
              <w:spacing w:after="0"/>
              <w:rPr>
                <w:sz w:val="13"/>
                <w:szCs w:val="13"/>
                <w:color w:val="auto"/>
              </w:rPr>
            </w:pPr>
          </w:p>
        </w:tc>
        <w:tc>
          <w:tcPr>
            <w:tcW w:w="880" w:type="dxa"/>
            <w:vAlign w:val="bottom"/>
            <w:shd w:val="clear" w:color="auto" w:fill="CCEEFF"/>
          </w:tcPr>
          <w:p>
            <w:pPr>
              <w:ind w:left="120"/>
              <w:spacing w:after="0" w:line="159" w:lineRule="exact"/>
              <w:rPr>
                <w:sz w:val="20"/>
                <w:szCs w:val="20"/>
                <w:color w:val="auto"/>
              </w:rPr>
            </w:pPr>
            <w:r>
              <w:rPr>
                <w:rFonts w:ascii="Arial" w:cs="Arial" w:eastAsia="Arial" w:hAnsi="Arial"/>
                <w:sz w:val="14"/>
                <w:szCs w:val="14"/>
                <w:color w:val="auto"/>
              </w:rPr>
              <w:t>(2013)</w:t>
            </w:r>
          </w:p>
        </w:tc>
        <w:tc>
          <w:tcPr>
            <w:tcW w:w="52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4.25%</w:t>
            </w:r>
          </w:p>
        </w:tc>
        <w:tc>
          <w:tcPr>
            <w:tcW w:w="760" w:type="dxa"/>
            <w:vAlign w:val="bottom"/>
            <w:shd w:val="clear" w:color="auto" w:fill="CCEEFF"/>
          </w:tcPr>
          <w:p>
            <w:pPr>
              <w:jc w:val="right"/>
              <w:ind w:right="32"/>
              <w:spacing w:after="0" w:line="159" w:lineRule="exact"/>
              <w:rPr>
                <w:sz w:val="20"/>
                <w:szCs w:val="20"/>
                <w:color w:val="auto"/>
              </w:rPr>
            </w:pPr>
            <w:r>
              <w:rPr>
                <w:rFonts w:ascii="Arial" w:cs="Arial" w:eastAsia="Arial" w:hAnsi="Arial"/>
                <w:sz w:val="14"/>
                <w:szCs w:val="14"/>
                <w:color w:val="auto"/>
              </w:rPr>
              <w:t>10/3/2019</w:t>
            </w:r>
          </w:p>
        </w:tc>
        <w:tc>
          <w:tcPr>
            <w:tcW w:w="760" w:type="dxa"/>
            <w:vAlign w:val="bottom"/>
            <w:gridSpan w:val="3"/>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w w:val="82"/>
              </w:rPr>
              <w:t>$2,881,003</w:t>
            </w:r>
          </w:p>
        </w:tc>
        <w:tc>
          <w:tcPr>
            <w:tcW w:w="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2,881,003</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2,878,294</w:t>
            </w: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tcPr>
          <w:p>
            <w:pPr>
              <w:spacing w:after="0" w:line="149" w:lineRule="exact"/>
              <w:rPr>
                <w:sz w:val="20"/>
                <w:szCs w:val="20"/>
                <w:color w:val="auto"/>
              </w:rPr>
            </w:pPr>
            <w:r>
              <w:rPr>
                <w:rFonts w:ascii="Arial" w:cs="Arial" w:eastAsia="Arial" w:hAnsi="Arial"/>
                <w:sz w:val="14"/>
                <w:szCs w:val="14"/>
                <w:color w:val="auto"/>
              </w:rPr>
              <w:t>Vouvray US Finance</w:t>
            </w:r>
          </w:p>
        </w:tc>
        <w:tc>
          <w:tcPr>
            <w:tcW w:w="1900" w:type="dxa"/>
            <w:vAlign w:val="bottom"/>
          </w:tcPr>
          <w:p>
            <w:pPr>
              <w:ind w:left="320"/>
              <w:spacing w:after="0" w:line="149" w:lineRule="exact"/>
              <w:rPr>
                <w:sz w:val="20"/>
                <w:szCs w:val="20"/>
                <w:color w:val="auto"/>
              </w:rPr>
            </w:pPr>
            <w:r>
              <w:rPr>
                <w:rFonts w:ascii="Arial" w:cs="Arial" w:eastAsia="Arial" w:hAnsi="Arial"/>
                <w:sz w:val="14"/>
                <w:szCs w:val="14"/>
                <w:color w:val="auto"/>
              </w:rPr>
              <w:t>Industrial Equipment</w:t>
            </w:r>
          </w:p>
        </w:tc>
        <w:tc>
          <w:tcPr>
            <w:tcW w:w="880" w:type="dxa"/>
            <w:vAlign w:val="bottom"/>
          </w:tcPr>
          <w:p>
            <w:pPr>
              <w:ind w:left="120"/>
              <w:spacing w:after="0" w:line="149" w:lineRule="exact"/>
              <w:rPr>
                <w:sz w:val="20"/>
                <w:szCs w:val="20"/>
                <w:color w:val="auto"/>
              </w:rPr>
            </w:pPr>
            <w:r>
              <w:rPr>
                <w:rFonts w:ascii="Arial" w:cs="Arial" w:eastAsia="Arial" w:hAnsi="Arial"/>
                <w:sz w:val="14"/>
                <w:szCs w:val="14"/>
                <w:color w:val="auto"/>
              </w:rPr>
              <w:t>Term Loan</w:t>
            </w:r>
          </w:p>
        </w:tc>
        <w:tc>
          <w:tcPr>
            <w:tcW w:w="520" w:type="dxa"/>
            <w:vAlign w:val="bottom"/>
          </w:tcPr>
          <w:p>
            <w:pPr>
              <w:ind w:left="60"/>
              <w:spacing w:after="0" w:line="149" w:lineRule="exact"/>
              <w:rPr>
                <w:sz w:val="20"/>
                <w:szCs w:val="20"/>
                <w:color w:val="auto"/>
              </w:rPr>
            </w:pPr>
            <w:r>
              <w:rPr>
                <w:rFonts w:ascii="Arial" w:cs="Arial" w:eastAsia="Arial" w:hAnsi="Arial"/>
                <w:sz w:val="14"/>
                <w:szCs w:val="14"/>
                <w:color w:val="auto"/>
              </w:rPr>
              <w:t>Loan</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5.00%</w:t>
            </w:r>
          </w:p>
        </w:tc>
        <w:tc>
          <w:tcPr>
            <w:tcW w:w="760" w:type="dxa"/>
            <w:vAlign w:val="bottom"/>
          </w:tcPr>
          <w:p>
            <w:pPr>
              <w:jc w:val="right"/>
              <w:ind w:right="32"/>
              <w:spacing w:after="0" w:line="149" w:lineRule="exact"/>
              <w:rPr>
                <w:sz w:val="20"/>
                <w:szCs w:val="20"/>
                <w:color w:val="auto"/>
              </w:rPr>
            </w:pPr>
            <w:r>
              <w:rPr>
                <w:rFonts w:ascii="Arial" w:cs="Arial" w:eastAsia="Arial" w:hAnsi="Arial"/>
                <w:sz w:val="14"/>
                <w:szCs w:val="14"/>
                <w:color w:val="auto"/>
              </w:rPr>
              <w:t>6/28/2021</w:t>
            </w:r>
          </w:p>
        </w:tc>
        <w:tc>
          <w:tcPr>
            <w:tcW w:w="12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w w:val="90"/>
              </w:rPr>
              <w:t>497,500</w:t>
            </w:r>
          </w:p>
        </w:tc>
        <w:tc>
          <w:tcPr>
            <w:tcW w:w="80" w:type="dxa"/>
            <w:vAlign w:val="bottom"/>
          </w:tcPr>
          <w:p>
            <w:pPr>
              <w:spacing w:after="0"/>
              <w:rPr>
                <w:sz w:val="12"/>
                <w:szCs w:val="12"/>
                <w:color w:val="auto"/>
              </w:rPr>
            </w:pPr>
          </w:p>
        </w:tc>
        <w:tc>
          <w:tcPr>
            <w:tcW w:w="7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495,243</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499,366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18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Washington Inventory Service</w:t>
            </w:r>
          </w:p>
        </w:tc>
        <w:tc>
          <w:tcPr>
            <w:tcW w:w="1900" w:type="dxa"/>
            <w:vAlign w:val="bottom"/>
            <w:shd w:val="clear" w:color="auto" w:fill="CCEEFF"/>
          </w:tcPr>
          <w:p>
            <w:pPr>
              <w:ind w:left="320"/>
              <w:spacing w:after="0" w:line="138" w:lineRule="exact"/>
              <w:rPr>
                <w:sz w:val="20"/>
                <w:szCs w:val="20"/>
                <w:color w:val="auto"/>
              </w:rPr>
            </w:pPr>
            <w:r>
              <w:rPr>
                <w:rFonts w:ascii="Arial" w:cs="Arial" w:eastAsia="Arial" w:hAnsi="Arial"/>
                <w:sz w:val="14"/>
                <w:szCs w:val="14"/>
                <w:color w:val="auto"/>
              </w:rPr>
              <w:t>Services: Business</w:t>
            </w:r>
          </w:p>
        </w:tc>
        <w:tc>
          <w:tcPr>
            <w:tcW w:w="880" w:type="dxa"/>
            <w:vAlign w:val="bottom"/>
            <w:shd w:val="clear" w:color="auto" w:fill="CCEEFF"/>
          </w:tcPr>
          <w:p>
            <w:pPr>
              <w:ind w:left="120"/>
              <w:spacing w:after="0" w:line="138" w:lineRule="exact"/>
              <w:rPr>
                <w:sz w:val="20"/>
                <w:szCs w:val="20"/>
                <w:color w:val="auto"/>
              </w:rPr>
            </w:pPr>
            <w:r>
              <w:rPr>
                <w:rFonts w:ascii="Arial" w:cs="Arial" w:eastAsia="Arial" w:hAnsi="Arial"/>
                <w:sz w:val="14"/>
                <w:szCs w:val="14"/>
                <w:color w:val="auto"/>
              </w:rPr>
              <w:t>U.S. Term</w:t>
            </w:r>
          </w:p>
        </w:tc>
        <w:tc>
          <w:tcPr>
            <w:tcW w:w="520" w:type="dxa"/>
            <w:vAlign w:val="bottom"/>
            <w:shd w:val="clear" w:color="auto" w:fill="CCEEFF"/>
          </w:tcPr>
          <w:p>
            <w:pPr>
              <w:ind w:left="60"/>
              <w:spacing w:after="0" w:line="138" w:lineRule="exact"/>
              <w:rPr>
                <w:sz w:val="20"/>
                <w:szCs w:val="20"/>
                <w:color w:val="auto"/>
              </w:rPr>
            </w:pPr>
            <w:r>
              <w:rPr>
                <w:rFonts w:ascii="Arial" w:cs="Arial" w:eastAsia="Arial" w:hAnsi="Arial"/>
                <w:sz w:val="14"/>
                <w:szCs w:val="14"/>
                <w:color w:val="auto"/>
              </w:rPr>
              <w:t>Loan</w:t>
            </w:r>
          </w:p>
        </w:tc>
        <w:tc>
          <w:tcPr>
            <w:tcW w:w="6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shd w:val="clear" w:color="auto" w:fill="CCEEFF"/>
          </w:tcPr>
          <w:p>
            <w:pPr>
              <w:spacing w:after="0"/>
              <w:rPr>
                <w:sz w:val="12"/>
                <w:szCs w:val="12"/>
                <w:color w:val="auto"/>
              </w:rPr>
            </w:pPr>
          </w:p>
        </w:tc>
        <w:tc>
          <w:tcPr>
            <w:tcW w:w="1900" w:type="dxa"/>
            <w:vAlign w:val="bottom"/>
            <w:shd w:val="clear" w:color="auto" w:fill="CCEEFF"/>
          </w:tcPr>
          <w:p>
            <w:pPr>
              <w:spacing w:after="0"/>
              <w:rPr>
                <w:sz w:val="12"/>
                <w:szCs w:val="12"/>
                <w:color w:val="auto"/>
              </w:rPr>
            </w:pPr>
          </w:p>
        </w:tc>
        <w:tc>
          <w:tcPr>
            <w:tcW w:w="88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Loan (First</w:t>
            </w:r>
          </w:p>
        </w:tc>
        <w:tc>
          <w:tcPr>
            <w:tcW w:w="5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180" w:type="dxa"/>
            <w:vAlign w:val="bottom"/>
            <w:shd w:val="clear" w:color="auto" w:fill="CCEEFF"/>
          </w:tcPr>
          <w:p>
            <w:pPr>
              <w:spacing w:after="0"/>
              <w:rPr>
                <w:sz w:val="13"/>
                <w:szCs w:val="13"/>
                <w:color w:val="auto"/>
              </w:rPr>
            </w:pPr>
          </w:p>
        </w:tc>
        <w:tc>
          <w:tcPr>
            <w:tcW w:w="1900" w:type="dxa"/>
            <w:vAlign w:val="bottom"/>
            <w:shd w:val="clear" w:color="auto" w:fill="CCEEFF"/>
          </w:tcPr>
          <w:p>
            <w:pPr>
              <w:spacing w:after="0"/>
              <w:rPr>
                <w:sz w:val="13"/>
                <w:szCs w:val="13"/>
                <w:color w:val="auto"/>
              </w:rPr>
            </w:pPr>
          </w:p>
        </w:tc>
        <w:tc>
          <w:tcPr>
            <w:tcW w:w="880" w:type="dxa"/>
            <w:vAlign w:val="bottom"/>
            <w:shd w:val="clear" w:color="auto" w:fill="CCEEFF"/>
          </w:tcPr>
          <w:p>
            <w:pPr>
              <w:ind w:left="120"/>
              <w:spacing w:after="0" w:line="159" w:lineRule="exact"/>
              <w:rPr>
                <w:sz w:val="20"/>
                <w:szCs w:val="20"/>
                <w:color w:val="auto"/>
              </w:rPr>
            </w:pPr>
            <w:r>
              <w:rPr>
                <w:rFonts w:ascii="Arial" w:cs="Arial" w:eastAsia="Arial" w:hAnsi="Arial"/>
                <w:sz w:val="14"/>
                <w:szCs w:val="14"/>
                <w:color w:val="auto"/>
              </w:rPr>
              <w:t>Lien)</w:t>
            </w:r>
          </w:p>
        </w:tc>
        <w:tc>
          <w:tcPr>
            <w:tcW w:w="52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5.75%</w:t>
            </w:r>
          </w:p>
        </w:tc>
        <w:tc>
          <w:tcPr>
            <w:tcW w:w="760" w:type="dxa"/>
            <w:vAlign w:val="bottom"/>
            <w:shd w:val="clear" w:color="auto" w:fill="CCEEFF"/>
          </w:tcPr>
          <w:p>
            <w:pPr>
              <w:jc w:val="right"/>
              <w:ind w:right="32"/>
              <w:spacing w:after="0" w:line="159" w:lineRule="exact"/>
              <w:rPr>
                <w:sz w:val="20"/>
                <w:szCs w:val="20"/>
                <w:color w:val="auto"/>
              </w:rPr>
            </w:pPr>
            <w:r>
              <w:rPr>
                <w:rFonts w:ascii="Arial" w:cs="Arial" w:eastAsia="Arial" w:hAnsi="Arial"/>
                <w:sz w:val="14"/>
                <w:szCs w:val="14"/>
                <w:color w:val="auto"/>
                <w:w w:val="91"/>
              </w:rPr>
              <w:t>12/20/2018</w:t>
            </w:r>
          </w:p>
        </w:tc>
        <w:tc>
          <w:tcPr>
            <w:tcW w:w="760" w:type="dxa"/>
            <w:vAlign w:val="bottom"/>
            <w:gridSpan w:val="3"/>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w w:val="82"/>
              </w:rPr>
              <w:t>$1,832,876</w:t>
            </w:r>
          </w:p>
        </w:tc>
        <w:tc>
          <w:tcPr>
            <w:tcW w:w="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1,851,978</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1,796,218</w:t>
            </w: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180" w:type="dxa"/>
            <w:vAlign w:val="bottom"/>
          </w:tcPr>
          <w:p>
            <w:pPr>
              <w:spacing w:after="0" w:line="138" w:lineRule="exact"/>
              <w:rPr>
                <w:sz w:val="20"/>
                <w:szCs w:val="20"/>
                <w:color w:val="auto"/>
              </w:rPr>
            </w:pPr>
            <w:r>
              <w:rPr>
                <w:rFonts w:ascii="Arial" w:cs="Arial" w:eastAsia="Arial" w:hAnsi="Arial"/>
                <w:sz w:val="14"/>
                <w:szCs w:val="14"/>
                <w:color w:val="auto"/>
              </w:rPr>
              <w:t>Waste Industries</w:t>
            </w:r>
          </w:p>
        </w:tc>
        <w:tc>
          <w:tcPr>
            <w:tcW w:w="1900" w:type="dxa"/>
            <w:vAlign w:val="bottom"/>
          </w:tcPr>
          <w:p>
            <w:pPr>
              <w:ind w:left="320"/>
              <w:spacing w:after="0" w:line="138" w:lineRule="exact"/>
              <w:rPr>
                <w:sz w:val="20"/>
                <w:szCs w:val="20"/>
                <w:color w:val="auto"/>
              </w:rPr>
            </w:pPr>
            <w:r>
              <w:rPr>
                <w:rFonts w:ascii="Arial" w:cs="Arial" w:eastAsia="Arial" w:hAnsi="Arial"/>
                <w:sz w:val="14"/>
                <w:szCs w:val="14"/>
                <w:color w:val="auto"/>
              </w:rPr>
              <w:t>Environmental</w:t>
            </w:r>
          </w:p>
        </w:tc>
        <w:tc>
          <w:tcPr>
            <w:tcW w:w="880" w:type="dxa"/>
            <w:vAlign w:val="bottom"/>
          </w:tcPr>
          <w:p>
            <w:pPr>
              <w:ind w:left="120"/>
              <w:spacing w:after="0" w:line="138" w:lineRule="exact"/>
              <w:rPr>
                <w:sz w:val="20"/>
                <w:szCs w:val="20"/>
                <w:color w:val="auto"/>
              </w:rPr>
            </w:pPr>
            <w:r>
              <w:rPr>
                <w:rFonts w:ascii="Arial" w:cs="Arial" w:eastAsia="Arial" w:hAnsi="Arial"/>
                <w:sz w:val="14"/>
                <w:szCs w:val="14"/>
                <w:color w:val="auto"/>
              </w:rPr>
              <w:t>Term Loan</w:t>
            </w:r>
          </w:p>
        </w:tc>
        <w:tc>
          <w:tcPr>
            <w:tcW w:w="520" w:type="dxa"/>
            <w:vAlign w:val="bottom"/>
          </w:tcPr>
          <w:p>
            <w:pPr>
              <w:ind w:left="60"/>
              <w:spacing w:after="0" w:line="138" w:lineRule="exact"/>
              <w:rPr>
                <w:sz w:val="20"/>
                <w:szCs w:val="20"/>
                <w:color w:val="auto"/>
              </w:rPr>
            </w:pPr>
            <w:r>
              <w:rPr>
                <w:rFonts w:ascii="Arial" w:cs="Arial" w:eastAsia="Arial" w:hAnsi="Arial"/>
                <w:sz w:val="14"/>
                <w:szCs w:val="14"/>
                <w:color w:val="auto"/>
              </w:rPr>
              <w:t>Loan</w:t>
            </w: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18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880" w:type="dxa"/>
            <w:vAlign w:val="bottom"/>
          </w:tcPr>
          <w:p>
            <w:pPr>
              <w:ind w:left="120"/>
              <w:spacing w:after="0" w:line="159" w:lineRule="exact"/>
              <w:rPr>
                <w:sz w:val="20"/>
                <w:szCs w:val="20"/>
                <w:color w:val="auto"/>
              </w:rPr>
            </w:pPr>
            <w:r>
              <w:rPr>
                <w:rFonts w:ascii="Arial" w:cs="Arial" w:eastAsia="Arial" w:hAnsi="Arial"/>
                <w:sz w:val="14"/>
                <w:szCs w:val="14"/>
                <w:color w:val="auto"/>
              </w:rPr>
              <w:t>B</w:t>
            </w:r>
          </w:p>
        </w:tc>
        <w:tc>
          <w:tcPr>
            <w:tcW w:w="520" w:type="dxa"/>
            <w:vAlign w:val="bottom"/>
          </w:tcPr>
          <w:p>
            <w:pPr>
              <w:spacing w:after="0"/>
              <w:rPr>
                <w:sz w:val="13"/>
                <w:szCs w:val="13"/>
                <w:color w:val="auto"/>
              </w:rPr>
            </w:pPr>
          </w:p>
        </w:tc>
        <w:tc>
          <w:tcPr>
            <w:tcW w:w="680" w:type="dxa"/>
            <w:vAlign w:val="bottom"/>
          </w:tcPr>
          <w:p>
            <w:pPr>
              <w:jc w:val="right"/>
              <w:spacing w:after="0" w:line="159" w:lineRule="exact"/>
              <w:rPr>
                <w:sz w:val="20"/>
                <w:szCs w:val="20"/>
                <w:color w:val="auto"/>
              </w:rPr>
            </w:pPr>
            <w:r>
              <w:rPr>
                <w:rFonts w:ascii="Arial" w:cs="Arial" w:eastAsia="Arial" w:hAnsi="Arial"/>
                <w:sz w:val="14"/>
                <w:szCs w:val="14"/>
                <w:color w:val="auto"/>
              </w:rPr>
              <w:t>4.25%</w:t>
            </w:r>
          </w:p>
        </w:tc>
        <w:tc>
          <w:tcPr>
            <w:tcW w:w="760" w:type="dxa"/>
            <w:vAlign w:val="bottom"/>
          </w:tcPr>
          <w:p>
            <w:pPr>
              <w:jc w:val="right"/>
              <w:ind w:right="32"/>
              <w:spacing w:after="0" w:line="159" w:lineRule="exact"/>
              <w:rPr>
                <w:sz w:val="20"/>
                <w:szCs w:val="20"/>
                <w:color w:val="auto"/>
              </w:rPr>
            </w:pPr>
            <w:r>
              <w:rPr>
                <w:rFonts w:ascii="Arial" w:cs="Arial" w:eastAsia="Arial" w:hAnsi="Arial"/>
                <w:sz w:val="14"/>
                <w:szCs w:val="14"/>
                <w:color w:val="auto"/>
              </w:rPr>
              <w:t>2/27/2020</w:t>
            </w:r>
          </w:p>
        </w:tc>
        <w:tc>
          <w:tcPr>
            <w:tcW w:w="120" w:type="dxa"/>
            <w:vAlign w:val="bottom"/>
          </w:tcPr>
          <w:p>
            <w:pPr>
              <w:spacing w:after="0" w:line="159"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w w:val="90"/>
              </w:rPr>
              <w:t>250,000</w:t>
            </w:r>
          </w:p>
        </w:tc>
        <w:tc>
          <w:tcPr>
            <w:tcW w:w="80" w:type="dxa"/>
            <w:vAlign w:val="bottom"/>
          </w:tcPr>
          <w:p>
            <w:pPr>
              <w:spacing w:after="0"/>
              <w:rPr>
                <w:sz w:val="13"/>
                <w:szCs w:val="13"/>
                <w:color w:val="auto"/>
              </w:rPr>
            </w:pPr>
          </w:p>
        </w:tc>
        <w:tc>
          <w:tcPr>
            <w:tcW w:w="74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249,375</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jc w:val="right"/>
              <w:spacing w:after="0" w:line="159" w:lineRule="exact"/>
              <w:rPr>
                <w:sz w:val="20"/>
                <w:szCs w:val="20"/>
                <w:color w:val="auto"/>
              </w:rPr>
            </w:pPr>
            <w:r>
              <w:rPr>
                <w:rFonts w:ascii="Arial" w:cs="Arial" w:eastAsia="Arial" w:hAnsi="Arial"/>
                <w:sz w:val="14"/>
                <w:szCs w:val="14"/>
                <w:color w:val="auto"/>
              </w:rPr>
              <w:t>250,520</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18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Wendy’s International, Inc</w:t>
            </w:r>
          </w:p>
        </w:tc>
        <w:tc>
          <w:tcPr>
            <w:tcW w:w="1900" w:type="dxa"/>
            <w:vAlign w:val="bottom"/>
            <w:shd w:val="clear" w:color="auto" w:fill="CCEEFF"/>
          </w:tcPr>
          <w:p>
            <w:pPr>
              <w:ind w:left="320"/>
              <w:spacing w:after="0" w:line="138" w:lineRule="exact"/>
              <w:rPr>
                <w:sz w:val="20"/>
                <w:szCs w:val="20"/>
                <w:color w:val="auto"/>
              </w:rPr>
            </w:pPr>
            <w:r>
              <w:rPr>
                <w:rFonts w:ascii="Arial" w:cs="Arial" w:eastAsia="Arial" w:hAnsi="Arial"/>
                <w:sz w:val="14"/>
                <w:szCs w:val="14"/>
                <w:color w:val="auto"/>
              </w:rPr>
              <w:t>Food Services</w:t>
            </w:r>
          </w:p>
        </w:tc>
        <w:tc>
          <w:tcPr>
            <w:tcW w:w="880" w:type="dxa"/>
            <w:vAlign w:val="bottom"/>
            <w:shd w:val="clear" w:color="auto" w:fill="CCEEFF"/>
          </w:tcPr>
          <w:p>
            <w:pPr>
              <w:ind w:left="120"/>
              <w:spacing w:after="0" w:line="138" w:lineRule="exact"/>
              <w:rPr>
                <w:sz w:val="20"/>
                <w:szCs w:val="20"/>
                <w:color w:val="auto"/>
              </w:rPr>
            </w:pPr>
            <w:r>
              <w:rPr>
                <w:rFonts w:ascii="Arial" w:cs="Arial" w:eastAsia="Arial" w:hAnsi="Arial"/>
                <w:sz w:val="14"/>
                <w:szCs w:val="14"/>
                <w:color w:val="auto"/>
              </w:rPr>
              <w:t>Term B</w:t>
            </w:r>
          </w:p>
        </w:tc>
        <w:tc>
          <w:tcPr>
            <w:tcW w:w="520" w:type="dxa"/>
            <w:vAlign w:val="bottom"/>
            <w:shd w:val="clear" w:color="auto" w:fill="CCEEFF"/>
          </w:tcPr>
          <w:p>
            <w:pPr>
              <w:ind w:left="60"/>
              <w:spacing w:after="0" w:line="138" w:lineRule="exact"/>
              <w:rPr>
                <w:sz w:val="20"/>
                <w:szCs w:val="20"/>
                <w:color w:val="auto"/>
              </w:rPr>
            </w:pPr>
            <w:r>
              <w:rPr>
                <w:rFonts w:ascii="Arial" w:cs="Arial" w:eastAsia="Arial" w:hAnsi="Arial"/>
                <w:sz w:val="14"/>
                <w:szCs w:val="14"/>
                <w:color w:val="auto"/>
              </w:rPr>
              <w:t>Loan</w:t>
            </w:r>
          </w:p>
        </w:tc>
        <w:tc>
          <w:tcPr>
            <w:tcW w:w="6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180" w:type="dxa"/>
            <w:vAlign w:val="bottom"/>
            <w:shd w:val="clear" w:color="auto" w:fill="CCEEFF"/>
          </w:tcPr>
          <w:p>
            <w:pPr>
              <w:spacing w:after="0"/>
              <w:rPr>
                <w:sz w:val="13"/>
                <w:szCs w:val="13"/>
                <w:color w:val="auto"/>
              </w:rPr>
            </w:pPr>
          </w:p>
        </w:tc>
        <w:tc>
          <w:tcPr>
            <w:tcW w:w="1900" w:type="dxa"/>
            <w:vAlign w:val="bottom"/>
            <w:shd w:val="clear" w:color="auto" w:fill="CCEEFF"/>
          </w:tcPr>
          <w:p>
            <w:pPr>
              <w:spacing w:after="0"/>
              <w:rPr>
                <w:sz w:val="13"/>
                <w:szCs w:val="13"/>
                <w:color w:val="auto"/>
              </w:rPr>
            </w:pPr>
          </w:p>
        </w:tc>
        <w:tc>
          <w:tcPr>
            <w:tcW w:w="880" w:type="dxa"/>
            <w:vAlign w:val="bottom"/>
            <w:shd w:val="clear" w:color="auto" w:fill="CCEEFF"/>
          </w:tcPr>
          <w:p>
            <w:pPr>
              <w:ind w:left="120"/>
              <w:spacing w:after="0" w:line="159" w:lineRule="exact"/>
              <w:rPr>
                <w:sz w:val="20"/>
                <w:szCs w:val="20"/>
                <w:color w:val="auto"/>
              </w:rPr>
            </w:pPr>
            <w:r>
              <w:rPr>
                <w:rFonts w:ascii="Arial" w:cs="Arial" w:eastAsia="Arial" w:hAnsi="Arial"/>
                <w:sz w:val="14"/>
                <w:szCs w:val="14"/>
                <w:color w:val="auto"/>
              </w:rPr>
              <w:t>Loan</w:t>
            </w:r>
          </w:p>
        </w:tc>
        <w:tc>
          <w:tcPr>
            <w:tcW w:w="52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3.25%</w:t>
            </w:r>
          </w:p>
        </w:tc>
        <w:tc>
          <w:tcPr>
            <w:tcW w:w="760" w:type="dxa"/>
            <w:vAlign w:val="bottom"/>
            <w:shd w:val="clear" w:color="auto" w:fill="CCEEFF"/>
          </w:tcPr>
          <w:p>
            <w:pPr>
              <w:jc w:val="right"/>
              <w:ind w:right="32"/>
              <w:spacing w:after="0" w:line="159" w:lineRule="exact"/>
              <w:rPr>
                <w:sz w:val="20"/>
                <w:szCs w:val="20"/>
                <w:color w:val="auto"/>
              </w:rPr>
            </w:pPr>
            <w:r>
              <w:rPr>
                <w:rFonts w:ascii="Arial" w:cs="Arial" w:eastAsia="Arial" w:hAnsi="Arial"/>
                <w:sz w:val="14"/>
                <w:szCs w:val="14"/>
                <w:color w:val="auto"/>
              </w:rPr>
              <w:t>5/15/2019</w:t>
            </w:r>
          </w:p>
        </w:tc>
        <w:tc>
          <w:tcPr>
            <w:tcW w:w="12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w w:val="90"/>
              </w:rPr>
              <w:t>673,630</w:t>
            </w:r>
          </w:p>
        </w:tc>
        <w:tc>
          <w:tcPr>
            <w:tcW w:w="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668,099</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670,545</w:t>
            </w: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180" w:type="dxa"/>
            <w:vAlign w:val="bottom"/>
          </w:tcPr>
          <w:p>
            <w:pPr>
              <w:spacing w:after="0" w:line="138" w:lineRule="exact"/>
              <w:rPr>
                <w:sz w:val="20"/>
                <w:szCs w:val="20"/>
                <w:color w:val="auto"/>
              </w:rPr>
            </w:pPr>
            <w:r>
              <w:rPr>
                <w:rFonts w:ascii="Arial" w:cs="Arial" w:eastAsia="Arial" w:hAnsi="Arial"/>
                <w:sz w:val="14"/>
                <w:szCs w:val="14"/>
                <w:color w:val="auto"/>
              </w:rPr>
              <w:t>West Corporation</w:t>
            </w:r>
          </w:p>
        </w:tc>
        <w:tc>
          <w:tcPr>
            <w:tcW w:w="1900" w:type="dxa"/>
            <w:vAlign w:val="bottom"/>
          </w:tcPr>
          <w:p>
            <w:pPr>
              <w:ind w:left="320"/>
              <w:spacing w:after="0" w:line="138" w:lineRule="exact"/>
              <w:rPr>
                <w:sz w:val="20"/>
                <w:szCs w:val="20"/>
                <w:color w:val="auto"/>
              </w:rPr>
            </w:pPr>
            <w:r>
              <w:rPr>
                <w:rFonts w:ascii="Arial" w:cs="Arial" w:eastAsia="Arial" w:hAnsi="Arial"/>
                <w:sz w:val="14"/>
                <w:szCs w:val="14"/>
                <w:color w:val="auto"/>
              </w:rPr>
              <w:t>Telecommunications</w:t>
            </w:r>
          </w:p>
        </w:tc>
        <w:tc>
          <w:tcPr>
            <w:tcW w:w="880" w:type="dxa"/>
            <w:vAlign w:val="bottom"/>
          </w:tcPr>
          <w:p>
            <w:pPr>
              <w:ind w:left="120"/>
              <w:spacing w:after="0" w:line="138" w:lineRule="exact"/>
              <w:rPr>
                <w:sz w:val="20"/>
                <w:szCs w:val="20"/>
                <w:color w:val="auto"/>
              </w:rPr>
            </w:pPr>
            <w:r>
              <w:rPr>
                <w:rFonts w:ascii="Arial" w:cs="Arial" w:eastAsia="Arial" w:hAnsi="Arial"/>
                <w:sz w:val="14"/>
                <w:szCs w:val="14"/>
                <w:color w:val="auto"/>
              </w:rPr>
              <w:t>Term B-10</w:t>
            </w:r>
          </w:p>
        </w:tc>
        <w:tc>
          <w:tcPr>
            <w:tcW w:w="520" w:type="dxa"/>
            <w:vAlign w:val="bottom"/>
          </w:tcPr>
          <w:p>
            <w:pPr>
              <w:ind w:left="60"/>
              <w:spacing w:after="0" w:line="138" w:lineRule="exact"/>
              <w:rPr>
                <w:sz w:val="20"/>
                <w:szCs w:val="20"/>
                <w:color w:val="auto"/>
              </w:rPr>
            </w:pPr>
            <w:r>
              <w:rPr>
                <w:rFonts w:ascii="Arial" w:cs="Arial" w:eastAsia="Arial" w:hAnsi="Arial"/>
                <w:sz w:val="14"/>
                <w:szCs w:val="14"/>
                <w:color w:val="auto"/>
              </w:rPr>
              <w:t>Loan</w:t>
            </w: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18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880" w:type="dxa"/>
            <w:vAlign w:val="bottom"/>
          </w:tcPr>
          <w:p>
            <w:pPr>
              <w:ind w:left="120"/>
              <w:spacing w:after="0" w:line="159" w:lineRule="exact"/>
              <w:rPr>
                <w:sz w:val="20"/>
                <w:szCs w:val="20"/>
                <w:color w:val="auto"/>
              </w:rPr>
            </w:pPr>
            <w:r>
              <w:rPr>
                <w:rFonts w:ascii="Arial" w:cs="Arial" w:eastAsia="Arial" w:hAnsi="Arial"/>
                <w:sz w:val="14"/>
                <w:szCs w:val="14"/>
                <w:color w:val="auto"/>
              </w:rPr>
              <w:t>Loan</w:t>
            </w:r>
          </w:p>
        </w:tc>
        <w:tc>
          <w:tcPr>
            <w:tcW w:w="520" w:type="dxa"/>
            <w:vAlign w:val="bottom"/>
          </w:tcPr>
          <w:p>
            <w:pPr>
              <w:spacing w:after="0"/>
              <w:rPr>
                <w:sz w:val="13"/>
                <w:szCs w:val="13"/>
                <w:color w:val="auto"/>
              </w:rPr>
            </w:pPr>
          </w:p>
        </w:tc>
        <w:tc>
          <w:tcPr>
            <w:tcW w:w="680" w:type="dxa"/>
            <w:vAlign w:val="bottom"/>
          </w:tcPr>
          <w:p>
            <w:pPr>
              <w:jc w:val="right"/>
              <w:spacing w:after="0" w:line="159" w:lineRule="exact"/>
              <w:rPr>
                <w:sz w:val="20"/>
                <w:szCs w:val="20"/>
                <w:color w:val="auto"/>
              </w:rPr>
            </w:pPr>
            <w:r>
              <w:rPr>
                <w:rFonts w:ascii="Arial" w:cs="Arial" w:eastAsia="Arial" w:hAnsi="Arial"/>
                <w:sz w:val="14"/>
                <w:szCs w:val="14"/>
                <w:color w:val="auto"/>
              </w:rPr>
              <w:t>3.25%</w:t>
            </w:r>
          </w:p>
        </w:tc>
        <w:tc>
          <w:tcPr>
            <w:tcW w:w="760" w:type="dxa"/>
            <w:vAlign w:val="bottom"/>
          </w:tcPr>
          <w:p>
            <w:pPr>
              <w:jc w:val="right"/>
              <w:ind w:right="32"/>
              <w:spacing w:after="0" w:line="159" w:lineRule="exact"/>
              <w:rPr>
                <w:sz w:val="20"/>
                <w:szCs w:val="20"/>
                <w:color w:val="auto"/>
              </w:rPr>
            </w:pPr>
            <w:r>
              <w:rPr>
                <w:rFonts w:ascii="Arial" w:cs="Arial" w:eastAsia="Arial" w:hAnsi="Arial"/>
                <w:sz w:val="14"/>
                <w:szCs w:val="14"/>
                <w:color w:val="auto"/>
              </w:rPr>
              <w:t>6/30/2018</w:t>
            </w:r>
          </w:p>
        </w:tc>
        <w:tc>
          <w:tcPr>
            <w:tcW w:w="760" w:type="dxa"/>
            <w:vAlign w:val="bottom"/>
            <w:gridSpan w:val="3"/>
          </w:tcPr>
          <w:p>
            <w:pPr>
              <w:jc w:val="right"/>
              <w:ind w:right="160"/>
              <w:spacing w:after="0" w:line="159" w:lineRule="exact"/>
              <w:rPr>
                <w:sz w:val="20"/>
                <w:szCs w:val="20"/>
                <w:color w:val="auto"/>
              </w:rPr>
            </w:pPr>
            <w:r>
              <w:rPr>
                <w:rFonts w:ascii="Arial" w:cs="Arial" w:eastAsia="Arial" w:hAnsi="Arial"/>
                <w:sz w:val="14"/>
                <w:szCs w:val="14"/>
                <w:color w:val="auto"/>
                <w:w w:val="82"/>
              </w:rPr>
              <w:t>$2,571,560</w:t>
            </w:r>
          </w:p>
        </w:tc>
        <w:tc>
          <w:tcPr>
            <w:tcW w:w="80" w:type="dxa"/>
            <w:vAlign w:val="bottom"/>
          </w:tcPr>
          <w:p>
            <w:pPr>
              <w:spacing w:after="0"/>
              <w:rPr>
                <w:sz w:val="13"/>
                <w:szCs w:val="13"/>
                <w:color w:val="auto"/>
              </w:rPr>
            </w:pPr>
          </w:p>
        </w:tc>
        <w:tc>
          <w:tcPr>
            <w:tcW w:w="74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2,605,923</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jc w:val="right"/>
              <w:spacing w:after="0" w:line="159" w:lineRule="exact"/>
              <w:rPr>
                <w:sz w:val="20"/>
                <w:szCs w:val="20"/>
                <w:color w:val="auto"/>
              </w:rPr>
            </w:pPr>
            <w:r>
              <w:rPr>
                <w:rFonts w:ascii="Arial" w:cs="Arial" w:eastAsia="Arial" w:hAnsi="Arial"/>
                <w:sz w:val="14"/>
                <w:szCs w:val="14"/>
                <w:color w:val="auto"/>
              </w:rPr>
              <w:t>2,562,998</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180" w:type="dxa"/>
            <w:vAlign w:val="bottom"/>
          </w:tcPr>
          <w:p>
            <w:pPr>
              <w:spacing w:after="0"/>
              <w:rPr>
                <w:sz w:val="2"/>
                <w:szCs w:val="2"/>
                <w:color w:val="auto"/>
              </w:rPr>
            </w:pPr>
          </w:p>
        </w:tc>
        <w:tc>
          <w:tcPr>
            <w:tcW w:w="1900" w:type="dxa"/>
            <w:vAlign w:val="bottom"/>
          </w:tcPr>
          <w:p>
            <w:pPr>
              <w:spacing w:after="0"/>
              <w:rPr>
                <w:sz w:val="2"/>
                <w:szCs w:val="2"/>
                <w:color w:val="auto"/>
              </w:rPr>
            </w:pPr>
          </w:p>
        </w:tc>
        <w:tc>
          <w:tcPr>
            <w:tcW w:w="880" w:type="dxa"/>
            <w:vAlign w:val="bottom"/>
          </w:tcPr>
          <w:p>
            <w:pPr>
              <w:spacing w:after="0"/>
              <w:rPr>
                <w:sz w:val="2"/>
                <w:szCs w:val="2"/>
                <w:color w:val="auto"/>
              </w:rPr>
            </w:pPr>
          </w:p>
        </w:tc>
        <w:tc>
          <w:tcPr>
            <w:tcW w:w="520" w:type="dxa"/>
            <w:vAlign w:val="bottom"/>
          </w:tcPr>
          <w:p>
            <w:pPr>
              <w:spacing w:after="0"/>
              <w:rPr>
                <w:sz w:val="2"/>
                <w:szCs w:val="2"/>
                <w:color w:val="auto"/>
              </w:rPr>
            </w:pPr>
          </w:p>
        </w:tc>
        <w:tc>
          <w:tcPr>
            <w:tcW w:w="6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shd w:val="clear" w:color="auto" w:fill="CCEEFF"/>
          </w:tcPr>
          <w:p>
            <w:pPr>
              <w:spacing w:after="0"/>
              <w:rPr>
                <w:sz w:val="12"/>
                <w:szCs w:val="12"/>
                <w:color w:val="auto"/>
              </w:rPr>
            </w:pPr>
          </w:p>
        </w:tc>
        <w:tc>
          <w:tcPr>
            <w:tcW w:w="19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u w:val="single" w:color="auto"/>
                <w:color w:val="auto"/>
                <w:w w:val="76"/>
              </w:rPr>
              <w:t>$</w:t>
            </w: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b w:val="1"/>
                <w:bCs w:val="1"/>
                <w:color w:val="auto"/>
                <w:w w:val="82"/>
              </w:rPr>
              <w:t>297,760,340</w:t>
            </w:r>
          </w:p>
        </w:tc>
        <w:tc>
          <w:tcPr>
            <w:tcW w:w="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u w:val="single" w:color="auto"/>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84"/>
              </w:rPr>
              <w:t>295,239,268</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Principal/</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2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gridSpan w:val="3"/>
            <w:vMerge w:val="continue"/>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60" w:type="dxa"/>
            <w:vAlign w:val="bottom"/>
            <w:gridSpan w:val="3"/>
          </w:tcPr>
          <w:p>
            <w:pPr>
              <w:jc w:val="right"/>
              <w:ind w:right="200"/>
              <w:spacing w:after="0" w:line="149" w:lineRule="exact"/>
              <w:rPr>
                <w:sz w:val="20"/>
                <w:szCs w:val="20"/>
                <w:color w:val="auto"/>
              </w:rPr>
            </w:pPr>
            <w:r>
              <w:rPr>
                <w:rFonts w:ascii="Arial" w:cs="Arial" w:eastAsia="Arial" w:hAnsi="Arial"/>
                <w:sz w:val="14"/>
                <w:szCs w:val="14"/>
                <w:b w:val="1"/>
                <w:bCs w:val="1"/>
                <w:color w:val="auto"/>
              </w:rPr>
              <w:t>Number</w:t>
            </w:r>
          </w:p>
        </w:tc>
        <w:tc>
          <w:tcPr>
            <w:tcW w:w="80" w:type="dxa"/>
            <w:vAlign w:val="bottom"/>
          </w:tcPr>
          <w:p>
            <w:pPr>
              <w:spacing w:after="0"/>
              <w:rPr>
                <w:sz w:val="12"/>
                <w:szCs w:val="12"/>
                <w:color w:val="auto"/>
              </w:rPr>
            </w:pPr>
          </w:p>
        </w:tc>
        <w:tc>
          <w:tcPr>
            <w:tcW w:w="74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Cost</w:t>
            </w:r>
          </w:p>
        </w:tc>
        <w:tc>
          <w:tcPr>
            <w:tcW w:w="80" w:type="dxa"/>
            <w:vAlign w:val="bottom"/>
          </w:tcPr>
          <w:p>
            <w:pPr>
              <w:spacing w:after="0"/>
              <w:rPr>
                <w:sz w:val="12"/>
                <w:szCs w:val="12"/>
                <w:color w:val="auto"/>
              </w:rPr>
            </w:pPr>
          </w:p>
        </w:tc>
        <w:tc>
          <w:tcPr>
            <w:tcW w:w="82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gridSpan w:val="3"/>
          </w:tcPr>
          <w:p>
            <w:pPr>
              <w:ind w:left="20"/>
              <w:spacing w:after="0"/>
              <w:rPr>
                <w:sz w:val="20"/>
                <w:szCs w:val="20"/>
                <w:color w:val="auto"/>
              </w:rPr>
            </w:pPr>
            <w:r>
              <w:rPr>
                <w:rFonts w:ascii="Arial" w:cs="Arial" w:eastAsia="Arial" w:hAnsi="Arial"/>
                <w:sz w:val="14"/>
                <w:szCs w:val="14"/>
                <w:b w:val="1"/>
                <w:bCs w:val="1"/>
                <w:color w:val="auto"/>
              </w:rPr>
              <w:t>of Shares</w:t>
            </w:r>
          </w:p>
        </w:tc>
        <w:tc>
          <w:tcPr>
            <w:tcW w:w="8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180" w:type="dxa"/>
            <w:vAlign w:val="bottom"/>
            <w:tcBorders>
              <w:top w:val="single" w:sz="8" w:color="CCEEFF"/>
            </w:tcBorders>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Cash and cash equivalents</w:t>
            </w:r>
          </w:p>
        </w:tc>
        <w:tc>
          <w:tcPr>
            <w:tcW w:w="1900" w:type="dxa"/>
            <w:vAlign w:val="bottom"/>
            <w:tcBorders>
              <w:top w:val="single" w:sz="8" w:color="CCEEFF"/>
            </w:tcBorders>
            <w:shd w:val="clear" w:color="auto" w:fill="CCEEFF"/>
          </w:tcPr>
          <w:p>
            <w:pPr>
              <w:spacing w:after="0"/>
              <w:rPr>
                <w:sz w:val="11"/>
                <w:szCs w:val="11"/>
                <w:color w:val="auto"/>
              </w:rPr>
            </w:pPr>
          </w:p>
        </w:tc>
        <w:tc>
          <w:tcPr>
            <w:tcW w:w="880" w:type="dxa"/>
            <w:vAlign w:val="bottom"/>
            <w:tcBorders>
              <w:top w:val="single" w:sz="8" w:color="CCEEFF"/>
            </w:tcBorders>
            <w:shd w:val="clear" w:color="auto" w:fill="CCEEFF"/>
          </w:tcPr>
          <w:p>
            <w:pPr>
              <w:spacing w:after="0"/>
              <w:rPr>
                <w:sz w:val="11"/>
                <w:szCs w:val="11"/>
                <w:color w:val="auto"/>
              </w:rPr>
            </w:pPr>
          </w:p>
        </w:tc>
        <w:tc>
          <w:tcPr>
            <w:tcW w:w="520" w:type="dxa"/>
            <w:vAlign w:val="bottom"/>
            <w:tcBorders>
              <w:top w:val="single" w:sz="8" w:color="CCEEFF"/>
            </w:tcBorders>
            <w:shd w:val="clear" w:color="auto" w:fill="CCEEFF"/>
          </w:tcPr>
          <w:p>
            <w:pPr>
              <w:spacing w:after="0"/>
              <w:rPr>
                <w:sz w:val="11"/>
                <w:szCs w:val="11"/>
                <w:color w:val="auto"/>
              </w:rPr>
            </w:pPr>
          </w:p>
        </w:tc>
        <w:tc>
          <w:tcPr>
            <w:tcW w:w="680" w:type="dxa"/>
            <w:vAlign w:val="bottom"/>
            <w:tcBorders>
              <w:top w:val="single" w:sz="8" w:color="CCEEFF"/>
            </w:tcBorders>
            <w:shd w:val="clear" w:color="auto" w:fill="CCEEFF"/>
          </w:tcPr>
          <w:p>
            <w:pPr>
              <w:spacing w:after="0"/>
              <w:rPr>
                <w:sz w:val="11"/>
                <w:szCs w:val="11"/>
                <w:color w:val="auto"/>
              </w:rPr>
            </w:pPr>
          </w:p>
        </w:tc>
        <w:tc>
          <w:tcPr>
            <w:tcW w:w="76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tcPr>
          <w:p>
            <w:pPr>
              <w:spacing w:after="0" w:line="149" w:lineRule="exact"/>
              <w:rPr>
                <w:sz w:val="20"/>
                <w:szCs w:val="20"/>
                <w:color w:val="auto"/>
              </w:rPr>
            </w:pPr>
            <w:r>
              <w:rPr>
                <w:rFonts w:ascii="Arial" w:cs="Arial" w:eastAsia="Arial" w:hAnsi="Arial"/>
                <w:sz w:val="14"/>
                <w:szCs w:val="14"/>
                <w:color w:val="auto"/>
              </w:rPr>
              <w:t>U.S. Bank Money Market (a)</w:t>
            </w:r>
          </w:p>
        </w:tc>
        <w:tc>
          <w:tcPr>
            <w:tcW w:w="19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60" w:type="dxa"/>
            <w:vAlign w:val="bottom"/>
            <w:gridSpan w:val="3"/>
          </w:tcPr>
          <w:p>
            <w:pPr>
              <w:jc w:val="right"/>
              <w:ind w:right="160"/>
              <w:spacing w:after="0" w:line="149" w:lineRule="exact"/>
              <w:rPr>
                <w:sz w:val="20"/>
                <w:szCs w:val="20"/>
                <w:color w:val="auto"/>
              </w:rPr>
            </w:pPr>
            <w:r>
              <w:rPr>
                <w:rFonts w:ascii="Arial" w:cs="Arial" w:eastAsia="Arial" w:hAnsi="Arial"/>
                <w:sz w:val="14"/>
                <w:szCs w:val="14"/>
                <w:u w:val="single" w:color="auto"/>
                <w:color w:val="auto"/>
                <w:w w:val="82"/>
              </w:rPr>
              <w:t>$</w:t>
            </w:r>
            <w:r>
              <w:rPr>
                <w:rFonts w:ascii="Arial" w:cs="Arial" w:eastAsia="Arial" w:hAnsi="Arial"/>
                <w:sz w:val="14"/>
                <w:szCs w:val="14"/>
                <w:color w:val="auto"/>
                <w:w w:val="82"/>
              </w:rPr>
              <w:t>5,831,797</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7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5,831,797</w:t>
            </w:r>
          </w:p>
        </w:tc>
        <w:tc>
          <w:tcPr>
            <w:tcW w:w="1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5,831,797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180" w:type="dxa"/>
            <w:vAlign w:val="bottom"/>
          </w:tcPr>
          <w:p>
            <w:pPr>
              <w:spacing w:after="0"/>
              <w:rPr>
                <w:sz w:val="2"/>
                <w:szCs w:val="2"/>
                <w:color w:val="auto"/>
              </w:rPr>
            </w:pPr>
          </w:p>
        </w:tc>
        <w:tc>
          <w:tcPr>
            <w:tcW w:w="1900" w:type="dxa"/>
            <w:vAlign w:val="bottom"/>
          </w:tcPr>
          <w:p>
            <w:pPr>
              <w:spacing w:after="0"/>
              <w:rPr>
                <w:sz w:val="2"/>
                <w:szCs w:val="2"/>
                <w:color w:val="auto"/>
              </w:rPr>
            </w:pPr>
          </w:p>
        </w:tc>
        <w:tc>
          <w:tcPr>
            <w:tcW w:w="880" w:type="dxa"/>
            <w:vAlign w:val="bottom"/>
          </w:tcPr>
          <w:p>
            <w:pPr>
              <w:spacing w:after="0"/>
              <w:rPr>
                <w:sz w:val="2"/>
                <w:szCs w:val="2"/>
                <w:color w:val="auto"/>
              </w:rPr>
            </w:pPr>
          </w:p>
        </w:tc>
        <w:tc>
          <w:tcPr>
            <w:tcW w:w="520" w:type="dxa"/>
            <w:vAlign w:val="bottom"/>
          </w:tcPr>
          <w:p>
            <w:pPr>
              <w:spacing w:after="0"/>
              <w:rPr>
                <w:sz w:val="2"/>
                <w:szCs w:val="2"/>
                <w:color w:val="auto"/>
              </w:rPr>
            </w:pPr>
          </w:p>
        </w:tc>
        <w:tc>
          <w:tcPr>
            <w:tcW w:w="6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41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cash and cash equivalents</w:t>
            </w:r>
          </w:p>
        </w:tc>
        <w:tc>
          <w:tcPr>
            <w:tcW w:w="19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76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b w:val="1"/>
                <w:bCs w:val="1"/>
                <w:u w:val="single" w:color="auto"/>
                <w:color w:val="auto"/>
                <w:w w:val="82"/>
              </w:rPr>
              <w:t>$</w:t>
            </w:r>
            <w:r>
              <w:rPr>
                <w:rFonts w:ascii="Arial" w:cs="Arial" w:eastAsia="Arial" w:hAnsi="Arial"/>
                <w:sz w:val="14"/>
                <w:szCs w:val="14"/>
                <w:b w:val="1"/>
                <w:bCs w:val="1"/>
                <w:color w:val="auto"/>
                <w:w w:val="82"/>
              </w:rPr>
              <w:t>5,831,797</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76"/>
              </w:rPr>
              <w:t>$</w:t>
            </w: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b w:val="1"/>
                <w:bCs w:val="1"/>
                <w:color w:val="auto"/>
              </w:rPr>
              <w:t>5,831,797</w:t>
            </w:r>
          </w:p>
        </w:tc>
        <w:tc>
          <w:tcPr>
            <w:tcW w:w="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5,831,797</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hanging="452"/>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Included within cash and cash equivalents in Saratoga CLO’s Statements of Assets and Liabilities as of February 28, 2015.</w:t>
      </w:r>
    </w:p>
    <w:p>
      <w:pPr>
        <w:sectPr>
          <w:pgSz w:w="11900" w:h="16838" w:orient="portrait"/>
          <w:cols w:equalWidth="0" w:num="1">
            <w:col w:w="11420"/>
          </w:cols>
          <w:pgMar w:left="240" w:top="127" w:right="239" w:bottom="420" w:gutter="0" w:footer="0" w:header="0"/>
        </w:sectPr>
      </w:pP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ectPr>
          <w:pgSz w:w="11900" w:h="16838" w:orient="portrait"/>
          <w:cols w:equalWidth="0" w:num="1">
            <w:col w:w="11420"/>
          </w:cols>
          <w:pgMar w:left="240" w:top="127" w:right="239" w:bottom="420" w:gutter="0" w:footer="0" w:header="0"/>
          <w:type w:val="continuous"/>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Agreements and-Related Party Transactions</w:t>
      </w:r>
    </w:p>
    <w:p>
      <w:pPr>
        <w:spacing w:after="0" w:line="121"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On July 30, 2010, the Company entered into the Management Agreement with our Manager. The initial term of the Management Agreement is two years, with automatic, one-year renewals at the end of each year subject to certain approvals by our board of directors and/or our stockholders. On July 8, 2015, our board of directors approved the renewal of the Management Agreement for an additional one-year term. Pursuant to the Management Agreement, our Manager implements our business strategy on a day-to-day basis and performs certain services for us, subject to oversight by our board of directors. Our Manager is responsible for, among other duties, determining investment criteria, sourcing, analyzing and executing investments transactions, asset sales, financings and performing asset management duties. Under the Management Agreement, we have agreed to pay our Manager a management fee for investment advisory and management services consisting of a base management fee and an incentive fee.</w:t>
      </w:r>
    </w:p>
    <w:p>
      <w:pPr>
        <w:spacing w:after="0" w:line="167" w:lineRule="exact"/>
        <w:rPr>
          <w:sz w:val="20"/>
          <w:szCs w:val="20"/>
          <w:color w:val="auto"/>
        </w:rPr>
      </w:pPr>
    </w:p>
    <w:p>
      <w:pPr>
        <w:ind w:right="300" w:firstLine="456"/>
        <w:spacing w:after="0" w:line="264" w:lineRule="auto"/>
        <w:rPr>
          <w:sz w:val="20"/>
          <w:szCs w:val="20"/>
          <w:color w:val="auto"/>
        </w:rPr>
      </w:pPr>
      <w:r>
        <w:rPr>
          <w:rFonts w:ascii="Arial" w:cs="Arial" w:eastAsia="Arial" w:hAnsi="Arial"/>
          <w:sz w:val="18"/>
          <w:szCs w:val="18"/>
          <w:color w:val="auto"/>
        </w:rPr>
        <w:t>The base management fee of 1.75% is calculated based on the average value of our gross assets (other than cash or cash equivalents, but including assets purchased with borrowed funds) at the end of the two most recently completed fiscal quarters, and appropriately adjusted for any share issuances or repurchases during the applicable fiscal quarter.</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incentive fee consists of the following two parts:</w:t>
      </w:r>
    </w:p>
    <w:p>
      <w:pPr>
        <w:spacing w:after="0" w:line="225"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The first, payable quarterly in arrears, equals 20.0% of our pre-incentive fee net investment income, expressed as a rate of return on the value of our net assets at the end of the immediately preceding quarter, that exceeds a 1.875% quarterly (7.5% annualized) hurdle rate measured as of the end of each fiscal quarter, subject to a “catch-up” provision. Under this provision, in any fiscal quarter, our Manager receives no incentive fee unless our pre-incentive fee net investment income exceeds the hurdle rate of 1.875%. Our Manager will receive 100.0% of pre-incentive fee net investment income, if any, that exceeds the hurdle rate but is less than or equal to 2.344% in any fiscal quarter (9.376% annualized); and 20.0% of the amount of the our pre-incentive fee net investment income, if any, that exceeds 2.344% in any fiscal quarter (9.376% annualized).</w:t>
      </w:r>
    </w:p>
    <w:p>
      <w:pPr>
        <w:spacing w:after="0" w:line="178" w:lineRule="exact"/>
        <w:rPr>
          <w:sz w:val="20"/>
          <w:szCs w:val="20"/>
          <w:color w:val="auto"/>
        </w:rPr>
      </w:pPr>
    </w:p>
    <w:p>
      <w:pPr>
        <w:ind w:right="40" w:firstLine="456"/>
        <w:spacing w:after="0" w:line="271" w:lineRule="auto"/>
        <w:rPr>
          <w:sz w:val="20"/>
          <w:szCs w:val="20"/>
          <w:color w:val="auto"/>
        </w:rPr>
      </w:pPr>
      <w:r>
        <w:rPr>
          <w:rFonts w:ascii="Arial" w:cs="Arial" w:eastAsia="Arial" w:hAnsi="Arial"/>
          <w:sz w:val="17"/>
          <w:szCs w:val="17"/>
          <w:color w:val="auto"/>
        </w:rPr>
        <w:t>The second part of the incentive fee is determined and payable in arrears as of the end of each fiscal year (or upon termination of the Management Agreement) and equals 20.0% of our “incentive fee capital gains,” which equals our realized capital gains on a cumulative basis from May 31, 2010 through the end of the year, if any, computed net of all realized capital losses and unrealized capital depreciation on a cumulative basis, less the aggregate amount of any previously paid capital gain incentive fee. Importantly, the capital gains portion of the incentive fee is based on realized gains and realized and unrealized losses from May 31, 2010. Therefore, realized and unrealized losses incurred prior to such time will not be taken into account when calculating the capital gains portion of the incentive fee, and our Manager will be entitled to 20.0% of incentive fee capital gains that arise after May 31, 2010. In addition, for the purpose of the “incentive fee capital gains” calculations, the cost basis for computing realized gains and losses on investments held by us as of May 31, 2010 will equal the fair value of such investments as of such date.</w:t>
      </w:r>
    </w:p>
    <w:p>
      <w:pPr>
        <w:spacing w:after="0" w:line="17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For the three months ended November 30, 2015 and November 30, 2014, we incurred $1.1 million and $1.1 million in base management fees,</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respectively. For the three months ended November 30, 2015 and November 30, 2014, we incurred $0.2 million and $0.7 million in incentive fees related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pre-incentive fee net investment income, respectively. For the three months ended November 30, 2015 and November 30, 2014, we accrued $0.2 million and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$0.2 million in incentive fees related to capital gains, respectively. For the nine months ended November 30, 2015 and November 30, 2014, we incurred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$3.4 million and $3.1 million in base management fees, respectively. For the nine months ended November 30, 2015 and November 30, 2014, we incurred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$1.7 million and $1.6 million in incentive fees related to pre-incentive fee net investment income, respectively. For the nine months ended November 30,</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2015 and November 30, 2014, we accrued $0.5 million and $0.5 million in incentive fees related to capital gains, respectively. The accrual is calculated using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both realized and unrealized capital gains for the period. The actual incentive fee related to capital gains will be determined and payable in arrears at the end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the fiscal year and will include only realized capital gains for the period. As of November 30, 2015, the base management fees accrual was $1.1 million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the incentive fees accrual was $4.6 million and is included in base management and incentive fees payable in the accompanying consolidated statements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assets and liabilities. As of February 28, 2015, the base management fees accrual was $1.0 million and the incentive fees accrual was $4.8 million and is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included in base management and incentive fees payable in the accompanying consolidated statements of assets and liabilities.</w:t>
      </w:r>
    </w:p>
    <w:p>
      <w:pPr>
        <w:spacing w:after="0" w:line="211"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color w:val="auto"/>
        </w:rPr>
        <w:t>On July 30, 2010, the Company entered into a separate administration agreement (the “Administration Agreement”) with our Manager, pursuant to which our Manager, as our administrator, has agreed to furnish us with the facilities and administrative services necessary to conduct our day-to-day operations and provide managerial assistance on our behalf to those portfolio companies to which we are required to provide such assistance. The initial term of the Administration Agreement was two years, with automatic, one-year renewals at the end of each year subject to certain approvals by our board of directors and/or our stockholders. The amount of expenses payable or reimbursable thereunder by the Company was capped at $1.0 million for the initial two year term of the administration agreement and subsequent renewals. On July 8, 2015, our board of directors approved the renewal of the Administration Agreement for an additional one-year term and determined to increase the cap on the payment or reimbursement of expenses by the Company thereunder, which had not been increased since the inception of the agreement, to $1.3 million. In addition, our board of directors intends to review the new cap in the next three to six months to determine whether it should be further adjusted in light of differences between our projected and actual expenses and other similar factors.</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459" w:right="2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For the three months ended November 30, 2015 and November 30, 2014, we recognized $0.3 million and $0.3 million in administrator expenses for the periods, respectively, pertaining to bookkeeping, record keeping and other administrative services provided to us in addition to our allocable portion of rent and other overhead related expenses. For the nine months ended November 30, 2015 and November 30, 2014, we recognized $0.9 million and $0.8 million in administrator expenses for the periods, respectively, pertaining to bookkeeping, record keeping and other administrative services provided to us in addition to our allocable portion of rent and other overhead related expenses. As of November 30, 2015 and February 28, 2015, $0.4 million and $0.4 million, respectively, of administrator expenses were accrued and included in due to manager in the accompanying consolidated statements of assets and liabilities. For the nine months ended November 30, 2015 and November 30, 2014, the Company neither bought nor sold any investments from the Saratoga CLO.</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Borrowings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Facility</w:t>
      </w:r>
    </w:p>
    <w:p>
      <w:pPr>
        <w:spacing w:after="0" w:line="117"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As a BDC, we are only allowed to employ leverage to the extent that our asset coverage, as defined in the 1940 Act, equals at least 200.0% after giving effect to such leverage. The amount of leverage that we employ at any time depends on our assessment of the market and other factors at the time of any proposed borrowing.</w:t>
      </w:r>
    </w:p>
    <w:p>
      <w:pPr>
        <w:spacing w:after="0" w:line="181" w:lineRule="exact"/>
        <w:rPr>
          <w:sz w:val="20"/>
          <w:szCs w:val="20"/>
          <w:color w:val="auto"/>
        </w:rPr>
      </w:pPr>
    </w:p>
    <w:p>
      <w:pPr>
        <w:ind w:right="100" w:firstLine="456"/>
        <w:spacing w:after="0" w:line="270" w:lineRule="auto"/>
        <w:rPr>
          <w:sz w:val="20"/>
          <w:szCs w:val="20"/>
          <w:color w:val="auto"/>
        </w:rPr>
      </w:pPr>
      <w:r>
        <w:rPr>
          <w:rFonts w:ascii="Arial" w:cs="Arial" w:eastAsia="Arial" w:hAnsi="Arial"/>
          <w:sz w:val="17"/>
          <w:szCs w:val="17"/>
          <w:color w:val="auto"/>
        </w:rPr>
        <w:t>On April 11, 2007, we entered into a $100.0 million revolving securitized credit facility (the “Revolving Facility”). On May 1, 2007, we entered into a $25.7 million term securitized credit facility (the “Term Facility” and, together with the Revolving Facility, the “Facilities”), which was fully drawn at closing. In December 2007, we consolidated the Facilities by using a draw under the Revolving Facility to repay the Term Facility. In response to the market wide decline in financial asset prices, which negatively affected the value of our portfolio, we terminated the revolving period of the Revolving Facility effective January 14, 2009 and commenced a two-year amortization period during which all principal proceeds from the collateral was used to repay outstanding borrowings. A significant percentage of our total assets had been pledged under the Revolving Facility to secure our obligations thereunder. Under the Revolving Facility, funds were borrowed from or through certain lenders and interest was payable monthly at the greater of the commercial paper rate and our lender’s prime rate plus 4.00% plus a default rate of 2.00% or, if the commercial paper market was unavailable, the greater of the prevailing LIBOR rates and our lender’s prime rate plus 6.00% plus a default rate of 3.00%.</w:t>
      </w:r>
    </w:p>
    <w:p>
      <w:pPr>
        <w:spacing w:after="0" w:line="182" w:lineRule="exact"/>
        <w:rPr>
          <w:sz w:val="20"/>
          <w:szCs w:val="20"/>
          <w:color w:val="auto"/>
        </w:rPr>
      </w:pPr>
    </w:p>
    <w:p>
      <w:pPr>
        <w:jc w:val="both"/>
        <w:ind w:right="100" w:firstLine="456"/>
        <w:spacing w:after="0" w:line="286" w:lineRule="auto"/>
        <w:rPr>
          <w:sz w:val="20"/>
          <w:szCs w:val="20"/>
          <w:color w:val="auto"/>
        </w:rPr>
      </w:pPr>
      <w:r>
        <w:rPr>
          <w:rFonts w:ascii="Arial" w:cs="Arial" w:eastAsia="Arial" w:hAnsi="Arial"/>
          <w:sz w:val="17"/>
          <w:szCs w:val="17"/>
          <w:color w:val="auto"/>
        </w:rPr>
        <w:t>In March 2009, we amended the Revolving Facility to increase the portion of the portfolio that could be invested in “CCC” rated investments in return for an increased interest rate and expedited amortization. As a result of these transactions, we expected to have additional cushion under our borrowing base under the Revolving Facility that would allow us to better manage our capital in times of declining asset prices and market dislocation.</w:t>
      </w:r>
    </w:p>
    <w:p>
      <w:pPr>
        <w:spacing w:after="0" w:line="166" w:lineRule="exact"/>
        <w:rPr>
          <w:sz w:val="20"/>
          <w:szCs w:val="20"/>
          <w:color w:val="auto"/>
        </w:rPr>
      </w:pPr>
    </w:p>
    <w:p>
      <w:pPr>
        <w:ind w:right="200" w:firstLine="456"/>
        <w:spacing w:after="0" w:line="279" w:lineRule="auto"/>
        <w:rPr>
          <w:sz w:val="20"/>
          <w:szCs w:val="20"/>
          <w:color w:val="auto"/>
        </w:rPr>
      </w:pPr>
      <w:r>
        <w:rPr>
          <w:rFonts w:ascii="Arial" w:cs="Arial" w:eastAsia="Arial" w:hAnsi="Arial"/>
          <w:sz w:val="17"/>
          <w:szCs w:val="17"/>
          <w:color w:val="auto"/>
        </w:rPr>
        <w:t>On July 30, 2009, we exceeded the permissible borrowing limit under the Revolving Facility for 30 consecutive days, resulting in an event of default under the Revolving Facility. As a result of this event of default, our lender had the right to accelerate repayment of the outstanding indebtedness under the Revolving Facility and to foreclose and liquidate the collateral pledged thereunder. Acceleration of the outstanding indebtedness and/or liquidation of the collateral could have had a material adverse effect on our liquidity, financial condition and operations.</w:t>
      </w:r>
    </w:p>
    <w:p>
      <w:pPr>
        <w:spacing w:after="0" w:line="17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On July 30, 2010, we used the net proceeds from (i) the stock purchase transaction and (ii) a portion of the funds available to us under the $45.0 million senior secured revolving credit facility (the “Credit Facility”) with Madison Capital Funding LLC, in each case, to pay the full amount of principal and accrued interest, including default interest, outstanding under the Revolving Facility. As a result, the Revolving Facility was terminated in connection therewith. Substantially all of our total assets, other than those held by SBIC LP, have been pledged under the Credit Facility to secure our obligations thereunder.</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 February 24, 2012, we amended our senior secured revolving credit facility with Madison Capital Funding LLC to, among other things:</w:t>
      </w:r>
    </w:p>
    <w:p>
      <w:pPr>
        <w:spacing w:after="0" w:line="131" w:lineRule="exact"/>
        <w:rPr>
          <w:sz w:val="20"/>
          <w:szCs w:val="20"/>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expand the borrowing capacity under the Credit Facility from $40.0 million to $45.0 million;</w:t>
      </w:r>
    </w:p>
    <w:p>
      <w:pPr>
        <w:spacing w:after="0" w:line="130" w:lineRule="exact"/>
        <w:rPr>
          <w:rFonts w:ascii="Arial" w:cs="Arial" w:eastAsia="Arial" w:hAnsi="Arial"/>
          <w:sz w:val="18"/>
          <w:szCs w:val="18"/>
          <w:color w:val="auto"/>
        </w:rPr>
      </w:pPr>
    </w:p>
    <w:p>
      <w:pPr>
        <w:jc w:val="both"/>
        <w:ind w:left="900" w:right="560" w:hanging="325"/>
        <w:spacing w:after="0" w:line="312" w:lineRule="auto"/>
        <w:tabs>
          <w:tab w:leader="none" w:pos="9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extend the period during which we may make and repay borrowings under the credit facility from July 30, 2013 to February 24, 2015 (the “Revolving Period”). The Revolving Period may upon the occurrence of an event of default, by action of the lenders or automatically. All borrowings and other amounts payable under the credit facility are due and payable five years after the end of the Revolving Period; and</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459" w:right="2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tabs>
          <w:tab w:leader="none" w:pos="9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remove the condition that we may not acquire additional loan assets without the prior written consent of Madison Capital Funding LLC.</w:t>
      </w:r>
    </w:p>
    <w:p>
      <w:pPr>
        <w:spacing w:after="0" w:line="23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On September 17, 2014, we entered into a second amendment to the Credit Facility with Madison Capital Funding LLC to, among other things:</w:t>
      </w:r>
    </w:p>
    <w:p>
      <w:pPr>
        <w:spacing w:after="0" w:line="142" w:lineRule="exact"/>
        <w:rPr>
          <w:sz w:val="20"/>
          <w:szCs w:val="20"/>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extend the commitment termination date from February 24, 2015 to September 17, 2017;</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extend the maturity date of the Credit Facility from February 24, 2020 to September 17, 2022 (unless terminated sooner upon certain events);</w:t>
      </w:r>
    </w:p>
    <w:p>
      <w:pPr>
        <w:spacing w:after="0" w:line="153" w:lineRule="exact"/>
        <w:rPr>
          <w:rFonts w:ascii="Arial" w:cs="Arial" w:eastAsia="Arial" w:hAnsi="Arial"/>
          <w:sz w:val="16"/>
          <w:szCs w:val="16"/>
          <w:color w:val="auto"/>
        </w:rPr>
      </w:pPr>
    </w:p>
    <w:p>
      <w:pPr>
        <w:ind w:left="900" w:hanging="325"/>
        <w:spacing w:after="0"/>
        <w:tabs>
          <w:tab w:leader="none" w:pos="9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reduce the applicable margin rate on base rate borrowings from 4.50% to 3.75%, and on LIBOR borrowings from 5.50% to 4.75%; and</w:t>
      </w:r>
    </w:p>
    <w:p>
      <w:pPr>
        <w:spacing w:after="0" w:line="142" w:lineRule="exact"/>
        <w:rPr>
          <w:rFonts w:ascii="Arial" w:cs="Arial" w:eastAsia="Arial" w:hAnsi="Arial"/>
          <w:sz w:val="17"/>
          <w:szCs w:val="17"/>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reduce the floor on base rate borrowings from 3.00% to 2.25%; and on LIBOR borrowings from 2.00% to 1.25%.</w:t>
      </w:r>
    </w:p>
    <w:p>
      <w:pPr>
        <w:spacing w:after="0" w:line="225" w:lineRule="exact"/>
        <w:rPr>
          <w:sz w:val="20"/>
          <w:szCs w:val="20"/>
          <w:color w:val="auto"/>
        </w:rPr>
      </w:pPr>
    </w:p>
    <w:p>
      <w:pPr>
        <w:ind w:right="100" w:firstLine="456"/>
        <w:spacing w:after="0" w:line="286" w:lineRule="auto"/>
        <w:rPr>
          <w:sz w:val="20"/>
          <w:szCs w:val="20"/>
          <w:color w:val="auto"/>
        </w:rPr>
      </w:pPr>
      <w:r>
        <w:rPr>
          <w:rFonts w:ascii="Arial" w:cs="Arial" w:eastAsia="Arial" w:hAnsi="Arial"/>
          <w:sz w:val="16"/>
          <w:szCs w:val="16"/>
          <w:color w:val="auto"/>
        </w:rPr>
        <w:t>As of November 30, 2015 there were no outstanding borrowings under the Credit Facility and the Company was in compliance with all of the limitations and requirements of the Credit Facility. As of February 28, 2015, there was $9.6 million outstanding under the Credit Facility and the Company was in compliance with all of the limitations and requirements of the Credit Facility. Financing costs of $2.7 million related to the Credit Facility have been capitalized and are being amortized over the term of the facility. For the three months ended November 30, 2015 and November 30, 2014, we recorded $0.1 million and $0.2 million of interest expense, respectively. For the nine months ended November 30, 2015 and November 30, 2014, we recorded $0.6 million and $0.6 million of interest expense, respectively. For the three months ended November 30, 2015 and November 30, 2014, we recorded $0.02 million and $0.03 million of amortization of deferred financing costs related to the Credit Facility, respectively. For the nine months ended November 30, 2015 and November 30, 2014, we recorded $0.1 million and $0.2 million of amortization of deferred financing costs related to the Credit Facility, respectively. The interest rates during the three and nine months ended November 30, 2015 on the outstanding borrowings under the Credit Facility were 6.00% and 6.00%, respectively. The interest rates during the three and nine months ended November 30, 2014 on the outstanding borrowings under the Credit Facility were 7.50% and 7.50%, respectively. During the three and nine months ended November 30, 2015, the average dollar amount of outstanding borrowings under the Credit Facility was $0.9 million and $5.8 million, respectively. During the three and nine months ended November 30, 2014, the average dollar amount of outstanding borrowings under the Credit Facility was $6.3 million and $5.2 million, respectively.</w:t>
      </w:r>
    </w:p>
    <w:p>
      <w:pPr>
        <w:spacing w:after="0" w:line="175"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The Credit Facility contains limitations as to how borrowed funds may be used, such as restrictions on industry concentrations, asset size, weighted average life, currency denomination and collateral interests. The Credit Facility also includes certain requirements relating to portfolio performance, the violation of which could result in the limit of further advances and, in some cases, result in an event of default, allowing the lenders to accelerate repayment of amounts owed thereunder. The Credit Facility has an eight year term, consisting of a three year period (the “Revolving Period”), under which the Company may make and repay borrowings, and a final maturity five years from the end of the Revolving Period. Availability on the Credit Facility will be subject to a borrowing base calculation, based on, among other things, applicable advance rates (which vary from 50.0% to 75.0% of par or fair value depending on the type of loan asset) and the value of certain “eligible” loan assets included as part of the Borrowing Base. Funds may be borrowed at the greater of the prevailing LIBOR rate and 2.00%, plus an applicable margin of 5.50%. At the Company’s option, funds may be borrowed based on an alternative base rate, which in no event will be less than 3.00%, and the applicable margin over such alternative base rate is 4.50%. In addition, the Company will pay the lenders a commitment fee of 0.75% per year on the unused amount of the Credit Facility for the duration of the Revolving Period.</w:t>
      </w:r>
    </w:p>
    <w:p>
      <w:pPr>
        <w:spacing w:after="0" w:line="169"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Our borrowing base under the Credit Facility was $35.3 million subject to the Credit Facility cap of $45.0 million at November 30, 2015. For purposes of determining the borrowing base, most assets are assigned the values set forth in our most recent Annual Report on Form 10-K or Quarterly Report on Form 10-Q filed with the SEC. Accordingly, the November 30, 2015 borrowing base relies upon the valuations set forth in the Quarterly Report on Form 10-Q for the period ended August 31, 2015. The valuations presented in this Quarterly Report on Form 10-Q will not be incorporated into the borrowing base until after this Quarterly Report on Form 10-Q is filed with the SEC.</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SBA Debentures</w:t>
      </w:r>
    </w:p>
    <w:p>
      <w:pPr>
        <w:spacing w:after="0" w:line="11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SBIC LP is able to borrow funds from the SBA against regulatory capital (which approximates equity capital) that is paid in and is subject to customary regulatory requirements including but not limited to an examination by the SBA. As of November 30, 2015, we have funded SBIC LP with $59.3 million of equity capital, and have $79.0 million of SBA-guaranteed debentures outstanding. SBA debentures are non-recourse to us, have a 10-year maturity, and may be prepaid at any time without penalty. The interest rate of SBA debentures is fixed at the time of issuance, often referred to as pooling, at a market-driven spread over 10-year U.S. Treasury Notes. SBA current regulations limit the amount that SBIC LP may borrow to a maximum of $150.0 million, which is up to twice its potential regulatory capital.</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459" w:right="2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SBICs are designed to stimulate the flow of private equity capital to eligible small businesses. Under SBA regulations, SBICs may make loans to eligible small businesses and invest in the equity securities of small businesses. Under present SBA regulations, eligible small businesses include businesses that have a tangible net worth not exceeding $19.5 million and have average annual fully taxed net income not exceeding $6.5 million for the two most recent fiscal years. In addition, an SBIC must devote 25.0% of its investment activity to ‘‘smaller’’ concerns as defined by the SBA. A smaller concern is one that has a tangible net worth not exceeding $6.0 million and has average annual fully taxed net income not exceeding $2.0 million for the two most recent fiscal years. SBA regulations also provide alternative size standard criteria to determine eligibility, which depend on the industry in which the business is engaged and are based on such factors as the number of employees and gross sales. According to SBA regulations, SBICs may make long-term loans to small businesses, invest in the equity securities of such businesses and provide them with consulting and advisory services.</w:t>
      </w:r>
    </w:p>
    <w:p>
      <w:pPr>
        <w:spacing w:after="0" w:line="166"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SBIC LP is subject to regulation and oversight by the SBA, including requirements with respect to maintaining certain minimum financial ratios and other covenants. Receipt of an SBIC license does not assure that SBIC LP will receive SBA guaranteed debenture funding, which is dependent upon SBIC LP continuing to be in compliance with SBA regulations and policies. The SBA, as a creditor, will have a superior claim to SBIC LP’s assets over our stockholders and debtholders in the event we liquidate SBIC LP or the SBA exercises its remedies under the SBA-guaranteed debentures issued by SBIC LP upon an event of default.</w:t>
      </w:r>
    </w:p>
    <w:p>
      <w:pPr>
        <w:spacing w:after="0" w:line="188" w:lineRule="exact"/>
        <w:rPr>
          <w:sz w:val="20"/>
          <w:szCs w:val="20"/>
          <w:color w:val="auto"/>
        </w:rPr>
      </w:pPr>
    </w:p>
    <w:p>
      <w:pPr>
        <w:ind w:right="80" w:firstLine="456"/>
        <w:spacing w:after="0" w:line="312" w:lineRule="auto"/>
        <w:rPr>
          <w:sz w:val="20"/>
          <w:szCs w:val="20"/>
          <w:color w:val="auto"/>
        </w:rPr>
      </w:pPr>
      <w:r>
        <w:rPr>
          <w:rFonts w:ascii="Arial" w:cs="Arial" w:eastAsia="Arial" w:hAnsi="Arial"/>
          <w:sz w:val="16"/>
          <w:szCs w:val="16"/>
          <w:color w:val="auto"/>
        </w:rPr>
        <w:t>The Company received exemptive relief from the Securities and Exchange Commission to permit it to exclude the debt of SBIC LP guaranteed by the SBA from the definition of senior securities in the 200.0% asset coverage test under the 1940 Act. This allows the Company increased flexibility under the 200.0% asset coverage test by permitting it to borrow up to $150.0 million more than it would otherwise be able to absent the receipt of this exemptive relief.</w:t>
      </w:r>
    </w:p>
    <w:p>
      <w:pPr>
        <w:spacing w:after="0" w:line="147"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As of November 30, 2015 and February 28, 2015, there was $79.0 million and $79.0 million outstanding of SBA debentures, respectively. The carrying amount of the amount outstanding of SBA debentures approximates its fair value. Financing costs of $3.0 million related to the SBA debentures have been capitalized and are being amortized over the term of the commitment and drawdown.</w:t>
      </w:r>
    </w:p>
    <w:p>
      <w:pPr>
        <w:spacing w:after="0" w:line="181" w:lineRule="exact"/>
        <w:rPr>
          <w:sz w:val="20"/>
          <w:szCs w:val="20"/>
          <w:color w:val="auto"/>
        </w:rPr>
      </w:pPr>
    </w:p>
    <w:p>
      <w:pPr>
        <w:ind w:right="220" w:firstLine="456"/>
        <w:spacing w:after="0" w:line="302" w:lineRule="auto"/>
        <w:rPr>
          <w:sz w:val="20"/>
          <w:szCs w:val="20"/>
          <w:color w:val="auto"/>
        </w:rPr>
      </w:pPr>
      <w:r>
        <w:rPr>
          <w:rFonts w:ascii="Arial" w:cs="Arial" w:eastAsia="Arial" w:hAnsi="Arial"/>
          <w:sz w:val="16"/>
          <w:szCs w:val="16"/>
          <w:color w:val="auto"/>
        </w:rPr>
        <w:t>For the three months ended November 30, 2015 and November 30, 2014, we recorded $0.6 million and $0.6 million of interest expense related to the SBA debentures, respectively. For the three months ended November 30, 2015 and November 30, 2014, we recorded $0.1 million and $0.1 million of amortization of deferred financing costs related to the SBA debentures, respectively. The weighted average interest rate during the three months ended November 30, 2015 and November 30, 2014 on the outstanding borrowings of the SBA debentures was 3.25% and 2.51%, respectively.</w:t>
      </w:r>
    </w:p>
    <w:p>
      <w:pPr>
        <w:spacing w:after="0" w:line="154"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For the nine months ended November 30, 2015 and November 30, 2014, we recorded $1.9 million and $1.4 million of interest expense related to the SBA debentures, respectively. For the nine months ended November 30, 2015 and November 30, 2014, we recorded $0.3 million and $0.2 million of amortization of deferred financing costs related to the SBA debentures, respectively. The weighted average interest rate during the nine months ended November 30, 2015 and November 30, 2014 on the outstanding borrowings of the SBA debentures was 3.21% and 2.76%, respectively. During the three and nine months ended November 30, 2015, the average dollar amount of SBA debentures outstanding was $79.0 million and $79.0 million, respectively. During the three and nine months ended November 30, 2014, the average dollar amount of SBA debentures outstanding was $76.4 million and $64.2 million, respectively.</w:t>
      </w:r>
    </w:p>
    <w:p>
      <w:pPr>
        <w:spacing w:after="0" w:line="189" w:lineRule="exact"/>
        <w:rPr>
          <w:sz w:val="20"/>
          <w:szCs w:val="20"/>
          <w:color w:val="auto"/>
        </w:rPr>
      </w:pPr>
    </w:p>
    <w:p>
      <w:pPr>
        <w:ind w:right="60" w:firstLine="456"/>
        <w:spacing w:after="0" w:line="276" w:lineRule="auto"/>
        <w:rPr>
          <w:sz w:val="20"/>
          <w:szCs w:val="20"/>
          <w:color w:val="auto"/>
        </w:rPr>
      </w:pPr>
      <w:r>
        <w:rPr>
          <w:rFonts w:ascii="Arial" w:cs="Arial" w:eastAsia="Arial" w:hAnsi="Arial"/>
          <w:sz w:val="17"/>
          <w:szCs w:val="17"/>
          <w:color w:val="auto"/>
        </w:rPr>
        <w:t>On April 2, 2015, the SBA issued a “green light” or “go forth” letter inviting us to continue our application process to obtain a license to form and operate its second SBIC subsidiary. If approved, a second SBIC license would provide us an incremental source of long-term capital by permitting us to issue $75 million of additional SBA-guaranteed debentures in addition to the $150 million already approved under the first license. Receipt of a green light letter from the SBA does not assure an applicant that the SBA will ultimately issue an SBIC license and we have received no assurance or indication from the SBA that it will receive an SBIC license, or of the timeframe in which it would receive a license, should one be granted.</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w:t>
      </w:r>
    </w:p>
    <w:p>
      <w:pPr>
        <w:spacing w:after="0" w:line="117"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On May 10, 2013, the Company issued $42.0 million in aggregate principal amount of 7.50% fixed-rate notes due 2020 (the “Notes”). The Notes will mature on May 31, 2020, and may be redeemed in whole or in part at any time or from time to time at the Company’s option on or after May 31, 2016. Interest will be payable quarterly beginning August 15, 2013.</w:t>
      </w:r>
    </w:p>
    <w:p>
      <w:pPr>
        <w:spacing w:after="0" w:line="18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On May 17, 2013, the Company closed an additional $6.3 million in aggregate principal amount of the Notes, pursuant to the full exercise of the underwriters’ option to purchase additional Notes. On May 29, 2015, the Company entered into a Debt Distribution Agreement with Landenburg Thalmann &amp; Co. through which the Company may offer for sale, from time to time, up to $20.0 million in aggregate principal amount of the Notes through an At-the-Market (“ATM”) offering. As of November 30, 2015, the Company sold 522,981 bonds with a principal of $13,074,525 at an average price of $25.31 for aggregate net proceeds of $12,973,084 (net of transaction costs).</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As of November 30, 2015, the carrying amount and fair value of the Notes was $61.4 million and $61.5 million, respectively. The fair value of the Notes, which are publicly traded, is based upon closing market quotes as of the measurement date and would be classified as a level 1 liability within the fair value hierarchy. As of November 30, 2015, $2.7 million of financing costs related to the Notes (including underwriting commissions and net of issuance premiums) have been capitalized and are being amortized over the term of the Notes. For the three and nine months ended November 30, 2015, we recorded $1.1 million and $3.1 million, respectively, of interest expense and $0.1 million and $0.3 million, respectively, of amortization of deferred financing costs related to the Notes. For the three and nine months ended November 30, 2014, we recorded $0.9 million and $2.7 million, respectively, of interest expense and $0.1 million and $0.3 million, respectively, of amortization of deferred financing costs related to the Notes. During the three and nine months ended November 30, 2015, the average dollar amount of Notes outstanding was $58.9 million and $53.8 million, respectively. During the three and nine months ended November 30, 2014, the average dollar amount of Notes outstanding was $48.3 million and $48.3 million, respectively.</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Commitments and Contingencies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shows our payment obligations for repayment of debt and other contractual obligations at November 30, 2015:</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5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5"/>
          </w:tcPr>
          <w:p>
            <w:pPr>
              <w:ind w:left="80"/>
              <w:spacing w:after="0"/>
              <w:rPr>
                <w:sz w:val="20"/>
                <w:szCs w:val="20"/>
                <w:color w:val="auto"/>
              </w:rPr>
            </w:pPr>
            <w:r>
              <w:rPr>
                <w:rFonts w:ascii="Arial" w:cs="Arial" w:eastAsia="Arial" w:hAnsi="Arial"/>
                <w:sz w:val="14"/>
                <w:szCs w:val="14"/>
                <w:b w:val="1"/>
                <w:bCs w:val="1"/>
                <w:color w:val="auto"/>
              </w:rPr>
              <w:t>Payment Due by Period</w:t>
            </w:r>
          </w:p>
        </w:tc>
        <w:tc>
          <w:tcPr>
            <w:tcW w:w="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520" w:type="dxa"/>
            <w:vAlign w:val="bottom"/>
          </w:tcPr>
          <w:p>
            <w:pPr>
              <w:spacing w:after="0"/>
              <w:rPr>
                <w:sz w:val="10"/>
                <w:szCs w:val="10"/>
                <w:color w:val="auto"/>
              </w:rPr>
            </w:pPr>
          </w:p>
        </w:tc>
        <w:tc>
          <w:tcPr>
            <w:tcW w:w="9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5"/>
              </w:rPr>
              <w:t>Total</w:t>
            </w:r>
          </w:p>
        </w:tc>
        <w:tc>
          <w:tcPr>
            <w:tcW w:w="240" w:type="dxa"/>
            <w:vAlign w:val="bottom"/>
          </w:tcPr>
          <w:p>
            <w:pPr>
              <w:spacing w:after="0"/>
              <w:rPr>
                <w:sz w:val="10"/>
                <w:szCs w:val="10"/>
                <w:color w:val="auto"/>
              </w:rPr>
            </w:pPr>
          </w:p>
        </w:tc>
        <w:tc>
          <w:tcPr>
            <w:tcW w:w="64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w w:val="96"/>
              </w:rPr>
              <w:t>Less Than</w:t>
            </w:r>
          </w:p>
        </w:tc>
        <w:tc>
          <w:tcPr>
            <w:tcW w:w="880" w:type="dxa"/>
            <w:vAlign w:val="bottom"/>
            <w:gridSpan w:val="2"/>
          </w:tcPr>
          <w:p>
            <w:pPr>
              <w:jc w:val="center"/>
              <w:ind w:left="351"/>
              <w:spacing w:after="0" w:line="119" w:lineRule="exact"/>
              <w:rPr>
                <w:sz w:val="20"/>
                <w:szCs w:val="20"/>
                <w:color w:val="auto"/>
              </w:rPr>
            </w:pPr>
            <w:r>
              <w:rPr>
                <w:rFonts w:ascii="Arial" w:cs="Arial" w:eastAsia="Arial" w:hAnsi="Arial"/>
                <w:sz w:val="13"/>
                <w:szCs w:val="13"/>
                <w:b w:val="1"/>
                <w:bCs w:val="1"/>
                <w:color w:val="auto"/>
                <w:w w:val="97"/>
              </w:rPr>
              <w:t>1 -3</w:t>
            </w:r>
          </w:p>
        </w:tc>
        <w:tc>
          <w:tcPr>
            <w:tcW w:w="340" w:type="dxa"/>
            <w:vAlign w:val="bottom"/>
          </w:tcPr>
          <w:p>
            <w:pPr>
              <w:spacing w:after="0"/>
              <w:rPr>
                <w:sz w:val="10"/>
                <w:szCs w:val="10"/>
                <w:color w:val="auto"/>
              </w:rPr>
            </w:pPr>
          </w:p>
        </w:tc>
        <w:tc>
          <w:tcPr>
            <w:tcW w:w="700" w:type="dxa"/>
            <w:vAlign w:val="bottom"/>
            <w:gridSpan w:val="2"/>
          </w:tcPr>
          <w:p>
            <w:pPr>
              <w:jc w:val="right"/>
              <w:ind w:right="128"/>
              <w:spacing w:after="0" w:line="119" w:lineRule="exact"/>
              <w:rPr>
                <w:sz w:val="20"/>
                <w:szCs w:val="20"/>
                <w:color w:val="auto"/>
              </w:rPr>
            </w:pPr>
            <w:r>
              <w:rPr>
                <w:rFonts w:ascii="Arial" w:cs="Arial" w:eastAsia="Arial" w:hAnsi="Arial"/>
                <w:sz w:val="13"/>
                <w:szCs w:val="13"/>
                <w:b w:val="1"/>
                <w:bCs w:val="1"/>
                <w:color w:val="auto"/>
              </w:rPr>
              <w:t>3 -5</w:t>
            </w:r>
          </w:p>
        </w:tc>
        <w:tc>
          <w:tcPr>
            <w:tcW w:w="460" w:type="dxa"/>
            <w:vAlign w:val="bottom"/>
          </w:tcPr>
          <w:p>
            <w:pPr>
              <w:spacing w:after="0"/>
              <w:rPr>
                <w:sz w:val="10"/>
                <w:szCs w:val="10"/>
                <w:color w:val="auto"/>
              </w:rPr>
            </w:pPr>
          </w:p>
        </w:tc>
        <w:tc>
          <w:tcPr>
            <w:tcW w:w="7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More Than</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52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ind w:left="20"/>
              <w:spacing w:after="0"/>
              <w:rPr>
                <w:sz w:val="20"/>
                <w:szCs w:val="20"/>
                <w:color w:val="auto"/>
              </w:rPr>
            </w:pPr>
            <w:r>
              <w:rPr>
                <w:rFonts w:ascii="Arial" w:cs="Arial" w:eastAsia="Arial" w:hAnsi="Arial"/>
                <w:sz w:val="14"/>
                <w:szCs w:val="14"/>
                <w:b w:val="1"/>
                <w:bCs w:val="1"/>
                <w:color w:val="auto"/>
              </w:rPr>
              <w:t>1 Year</w:t>
            </w:r>
          </w:p>
        </w:tc>
        <w:tc>
          <w:tcPr>
            <w:tcW w:w="420" w:type="dxa"/>
            <w:vAlign w:val="bottom"/>
          </w:tcPr>
          <w:p>
            <w:pPr>
              <w:spacing w:after="0"/>
              <w:rPr>
                <w:sz w:val="14"/>
                <w:szCs w:val="14"/>
                <w:color w:val="auto"/>
              </w:rPr>
            </w:pPr>
          </w:p>
        </w:tc>
        <w:tc>
          <w:tcPr>
            <w:tcW w:w="8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Years</w:t>
            </w:r>
          </w:p>
        </w:tc>
        <w:tc>
          <w:tcPr>
            <w:tcW w:w="100" w:type="dxa"/>
            <w:vAlign w:val="bottom"/>
          </w:tcPr>
          <w:p>
            <w:pPr>
              <w:spacing w:after="0"/>
              <w:rPr>
                <w:sz w:val="14"/>
                <w:szCs w:val="14"/>
                <w:color w:val="auto"/>
              </w:rPr>
            </w:pPr>
          </w:p>
        </w:tc>
        <w:tc>
          <w:tcPr>
            <w:tcW w:w="1060" w:type="dxa"/>
            <w:vAlign w:val="bottom"/>
            <w:gridSpan w:val="2"/>
          </w:tcPr>
          <w:p>
            <w:pPr>
              <w:ind w:left="120"/>
              <w:spacing w:after="0"/>
              <w:rPr>
                <w:sz w:val="20"/>
                <w:szCs w:val="20"/>
                <w:color w:val="auto"/>
              </w:rPr>
            </w:pPr>
            <w:r>
              <w:rPr>
                <w:rFonts w:ascii="Arial" w:cs="Arial" w:eastAsia="Arial" w:hAnsi="Arial"/>
                <w:sz w:val="14"/>
                <w:szCs w:val="14"/>
                <w:b w:val="1"/>
                <w:bCs w:val="1"/>
                <w:color w:val="auto"/>
              </w:rPr>
              <w:t>Years</w:t>
            </w:r>
          </w:p>
        </w:tc>
        <w:tc>
          <w:tcPr>
            <w:tcW w:w="8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8"/>
              </w:rPr>
              <w:t>5 Years</w:t>
            </w:r>
          </w:p>
        </w:tc>
        <w:tc>
          <w:tcPr>
            <w:tcW w:w="0" w:type="dxa"/>
            <w:vAlign w:val="bottom"/>
          </w:tcPr>
          <w:p>
            <w:pPr>
              <w:spacing w:after="0"/>
              <w:rPr>
                <w:sz w:val="1"/>
                <w:szCs w:val="1"/>
                <w:color w:val="auto"/>
              </w:rPr>
            </w:pPr>
          </w:p>
        </w:tc>
      </w:tr>
      <w:tr>
        <w:trPr>
          <w:trHeight w:val="142"/>
        </w:trPr>
        <w:tc>
          <w:tcPr>
            <w:tcW w:w="552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gridSpan w:val="3"/>
          </w:tcPr>
          <w:p>
            <w:pPr>
              <w:jc w:val="center"/>
              <w:ind w:left="11"/>
              <w:spacing w:after="0" w:line="142" w:lineRule="exact"/>
              <w:rPr>
                <w:sz w:val="20"/>
                <w:szCs w:val="20"/>
                <w:color w:val="auto"/>
              </w:rPr>
            </w:pPr>
            <w:r>
              <w:rPr>
                <w:rFonts w:ascii="Arial" w:cs="Arial" w:eastAsia="Arial" w:hAnsi="Arial"/>
                <w:sz w:val="14"/>
                <w:szCs w:val="14"/>
                <w:b w:val="1"/>
                <w:bCs w:val="1"/>
                <w:color w:val="auto"/>
                <w:w w:val="90"/>
              </w:rPr>
              <w:t>($ in thousands)</w:t>
            </w: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Long-Term Debt Obligations</w:t>
            </w:r>
          </w:p>
        </w:tc>
        <w:tc>
          <w:tcPr>
            <w:tcW w:w="92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140,375</w:t>
            </w: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w:t>
            </w:r>
          </w:p>
        </w:tc>
        <w:tc>
          <w:tcPr>
            <w:tcW w:w="1160" w:type="dxa"/>
            <w:vAlign w:val="bottom"/>
            <w:gridSpan w:val="3"/>
            <w:shd w:val="clear" w:color="auto" w:fill="CCEEFF"/>
          </w:tcPr>
          <w:p>
            <w:pPr>
              <w:jc w:val="center"/>
              <w:ind w:right="4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61,375</w:t>
            </w:r>
          </w:p>
        </w:tc>
        <w:tc>
          <w:tcPr>
            <w:tcW w:w="8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$ 79,000</w:t>
            </w: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The Company’s off-balance sheet arrangements consisted of $3.1 million and $11.2 million of unfunded commitments to provide debt financing to its portfolio companies or to fund limited partnership interests as of November 30, 2015 and February 28, 2015, respectively. Such commitments are generally up to the Company’s discretion to approve, or the satisfaction of certain financial and nonfinancial covenants and involve, to varying degrees, elements of credit risk in excess of the amount recognized in the Company’s Consolidated Statements of Assets and Liabilities and are not reflected in the Company’s Consolidated Statements of Assets and Liabilities.</w:t>
      </w:r>
    </w:p>
    <w:p>
      <w:pPr>
        <w:spacing w:after="0" w:line="188"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A summary of the composition of the unfunded commitments as of November 30, 2015 and February 28, 2015 are shown in the table below (dollars in thousands):</w:t>
      </w:r>
    </w:p>
    <w:p>
      <w:pPr>
        <w:spacing w:after="0" w:line="189"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5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2"/>
          </w:tcPr>
          <w:p>
            <w:pPr>
              <w:ind w:left="280"/>
              <w:spacing w:after="0"/>
              <w:rPr>
                <w:sz w:val="20"/>
                <w:szCs w:val="20"/>
                <w:color w:val="auto"/>
              </w:rPr>
            </w:pPr>
            <w:r>
              <w:rPr>
                <w:rFonts w:ascii="Arial" w:cs="Arial" w:eastAsia="Arial" w:hAnsi="Arial"/>
                <w:sz w:val="14"/>
                <w:szCs w:val="14"/>
                <w:b w:val="1"/>
                <w:bCs w:val="1"/>
                <w:color w:val="auto"/>
              </w:rPr>
              <w:t>As of</w:t>
            </w:r>
          </w:p>
        </w:tc>
        <w:tc>
          <w:tcPr>
            <w:tcW w:w="7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5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6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89"/>
              </w:rPr>
              <w:t>November 30, 2015</w:t>
            </w:r>
          </w:p>
        </w:tc>
        <w:tc>
          <w:tcPr>
            <w:tcW w:w="2060" w:type="dxa"/>
            <w:vAlign w:val="bottom"/>
            <w:gridSpan w:val="3"/>
          </w:tcPr>
          <w:p>
            <w:pPr>
              <w:ind w:left="920"/>
              <w:spacing w:after="0" w:line="142" w:lineRule="exact"/>
              <w:rPr>
                <w:sz w:val="20"/>
                <w:szCs w:val="20"/>
                <w:color w:val="auto"/>
              </w:rPr>
            </w:pPr>
            <w:r>
              <w:rPr>
                <w:rFonts w:ascii="Arial" w:cs="Arial" w:eastAsia="Arial" w:hAnsi="Arial"/>
                <w:sz w:val="14"/>
                <w:szCs w:val="14"/>
                <w:b w:val="1"/>
                <w:bCs w:val="1"/>
                <w:color w:val="auto"/>
                <w:w w:val="94"/>
              </w:rPr>
              <w:t>February 28, 2015</w:t>
            </w:r>
          </w:p>
        </w:tc>
        <w:tc>
          <w:tcPr>
            <w:tcW w:w="100" w:type="dxa"/>
            <w:vAlign w:val="bottom"/>
          </w:tcPr>
          <w:p>
            <w:pPr>
              <w:spacing w:after="0"/>
              <w:rPr>
                <w:sz w:val="12"/>
                <w:szCs w:val="12"/>
                <w:color w:val="auto"/>
              </w:rPr>
            </w:pPr>
          </w:p>
        </w:tc>
      </w:tr>
      <w:tr>
        <w:trPr>
          <w:trHeight w:val="210"/>
        </w:trPr>
        <w:tc>
          <w:tcPr>
            <w:tcW w:w="53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Bristol Hospice, LLC</w:t>
            </w:r>
          </w:p>
        </w:tc>
        <w:tc>
          <w:tcPr>
            <w:tcW w:w="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340" w:type="dxa"/>
            <w:vAlign w:val="bottom"/>
          </w:tcPr>
          <w:p>
            <w:pPr>
              <w:spacing w:after="0"/>
              <w:rPr>
                <w:sz w:val="20"/>
                <w:szCs w:val="20"/>
                <w:color w:val="auto"/>
              </w:rPr>
            </w:pPr>
            <w:r>
              <w:rPr>
                <w:rFonts w:ascii="Arial" w:cs="Arial" w:eastAsia="Arial" w:hAnsi="Arial"/>
                <w:sz w:val="18"/>
                <w:szCs w:val="18"/>
                <w:color w:val="auto"/>
              </w:rPr>
              <w:t>HMN Holdco, LLC</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2,400</w:t>
            </w:r>
          </w:p>
        </w:tc>
        <w:tc>
          <w:tcPr>
            <w:tcW w:w="9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2,400</w:t>
            </w:r>
          </w:p>
        </w:tc>
        <w:tc>
          <w:tcPr>
            <w:tcW w:w="100" w:type="dxa"/>
            <w:vAlign w:val="bottom"/>
          </w:tcPr>
          <w:p>
            <w:pPr>
              <w:spacing w:after="0"/>
              <w:rPr>
                <w:sz w:val="18"/>
                <w:szCs w:val="18"/>
                <w:color w:val="auto"/>
              </w:rPr>
            </w:pPr>
          </w:p>
        </w:tc>
      </w:tr>
      <w:tr>
        <w:trPr>
          <w:trHeight w:val="216"/>
        </w:trPr>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Avionte Holdings, LLC</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spacing w:after="0"/>
              <w:rPr>
                <w:sz w:val="18"/>
                <w:szCs w:val="18"/>
                <w:color w:val="auto"/>
              </w:rPr>
            </w:pPr>
          </w:p>
        </w:tc>
      </w:tr>
      <w:tr>
        <w:trPr>
          <w:trHeight w:val="216"/>
        </w:trPr>
        <w:tc>
          <w:tcPr>
            <w:tcW w:w="5340" w:type="dxa"/>
            <w:vAlign w:val="bottom"/>
          </w:tcPr>
          <w:p>
            <w:pPr>
              <w:spacing w:after="0"/>
              <w:rPr>
                <w:sz w:val="20"/>
                <w:szCs w:val="20"/>
                <w:color w:val="auto"/>
              </w:rPr>
            </w:pPr>
            <w:r>
              <w:rPr>
                <w:rFonts w:ascii="Arial" w:cs="Arial" w:eastAsia="Arial" w:hAnsi="Arial"/>
                <w:sz w:val="18"/>
                <w:szCs w:val="18"/>
                <w:color w:val="auto"/>
              </w:rPr>
              <w:t>Advanced Air &amp; Heat of Florida, LLC</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400</w:t>
            </w:r>
          </w:p>
        </w:tc>
        <w:tc>
          <w:tcPr>
            <w:tcW w:w="9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ind w:left="500"/>
              <w:spacing w:after="0"/>
              <w:rPr>
                <w:sz w:val="20"/>
                <w:szCs w:val="20"/>
                <w:color w:val="auto"/>
              </w:rPr>
            </w:pPr>
            <w:r>
              <w:rPr>
                <w:rFonts w:ascii="Arial" w:cs="Arial" w:eastAsia="Arial" w:hAnsi="Arial"/>
                <w:sz w:val="18"/>
                <w:szCs w:val="18"/>
                <w:color w:val="auto"/>
              </w:rPr>
              <w:t>—</w:t>
            </w:r>
          </w:p>
        </w:tc>
      </w:tr>
      <w:tr>
        <w:trPr>
          <w:trHeight w:val="216"/>
        </w:trPr>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Knowland Technology Holdings, L.L.C</w:t>
            </w:r>
          </w:p>
        </w:tc>
        <w:tc>
          <w:tcPr>
            <w:tcW w:w="2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9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100" w:type="dxa"/>
            <w:vAlign w:val="bottom"/>
            <w:shd w:val="clear" w:color="auto" w:fill="CCEEFF"/>
          </w:tcPr>
          <w:p>
            <w:pPr>
              <w:spacing w:after="0"/>
              <w:rPr>
                <w:sz w:val="18"/>
                <w:szCs w:val="18"/>
                <w:color w:val="auto"/>
              </w:rPr>
            </w:pPr>
          </w:p>
        </w:tc>
      </w:tr>
      <w:tr>
        <w:trPr>
          <w:trHeight w:val="223"/>
        </w:trPr>
        <w:tc>
          <w:tcPr>
            <w:tcW w:w="5340" w:type="dxa"/>
            <w:vAlign w:val="bottom"/>
          </w:tcPr>
          <w:p>
            <w:pPr>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3,100</w:t>
            </w:r>
          </w:p>
        </w:tc>
        <w:tc>
          <w:tcPr>
            <w:tcW w:w="920" w:type="dxa"/>
            <w:vAlign w:val="bottom"/>
          </w:tcPr>
          <w:p>
            <w:pPr>
              <w:spacing w:after="0"/>
              <w:rPr>
                <w:sz w:val="19"/>
                <w:szCs w:val="19"/>
                <w:color w:val="auto"/>
              </w:rPr>
            </w:pPr>
          </w:p>
        </w:tc>
        <w:tc>
          <w:tcPr>
            <w:tcW w:w="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11,200</w:t>
            </w:r>
          </w:p>
        </w:tc>
        <w:tc>
          <w:tcPr>
            <w:tcW w:w="100" w:type="dxa"/>
            <w:vAlign w:val="bottom"/>
          </w:tcPr>
          <w:p>
            <w:pPr>
              <w:spacing w:after="0"/>
              <w:rPr>
                <w:sz w:val="19"/>
                <w:szCs w:val="19"/>
                <w:color w:val="auto"/>
              </w:rPr>
            </w:pPr>
          </w:p>
        </w:tc>
      </w:tr>
      <w:tr>
        <w:trPr>
          <w:trHeight w:val="20"/>
        </w:trPr>
        <w:tc>
          <w:tcPr>
            <w:tcW w:w="5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Directors Fees</w:t>
      </w:r>
    </w:p>
    <w:p>
      <w:pPr>
        <w:spacing w:after="0" w:line="12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independent directors receive an annual fee of $40,000. They also receive $2,500 plus reimbursement of reasonable out-of-pocket expenses incurred in connection with attending each board meeting and receive $1,000 plus reimbursement of reasonable out-of-pocket expenses incurred in connection with attending each committee meeting. In addition, the chairman of the Audit Committee receives an annual fee of $5,000 and the chairman of each other committee receives an annual fee of $2,000 for their additional services in these capacities. In addition, we have purchased directors’ and officers’ liability insurance on behalf of our directors and officers. Independent directors have the option to receive their directors’ fees in the form of our common stock issued at a price per share equal to the greater of net asset value or the market price at the time of payment. No compensation is paid to directors who are</w:t>
      </w:r>
    </w:p>
    <w:p>
      <w:pPr>
        <w:spacing w:after="0" w:line="12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40"/>
          </w:cols>
          <w:pgMar w:left="240" w:top="459" w:right="31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“interested persons” of the Company (as such term is defined in the 1940 Act). For the three months ended November 30, 2015 and November 30, 2014, we accrued $0.05 million and $0.05 million for directors’ fees expense, respectively. For the nine months ended November 30, 2015 and November 30, 2014, we accrued $0.2 million and $0.2 million for directors’ fees expense, respectively. As of November 30, 2015 and February 28, 2015, $0.02 million and $0.03 million in directors’ fees expense were unpaid and included in accounts payable and accrued expenses in the consolidated statements of assets and liabilities. As of November 30, 2015, we had not issued any common stock to our directors as compensation for their services.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Stockholders’ Equity</w:t>
      </w:r>
    </w:p>
    <w:p>
      <w:pPr>
        <w:spacing w:after="0" w:line="121" w:lineRule="exact"/>
        <w:rPr>
          <w:sz w:val="20"/>
          <w:szCs w:val="20"/>
          <w:color w:val="auto"/>
        </w:rPr>
      </w:pPr>
    </w:p>
    <w:p>
      <w:pPr>
        <w:ind w:right="820" w:firstLine="456"/>
        <w:spacing w:after="0" w:line="277" w:lineRule="auto"/>
        <w:rPr>
          <w:sz w:val="20"/>
          <w:szCs w:val="20"/>
          <w:color w:val="auto"/>
        </w:rPr>
      </w:pPr>
      <w:r>
        <w:rPr>
          <w:rFonts w:ascii="Arial" w:cs="Arial" w:eastAsia="Arial" w:hAnsi="Arial"/>
          <w:sz w:val="18"/>
          <w:szCs w:val="18"/>
          <w:color w:val="auto"/>
        </w:rPr>
        <w:t>On May 16, 2006, GSC Group, Inc. capitalized the LLC, by contributing $1,000 in exchange for 67 shares, constituting all of the issued and outstanding shares of the LLC.</w:t>
      </w:r>
    </w:p>
    <w:p>
      <w:pPr>
        <w:spacing w:after="0" w:line="170" w:lineRule="exact"/>
        <w:rPr>
          <w:sz w:val="20"/>
          <w:szCs w:val="20"/>
          <w:color w:val="auto"/>
        </w:rPr>
      </w:pPr>
    </w:p>
    <w:p>
      <w:pPr>
        <w:ind w:right="400" w:firstLine="456"/>
        <w:spacing w:after="0" w:line="259" w:lineRule="auto"/>
        <w:rPr>
          <w:sz w:val="20"/>
          <w:szCs w:val="20"/>
          <w:color w:val="auto"/>
        </w:rPr>
      </w:pPr>
      <w:r>
        <w:rPr>
          <w:rFonts w:ascii="Arial" w:cs="Arial" w:eastAsia="Arial" w:hAnsi="Arial"/>
          <w:sz w:val="18"/>
          <w:szCs w:val="18"/>
          <w:color w:val="auto"/>
        </w:rPr>
        <w:t>On March 20, 2007, the Company issued 95,995.5 and 8,136.2 shares of common stock, priced at $150.00 per share, to GSC Group and certain individual employees of GSC Group, respectively, in exchange for the general partnership interest and a limited partnership interest in GSC Partners CDO III GP, LP, collectively valued at $15.6 million. At this time, the 6.7 shares owned by GSC Group in the LLC were exchanged for 6.7 shares of the Company.</w:t>
      </w:r>
    </w:p>
    <w:p>
      <w:pPr>
        <w:spacing w:after="0" w:line="187" w:lineRule="exact"/>
        <w:rPr>
          <w:sz w:val="20"/>
          <w:szCs w:val="20"/>
          <w:color w:val="auto"/>
        </w:rPr>
      </w:pPr>
    </w:p>
    <w:p>
      <w:pPr>
        <w:jc w:val="both"/>
        <w:ind w:right="200" w:firstLine="456"/>
        <w:spacing w:after="0" w:line="264" w:lineRule="auto"/>
        <w:rPr>
          <w:sz w:val="20"/>
          <w:szCs w:val="20"/>
          <w:color w:val="auto"/>
        </w:rPr>
      </w:pPr>
      <w:r>
        <w:rPr>
          <w:rFonts w:ascii="Arial" w:cs="Arial" w:eastAsia="Arial" w:hAnsi="Arial"/>
          <w:sz w:val="18"/>
          <w:szCs w:val="18"/>
          <w:color w:val="auto"/>
        </w:rPr>
        <w:t>On March 28, 2007, the Company completed its IPO of 725,000 shares of common stock, priced at $150.00 per share, before underwriting discounts and commissions. Total proceeds received from the IPO, net of $7.1 million in underwriter’s discount and commissions, and $1.0 million in offering costs, were $100.7 million.</w:t>
      </w:r>
    </w:p>
    <w:p>
      <w:pPr>
        <w:spacing w:after="0" w:line="181"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On November 13, 2009, we declared a dividend of $18.25 per share payable on December 31, 2009. Shareholders had the option to receive payment of the dividend in cash, shares of common stock, or a combination of cash and shares of common stock, provided that the aggregate cash payable to all shareholders was limited to $2.1 million or $2.50 per share. Based on shareholder elections, the dividend consisted of $2.1 million in cash and 864,872.5 of newly issued shares of common stock.</w:t>
      </w:r>
    </w:p>
    <w:p>
      <w:pPr>
        <w:spacing w:after="0" w:line="187"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On July 30, 2010, our Manager and its affiliates purchased 986,842 shares of common stock at $15.20 per share. Total proceeds received from this sale were $15.0 million.</w:t>
      </w:r>
    </w:p>
    <w:p>
      <w:pPr>
        <w:spacing w:after="0" w:line="170" w:lineRule="exact"/>
        <w:rPr>
          <w:sz w:val="20"/>
          <w:szCs w:val="20"/>
          <w:color w:val="auto"/>
        </w:rPr>
      </w:pPr>
    </w:p>
    <w:p>
      <w:pPr>
        <w:jc w:val="both"/>
        <w:ind w:right="320" w:firstLine="456"/>
        <w:spacing w:after="0" w:line="259" w:lineRule="auto"/>
        <w:rPr>
          <w:sz w:val="20"/>
          <w:szCs w:val="20"/>
          <w:color w:val="auto"/>
        </w:rPr>
      </w:pPr>
      <w:r>
        <w:rPr>
          <w:rFonts w:ascii="Arial" w:cs="Arial" w:eastAsia="Arial" w:hAnsi="Arial"/>
          <w:sz w:val="18"/>
          <w:szCs w:val="18"/>
          <w:color w:val="auto"/>
        </w:rPr>
        <w:t>On August 12, 2010, we effected a one-for-ten reverse stock split of our outstanding common stock. As a result of the reverse stock split, every ten shares of our common stock were converted into one share of our common stock. Any fractional shares received as a result of the reverse stock split were redeemed for cash. The total cash payment in lieu of shares was $230. Immediately after the reverse stock split, we had 2,680,842 shares of our common stock outstanding.</w:t>
      </w:r>
    </w:p>
    <w:p>
      <w:pPr>
        <w:spacing w:after="0" w:line="187" w:lineRule="exact"/>
        <w:rPr>
          <w:sz w:val="20"/>
          <w:szCs w:val="20"/>
          <w:color w:val="auto"/>
        </w:rPr>
      </w:pPr>
    </w:p>
    <w:p>
      <w:pPr>
        <w:ind w:right="120" w:firstLine="456"/>
        <w:spacing w:after="0" w:line="288" w:lineRule="auto"/>
        <w:rPr>
          <w:sz w:val="20"/>
          <w:szCs w:val="20"/>
          <w:color w:val="auto"/>
        </w:rPr>
      </w:pPr>
      <w:r>
        <w:rPr>
          <w:rFonts w:ascii="Arial" w:cs="Arial" w:eastAsia="Arial" w:hAnsi="Arial"/>
          <w:sz w:val="16"/>
          <w:szCs w:val="16"/>
          <w:color w:val="auto"/>
        </w:rPr>
        <w:t>On November 12, 2010, we declared a dividend of $4.40 per share payable on December 29, 2010. Shareholders had the option to receive payment of the dividend in cash, shares of common stock, or a combination of cash and shares of common stock, provided that the aggregate cash payable to all shareholders was limited to approximately $1.2 million or $0.44 per share. Based on shareholder elections, the dividend consisted of approximately</w:t>
      </w:r>
    </w:p>
    <w:p>
      <w:pPr>
        <w:spacing w:after="0"/>
        <w:rPr>
          <w:sz w:val="20"/>
          <w:szCs w:val="20"/>
          <w:color w:val="auto"/>
        </w:rPr>
      </w:pPr>
      <w:r>
        <w:rPr>
          <w:rFonts w:ascii="Arial" w:cs="Arial" w:eastAsia="Arial" w:hAnsi="Arial"/>
          <w:sz w:val="18"/>
          <w:szCs w:val="18"/>
          <w:color w:val="auto"/>
        </w:rPr>
        <w:t>$1.2 million in cash and 596,235 shares of common stock.</w:t>
      </w:r>
    </w:p>
    <w:p>
      <w:pPr>
        <w:spacing w:after="0" w:line="211" w:lineRule="exact"/>
        <w:rPr>
          <w:sz w:val="20"/>
          <w:szCs w:val="20"/>
          <w:color w:val="auto"/>
        </w:rPr>
      </w:pPr>
    </w:p>
    <w:p>
      <w:pPr>
        <w:ind w:right="120" w:firstLine="456"/>
        <w:spacing w:after="0" w:line="288" w:lineRule="auto"/>
        <w:rPr>
          <w:sz w:val="20"/>
          <w:szCs w:val="20"/>
          <w:color w:val="auto"/>
        </w:rPr>
      </w:pPr>
      <w:r>
        <w:rPr>
          <w:rFonts w:ascii="Arial" w:cs="Arial" w:eastAsia="Arial" w:hAnsi="Arial"/>
          <w:sz w:val="16"/>
          <w:szCs w:val="16"/>
          <w:color w:val="auto"/>
        </w:rPr>
        <w:t>On November 15, 2011, we declared a dividend of $3.00 per share payable on December 30, 2011. Shareholders had the option to receive payment of the dividend in cash, shares of common stock, or a combination of cash and shares of common stock, provided that the aggregate cash payable to all shareholders was limited to approximately $2.0 million or $0.60 per share. Based on shareholder elections, the dividend consisted of approximately</w:t>
      </w:r>
    </w:p>
    <w:p>
      <w:pPr>
        <w:spacing w:after="0"/>
        <w:rPr>
          <w:sz w:val="20"/>
          <w:szCs w:val="20"/>
          <w:color w:val="auto"/>
        </w:rPr>
      </w:pPr>
      <w:r>
        <w:rPr>
          <w:rFonts w:ascii="Arial" w:cs="Arial" w:eastAsia="Arial" w:hAnsi="Arial"/>
          <w:sz w:val="18"/>
          <w:szCs w:val="18"/>
          <w:color w:val="auto"/>
        </w:rPr>
        <w:t>$2.0 million in cash and 599,584 shares of common stock.</w:t>
      </w:r>
    </w:p>
    <w:p>
      <w:pPr>
        <w:spacing w:after="0" w:line="211"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On November 9, 2012, the Company declared a dividend of $4.25 per share payable on December 31, 2012. Shareholders had the option to receive payment of the dividend in cash, shares of common stock, or a combination of cash and shares of common stock, provided that the aggregate cash payable to all shareholders was limited to approximately $3.3 million or $0.85 per share. Based on shareholder elections, the dividend consisted of approximately $3.3 million in cash and 853,455 shares of common stock.</w:t>
      </w:r>
    </w:p>
    <w:p>
      <w:pPr>
        <w:spacing w:after="0" w:line="187"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On October 30, 2013, the Company declared a dividend of $2.65 per share payable on December 27, 2013. Shareholders had the option to receive payment of the dividend in cash, shares of common stock, or a combination of cash and shares of common stock, provided that the aggregate cash payable to all shareholders was limited to approximately $2.5 million or $0.53 per share. Based on shareholder elections, the dividend consisted of approximately $2.5 million in cash and 649,500 shares of common stock.</w:t>
      </w:r>
    </w:p>
    <w:p>
      <w:pPr>
        <w:spacing w:after="0" w:line="187"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On September 24, 2014, the Company declared a dividend of $0.18 per share payable on November 28, 2014. Shareholders had the option to receive payment of the dividend in cash, or receive shares of common stock pursuant to the Company’s DRIP. Based on shareholder elections, the dividend consisted of approximately $0.6 million in cash and 22,283 newly issued shares of common stock.</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80"/>
          </w:cols>
          <w:pgMar w:left="240" w:top="459" w:right="27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40" w:firstLine="456"/>
        <w:spacing w:after="0" w:line="264" w:lineRule="auto"/>
        <w:rPr>
          <w:sz w:val="20"/>
          <w:szCs w:val="20"/>
          <w:color w:val="auto"/>
        </w:rPr>
      </w:pPr>
      <w:r>
        <w:rPr>
          <w:rFonts w:ascii="Arial" w:cs="Arial" w:eastAsia="Arial" w:hAnsi="Arial"/>
          <w:sz w:val="18"/>
          <w:szCs w:val="18"/>
          <w:color w:val="auto"/>
        </w:rPr>
        <w:t>On September 24, 2014, the Company declared a dividend of $0.22 per share payable on February 27, 2015. Shareholders had the option to receive payment of the dividend in cash, or receive shares of common stock, pursuant our DRIP. Based on shareholder elections, the dividend consisted of approximately $0.8 million in cash and 26,858 newly issued shares of common stock.</w:t>
      </w:r>
    </w:p>
    <w:p>
      <w:pPr>
        <w:spacing w:after="0" w:line="181" w:lineRule="exact"/>
        <w:rPr>
          <w:sz w:val="20"/>
          <w:szCs w:val="20"/>
          <w:color w:val="auto"/>
        </w:rPr>
      </w:pPr>
    </w:p>
    <w:p>
      <w:pPr>
        <w:ind w:right="320" w:firstLine="456"/>
        <w:spacing w:after="0" w:line="297" w:lineRule="auto"/>
        <w:rPr>
          <w:sz w:val="20"/>
          <w:szCs w:val="20"/>
          <w:color w:val="auto"/>
        </w:rPr>
      </w:pPr>
      <w:r>
        <w:rPr>
          <w:rFonts w:ascii="Arial" w:cs="Arial" w:eastAsia="Arial" w:hAnsi="Arial"/>
          <w:sz w:val="16"/>
          <w:szCs w:val="16"/>
          <w:color w:val="auto"/>
        </w:rPr>
        <w:t>On September 24, 2014, the Company announced the approval of an open market share repurchase plan that allows it to repurchase up to 200,000 shares of its common stock at prices below its NAV as reported in its then most recently published financial statements. As of November 30, 2015, the Company purchased 2,500 shares of common stock for approximately $0.04 million pursuant to this repurchase plan. On October 7, 2015, the Company’s board of directors extended the open market share repurchase plan for another year and increased the number of shares the Company is permitted to repurchase at prices below its NAV, as reported in its then most recently published financial statements, to 400,000 shares of its common stock.</w:t>
      </w:r>
    </w:p>
    <w:p>
      <w:pPr>
        <w:spacing w:after="0" w:line="158"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On April 9, 2015, the Company declared a dividend of $0.27 per share payable on May 29, 2015. Shareholders had the option to receive payment of the dividend in cash, or receive shares of common stock, pursuant our DRIP. Based on shareholder elections, the dividend consisted of approximately $0.9 million in cash and 33,766 newly issued shares of common stock.</w:t>
      </w:r>
    </w:p>
    <w:p>
      <w:pPr>
        <w:spacing w:after="0" w:line="181" w:lineRule="exact"/>
        <w:rPr>
          <w:sz w:val="20"/>
          <w:szCs w:val="20"/>
          <w:color w:val="auto"/>
        </w:rPr>
      </w:pPr>
    </w:p>
    <w:p>
      <w:pPr>
        <w:ind w:right="640" w:firstLine="456"/>
        <w:spacing w:after="0" w:line="264" w:lineRule="auto"/>
        <w:rPr>
          <w:sz w:val="20"/>
          <w:szCs w:val="20"/>
          <w:color w:val="auto"/>
        </w:rPr>
      </w:pPr>
      <w:r>
        <w:rPr>
          <w:rFonts w:ascii="Arial" w:cs="Arial" w:eastAsia="Arial" w:hAnsi="Arial"/>
          <w:sz w:val="18"/>
          <w:szCs w:val="18"/>
          <w:color w:val="auto"/>
        </w:rPr>
        <w:t>On May 14, 2015, the Company declared a special dividend of $1.00 per share payable on June 5, 2015. Shareholders had the option to receive payment of the dividend in cash, or receive shares of common stock, pursuant our DRIP. Based on shareholder elections, the dividend consisted of approximately $3.4 million in cash and 126,230 newly issued shares of common stock.</w:t>
      </w:r>
    </w:p>
    <w:p>
      <w:pPr>
        <w:spacing w:after="0" w:line="181" w:lineRule="exact"/>
        <w:rPr>
          <w:sz w:val="20"/>
          <w:szCs w:val="20"/>
          <w:color w:val="auto"/>
        </w:rPr>
      </w:pPr>
    </w:p>
    <w:p>
      <w:pPr>
        <w:ind w:right="220" w:firstLine="456"/>
        <w:spacing w:after="0" w:line="264" w:lineRule="auto"/>
        <w:rPr>
          <w:sz w:val="20"/>
          <w:szCs w:val="20"/>
          <w:color w:val="auto"/>
        </w:rPr>
      </w:pPr>
      <w:r>
        <w:rPr>
          <w:rFonts w:ascii="Arial" w:cs="Arial" w:eastAsia="Arial" w:hAnsi="Arial"/>
          <w:sz w:val="18"/>
          <w:szCs w:val="18"/>
          <w:color w:val="auto"/>
        </w:rPr>
        <w:t>On July 8, 2015 the Company declared a dividend of $0.33 per share payable on August 31, 2015. Shareholders had the option to receive payment of the dividend in cash, or receive shares of common stock, pursuant our DRIP. Based on shareholder elections, the dividend consisted of approximately $1.1 million in cash and 47,861 newly issued shares of common stock.</w:t>
      </w:r>
    </w:p>
    <w:p>
      <w:pPr>
        <w:spacing w:after="0" w:line="181" w:lineRule="exact"/>
        <w:rPr>
          <w:sz w:val="20"/>
          <w:szCs w:val="20"/>
          <w:color w:val="auto"/>
        </w:rPr>
      </w:pPr>
    </w:p>
    <w:p>
      <w:pPr>
        <w:ind w:right="560" w:firstLine="456"/>
        <w:spacing w:after="0" w:line="264" w:lineRule="auto"/>
        <w:rPr>
          <w:sz w:val="20"/>
          <w:szCs w:val="20"/>
          <w:color w:val="auto"/>
        </w:rPr>
      </w:pPr>
      <w:r>
        <w:rPr>
          <w:rFonts w:ascii="Arial" w:cs="Arial" w:eastAsia="Arial" w:hAnsi="Arial"/>
          <w:sz w:val="18"/>
          <w:szCs w:val="18"/>
          <w:color w:val="auto"/>
        </w:rPr>
        <w:t>On October 7, 2015 the Company declared a dividend of $0.36 per share payable on November 30, 2015. Shareholders had the option to receive payment of the dividend in cash, or receive shares of common stock, pursuant our DRIP. Based on shareholder elections, the dividend consisted of approximately $1.1 million in cash and 61,029 newly issued shares of common stock.</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Earnings Per Share</w:t>
      </w:r>
    </w:p>
    <w:p>
      <w:pPr>
        <w:spacing w:after="0" w:line="121"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In accordance with the provisions of FASB ASC 260, “Earnings per Share” (“ASC 260”), basic earnings per share is computed by dividing earnings available to common shareholders by the weighted average number of shares outstanding during the period. Other potentially dilutive common shares, and the related impact to earnings, are considered when calculating earnings per share on a diluted basis.</w:t>
      </w:r>
    </w:p>
    <w:p>
      <w:pPr>
        <w:spacing w:after="0" w:line="181" w:lineRule="exact"/>
        <w:rPr>
          <w:sz w:val="20"/>
          <w:szCs w:val="20"/>
          <w:color w:val="auto"/>
        </w:rPr>
      </w:pPr>
    </w:p>
    <w:p>
      <w:pPr>
        <w:ind w:right="100" w:firstLine="456"/>
        <w:spacing w:after="0" w:line="342" w:lineRule="auto"/>
        <w:rPr>
          <w:sz w:val="20"/>
          <w:szCs w:val="20"/>
          <w:color w:val="auto"/>
        </w:rPr>
      </w:pPr>
      <w:r>
        <w:rPr>
          <w:rFonts w:ascii="Arial" w:cs="Arial" w:eastAsia="Arial" w:hAnsi="Arial"/>
          <w:sz w:val="16"/>
          <w:szCs w:val="16"/>
          <w:color w:val="auto"/>
        </w:rPr>
        <w:t>The following information sets forth the computation of the weighted average basic and diluted net decrease in net assets per share from operations for the three and nine months ended November 30, 2015 and November 30, 2014 (dollars in thousands except share and per share amounts):</w:t>
      </w:r>
    </w:p>
    <w:p>
      <w:pPr>
        <w:spacing w:after="0" w:line="143"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106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80" w:type="dxa"/>
            <w:vAlign w:val="bottom"/>
            <w:gridSpan w:val="4"/>
          </w:tcPr>
          <w:p>
            <w:pPr>
              <w:jc w:val="right"/>
              <w:ind w:right="214"/>
              <w:spacing w:after="0"/>
              <w:rPr>
                <w:sz w:val="20"/>
                <w:szCs w:val="20"/>
                <w:color w:val="auto"/>
              </w:rPr>
            </w:pPr>
            <w:r>
              <w:rPr>
                <w:rFonts w:ascii="Arial" w:cs="Arial" w:eastAsia="Arial" w:hAnsi="Arial"/>
                <w:sz w:val="14"/>
                <w:szCs w:val="14"/>
                <w:b w:val="1"/>
                <w:bCs w:val="1"/>
                <w:color w:val="auto"/>
              </w:rPr>
              <w:t>For the three months ended</w:t>
            </w: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80" w:type="dxa"/>
            <w:vAlign w:val="bottom"/>
            <w:gridSpan w:val="5"/>
          </w:tcPr>
          <w:p>
            <w:pPr>
              <w:ind w:left="200"/>
              <w:spacing w:after="0"/>
              <w:rPr>
                <w:sz w:val="20"/>
                <w:szCs w:val="20"/>
                <w:color w:val="auto"/>
              </w:rPr>
            </w:pPr>
            <w:r>
              <w:rPr>
                <w:rFonts w:ascii="Arial" w:cs="Arial" w:eastAsia="Arial" w:hAnsi="Arial"/>
                <w:sz w:val="14"/>
                <w:szCs w:val="14"/>
                <w:b w:val="1"/>
                <w:bCs w:val="1"/>
                <w:color w:val="auto"/>
              </w:rPr>
              <w:t>For the nine months ended</w:t>
            </w:r>
          </w:p>
        </w:tc>
        <w:tc>
          <w:tcPr>
            <w:tcW w:w="0" w:type="dxa"/>
            <w:vAlign w:val="bottom"/>
          </w:tcPr>
          <w:p>
            <w:pPr>
              <w:spacing w:after="0"/>
              <w:rPr>
                <w:sz w:val="1"/>
                <w:szCs w:val="1"/>
                <w:color w:val="auto"/>
              </w:rPr>
            </w:pPr>
          </w:p>
        </w:tc>
      </w:tr>
      <w:tr>
        <w:trPr>
          <w:trHeight w:val="119"/>
        </w:trPr>
        <w:tc>
          <w:tcPr>
            <w:tcW w:w="30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Basic and diluted</w:t>
            </w:r>
          </w:p>
        </w:tc>
        <w:tc>
          <w:tcPr>
            <w:tcW w:w="340" w:type="dxa"/>
            <w:vAlign w:val="bottom"/>
          </w:tcPr>
          <w:p>
            <w:pPr>
              <w:spacing w:after="0"/>
              <w:rPr>
                <w:sz w:val="10"/>
                <w:szCs w:val="10"/>
                <w:color w:val="auto"/>
              </w:rPr>
            </w:pPr>
          </w:p>
        </w:tc>
        <w:tc>
          <w:tcPr>
            <w:tcW w:w="86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w w:val="98"/>
              </w:rPr>
              <w:t>November 30,</w:t>
            </w:r>
          </w:p>
        </w:tc>
        <w:tc>
          <w:tcPr>
            <w:tcW w:w="1440" w:type="dxa"/>
            <w:vAlign w:val="bottom"/>
            <w:tcBorders>
              <w:top w:val="single" w:sz="8" w:color="auto"/>
            </w:tcBorders>
            <w:gridSpan w:val="3"/>
          </w:tcPr>
          <w:p>
            <w:pPr>
              <w:ind w:left="580"/>
              <w:spacing w:after="0" w:line="119" w:lineRule="exact"/>
              <w:rPr>
                <w:sz w:val="20"/>
                <w:szCs w:val="20"/>
                <w:color w:val="auto"/>
              </w:rPr>
            </w:pPr>
            <w:r>
              <w:rPr>
                <w:rFonts w:ascii="Arial" w:cs="Arial" w:eastAsia="Arial" w:hAnsi="Arial"/>
                <w:sz w:val="13"/>
                <w:szCs w:val="13"/>
                <w:b w:val="1"/>
                <w:bCs w:val="1"/>
                <w:color w:val="auto"/>
                <w:w w:val="98"/>
              </w:rPr>
              <w:t>November 30,</w:t>
            </w:r>
          </w:p>
        </w:tc>
        <w:tc>
          <w:tcPr>
            <w:tcW w:w="560" w:type="dxa"/>
            <w:vAlign w:val="bottom"/>
          </w:tcPr>
          <w:p>
            <w:pPr>
              <w:spacing w:after="0"/>
              <w:rPr>
                <w:sz w:val="10"/>
                <w:szCs w:val="10"/>
                <w:color w:val="auto"/>
              </w:rPr>
            </w:pPr>
          </w:p>
        </w:tc>
        <w:tc>
          <w:tcPr>
            <w:tcW w:w="86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w w:val="98"/>
              </w:rPr>
              <w:t>November 30,</w:t>
            </w:r>
          </w:p>
        </w:tc>
        <w:tc>
          <w:tcPr>
            <w:tcW w:w="1440" w:type="dxa"/>
            <w:vAlign w:val="bottom"/>
            <w:tcBorders>
              <w:top w:val="single" w:sz="8" w:color="auto"/>
            </w:tcBorders>
            <w:gridSpan w:val="3"/>
          </w:tcPr>
          <w:p>
            <w:pPr>
              <w:ind w:left="580"/>
              <w:spacing w:after="0" w:line="119" w:lineRule="exact"/>
              <w:rPr>
                <w:sz w:val="20"/>
                <w:szCs w:val="20"/>
                <w:color w:val="auto"/>
              </w:rPr>
            </w:pPr>
            <w:r>
              <w:rPr>
                <w:rFonts w:ascii="Arial" w:cs="Arial" w:eastAsia="Arial" w:hAnsi="Arial"/>
                <w:sz w:val="13"/>
                <w:szCs w:val="13"/>
                <w:b w:val="1"/>
                <w:bCs w:val="1"/>
                <w:color w:val="auto"/>
                <w:w w:val="98"/>
              </w:rPr>
              <w:t>November 30,</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080" w:type="dxa"/>
            <w:vAlign w:val="bottom"/>
            <w:gridSpan w:val="2"/>
            <w:vMerge w:val="continue"/>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right"/>
              <w:ind w:right="197"/>
              <w:spacing w:after="0"/>
              <w:rPr>
                <w:sz w:val="20"/>
                <w:szCs w:val="20"/>
                <w:color w:val="auto"/>
              </w:rPr>
            </w:pPr>
            <w:r>
              <w:rPr>
                <w:rFonts w:ascii="Arial" w:cs="Arial" w:eastAsia="Arial" w:hAnsi="Arial"/>
                <w:sz w:val="14"/>
                <w:szCs w:val="14"/>
                <w:b w:val="1"/>
                <w:bCs w:val="1"/>
                <w:color w:val="auto"/>
              </w:rPr>
              <w:t>2015</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ind w:right="214"/>
              <w:spacing w:after="0"/>
              <w:rPr>
                <w:sz w:val="20"/>
                <w:szCs w:val="20"/>
                <w:color w:val="auto"/>
              </w:rPr>
            </w:pPr>
            <w:r>
              <w:rPr>
                <w:rFonts w:ascii="Arial" w:cs="Arial" w:eastAsia="Arial" w:hAnsi="Arial"/>
                <w:sz w:val="14"/>
                <w:szCs w:val="14"/>
                <w:b w:val="1"/>
                <w:bCs w:val="1"/>
                <w:color w:val="auto"/>
              </w:rPr>
              <w:t>2014</w:t>
            </w: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right"/>
              <w:ind w:right="197"/>
              <w:spacing w:after="0"/>
              <w:rPr>
                <w:sz w:val="20"/>
                <w:szCs w:val="20"/>
                <w:color w:val="auto"/>
              </w:rPr>
            </w:pPr>
            <w:r>
              <w:rPr>
                <w:rFonts w:ascii="Arial" w:cs="Arial" w:eastAsia="Arial" w:hAnsi="Arial"/>
                <w:sz w:val="14"/>
                <w:szCs w:val="14"/>
                <w:b w:val="1"/>
                <w:bCs w:val="1"/>
                <w:color w:val="auto"/>
              </w:rPr>
              <w:t>2015</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ind w:right="214"/>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1060" w:type="dxa"/>
            <w:vAlign w:val="bottom"/>
            <w:tcBorders>
              <w:top w:val="single" w:sz="8" w:color="auto"/>
            </w:tcBorders>
            <w:shd w:val="clear" w:color="auto" w:fill="CCEEFF"/>
          </w:tcPr>
          <w:p>
            <w:pPr>
              <w:spacing w:after="0" w:line="182" w:lineRule="exact"/>
              <w:rPr>
                <w:sz w:val="20"/>
                <w:szCs w:val="20"/>
                <w:color w:val="auto"/>
              </w:rPr>
            </w:pPr>
            <w:r>
              <w:rPr>
                <w:rFonts w:ascii="Arial" w:cs="Arial" w:eastAsia="Arial" w:hAnsi="Arial"/>
                <w:sz w:val="18"/>
                <w:szCs w:val="18"/>
                <w:color w:val="auto"/>
                <w:w w:val="86"/>
              </w:rPr>
              <w:t>Net increase in</w:t>
            </w:r>
          </w:p>
        </w:tc>
        <w:tc>
          <w:tcPr>
            <w:tcW w:w="2020" w:type="dxa"/>
            <w:vAlign w:val="bottom"/>
            <w:tcBorders>
              <w:top w:val="single" w:sz="8" w:color="CCEEFF"/>
            </w:tcBorders>
            <w:shd w:val="clear" w:color="auto" w:fill="CCEEFF"/>
          </w:tcPr>
          <w:p>
            <w:pPr>
              <w:ind w:left="60"/>
              <w:spacing w:after="0" w:line="182" w:lineRule="exact"/>
              <w:rPr>
                <w:sz w:val="20"/>
                <w:szCs w:val="20"/>
                <w:color w:val="auto"/>
              </w:rPr>
            </w:pPr>
            <w:r>
              <w:rPr>
                <w:rFonts w:ascii="Arial" w:cs="Arial" w:eastAsia="Arial" w:hAnsi="Arial"/>
                <w:sz w:val="18"/>
                <w:szCs w:val="18"/>
                <w:color w:val="auto"/>
              </w:rPr>
              <w:t>net assets from</w:t>
            </w:r>
          </w:p>
        </w:tc>
        <w:tc>
          <w:tcPr>
            <w:tcW w:w="3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5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0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operations</w:t>
            </w:r>
          </w:p>
        </w:tc>
        <w:tc>
          <w:tcPr>
            <w:tcW w:w="4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3,421</w:t>
            </w:r>
          </w:p>
        </w:tc>
        <w:tc>
          <w:tcPr>
            <w:tcW w:w="68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3,385</w:t>
            </w:r>
          </w:p>
        </w:tc>
        <w:tc>
          <w:tcPr>
            <w:tcW w:w="68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12,049</w:t>
            </w:r>
          </w:p>
        </w:tc>
        <w:tc>
          <w:tcPr>
            <w:tcW w:w="68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8,302</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080" w:type="dxa"/>
            <w:vAlign w:val="bottom"/>
            <w:gridSpan w:val="2"/>
          </w:tcPr>
          <w:p>
            <w:pPr>
              <w:spacing w:after="0" w:line="201" w:lineRule="exact"/>
              <w:rPr>
                <w:sz w:val="20"/>
                <w:szCs w:val="20"/>
                <w:color w:val="auto"/>
              </w:rPr>
            </w:pPr>
            <w:r>
              <w:rPr>
                <w:rFonts w:ascii="Arial" w:cs="Arial" w:eastAsia="Arial" w:hAnsi="Arial"/>
                <w:sz w:val="18"/>
                <w:szCs w:val="18"/>
                <w:color w:val="auto"/>
              </w:rPr>
              <w:t>Weighted average common shares</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080" w:type="dxa"/>
            <w:vAlign w:val="bottom"/>
            <w:gridSpan w:val="2"/>
          </w:tcPr>
          <w:p>
            <w:pPr>
              <w:ind w:left="180"/>
              <w:spacing w:after="0"/>
              <w:rPr>
                <w:sz w:val="20"/>
                <w:szCs w:val="20"/>
                <w:color w:val="auto"/>
              </w:rPr>
            </w:pPr>
            <w:r>
              <w:rPr>
                <w:rFonts w:ascii="Arial" w:cs="Arial" w:eastAsia="Arial" w:hAnsi="Arial"/>
                <w:sz w:val="18"/>
                <w:szCs w:val="18"/>
                <w:color w:val="auto"/>
              </w:rPr>
              <w:t>outstanding</w:t>
            </w: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9"/>
              </w:rPr>
              <w:t>5,632,011</w:t>
            </w: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5,379,616</w:t>
            </w: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9"/>
              </w:rPr>
              <w:t>5,533,094</w:t>
            </w: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5,379,616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0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8"/>
              </w:rPr>
              <w:t>Earnings per common share-basic and</w:t>
            </w: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0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4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0.61</w:t>
            </w:r>
          </w:p>
        </w:tc>
        <w:tc>
          <w:tcPr>
            <w:tcW w:w="68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0.63</w:t>
            </w:r>
          </w:p>
        </w:tc>
        <w:tc>
          <w:tcPr>
            <w:tcW w:w="68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68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Dividend</w:t>
      </w:r>
    </w:p>
    <w:p>
      <w:pPr>
        <w:spacing w:after="0" w:line="121" w:lineRule="exact"/>
        <w:rPr>
          <w:sz w:val="20"/>
          <w:szCs w:val="20"/>
          <w:color w:val="auto"/>
        </w:rPr>
      </w:pPr>
    </w:p>
    <w:p>
      <w:pPr>
        <w:ind w:right="560" w:firstLine="456"/>
        <w:spacing w:after="0" w:line="264" w:lineRule="auto"/>
        <w:rPr>
          <w:sz w:val="20"/>
          <w:szCs w:val="20"/>
          <w:color w:val="auto"/>
        </w:rPr>
      </w:pPr>
      <w:r>
        <w:rPr>
          <w:rFonts w:ascii="Arial" w:cs="Arial" w:eastAsia="Arial" w:hAnsi="Arial"/>
          <w:sz w:val="18"/>
          <w:szCs w:val="18"/>
          <w:color w:val="auto"/>
        </w:rPr>
        <w:t>On October 7, 2015 the Company declared a dividend of $0.36 per share payable on November 30, 2015. Shareholders had the option to receive payment of the dividend in cash, or receive shares of common stock, pursuant our DRIP. Based on shareholder elections, the dividend consisted of approximately $1.1 million in cash and 61,029 newly issued shares of common stock.</w:t>
      </w:r>
    </w:p>
    <w:p>
      <w:pPr>
        <w:spacing w:after="0" w:line="181" w:lineRule="exact"/>
        <w:rPr>
          <w:sz w:val="20"/>
          <w:szCs w:val="20"/>
          <w:color w:val="auto"/>
        </w:rPr>
      </w:pPr>
    </w:p>
    <w:p>
      <w:pPr>
        <w:ind w:right="220" w:firstLine="456"/>
        <w:spacing w:after="0" w:line="264" w:lineRule="auto"/>
        <w:rPr>
          <w:sz w:val="20"/>
          <w:szCs w:val="20"/>
          <w:color w:val="auto"/>
        </w:rPr>
      </w:pPr>
      <w:r>
        <w:rPr>
          <w:rFonts w:ascii="Arial" w:cs="Arial" w:eastAsia="Arial" w:hAnsi="Arial"/>
          <w:sz w:val="18"/>
          <w:szCs w:val="18"/>
          <w:color w:val="auto"/>
        </w:rPr>
        <w:t>On July 8, 2015 the Company declared a dividend of $0.33 per share payable on August 31, 2015. Shareholders had the option to receive payment of the dividend in cash, or receive shares of common stock, pursuant our DRIP. Based on shareholder elections, the dividend consisted of approximately $1.1 million in cash and 47,861 newly issued shares of common stock.</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20" w:firstLine="456"/>
        <w:spacing w:after="0" w:line="264" w:lineRule="auto"/>
        <w:rPr>
          <w:sz w:val="20"/>
          <w:szCs w:val="20"/>
          <w:color w:val="auto"/>
        </w:rPr>
      </w:pPr>
      <w:r>
        <w:rPr>
          <w:rFonts w:ascii="Arial" w:cs="Arial" w:eastAsia="Arial" w:hAnsi="Arial"/>
          <w:sz w:val="18"/>
          <w:szCs w:val="18"/>
          <w:color w:val="auto"/>
        </w:rPr>
        <w:t>On May 14, 2015, the Company declared a special dividend of $1.00 per share payable on June 5, 2015. Shareholders had the option to receive payment of the dividend in cash, or receive shares of common stock, pursuant our DRIP. Based on shareholder elections, the dividend consisted of approximately $3.4 million in cash and 126,230 newly issued shares of common stock.</w:t>
      </w:r>
    </w:p>
    <w:p>
      <w:pPr>
        <w:spacing w:after="0" w:line="181"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On April 9, 2015, the Company declared a dividend of $0.27 per share payable on May 29, 2015. Shareholders had the option to receive payment of the dividend in cash, or receive shares of common stock, pursuant our DRIP. Based on shareholder elections, the dividend consisted of approximately $0.9 million in cash and 33,766 newly issued shares of common stock.</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tables summarize dividends declared during the nine months ended November 30, 2015 (dollars in thousands except per share amounts):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60" w:type="dxa"/>
            <w:vAlign w:val="bottom"/>
            <w:gridSpan w:val="4"/>
            <w:vMerge w:val="restart"/>
          </w:tcPr>
          <w:p>
            <w:pPr>
              <w:ind w:left="460"/>
              <w:spacing w:after="0"/>
              <w:rPr>
                <w:sz w:val="20"/>
                <w:szCs w:val="20"/>
                <w:color w:val="auto"/>
              </w:rPr>
            </w:pPr>
            <w:r>
              <w:rPr>
                <w:rFonts w:ascii="Arial" w:cs="Arial" w:eastAsia="Arial" w:hAnsi="Arial"/>
                <w:sz w:val="14"/>
                <w:szCs w:val="14"/>
                <w:b w:val="1"/>
                <w:bCs w:val="1"/>
                <w:color w:val="auto"/>
              </w:rPr>
              <w:t>Date Declared</w:t>
            </w:r>
          </w:p>
        </w:tc>
        <w:tc>
          <w:tcPr>
            <w:tcW w:w="1880" w:type="dxa"/>
            <w:vAlign w:val="bottom"/>
            <w:gridSpan w:val="2"/>
            <w:vMerge w:val="restart"/>
          </w:tcPr>
          <w:p>
            <w:pPr>
              <w:jc w:val="right"/>
              <w:ind w:right="800"/>
              <w:spacing w:after="0"/>
              <w:rPr>
                <w:sz w:val="20"/>
                <w:szCs w:val="20"/>
                <w:color w:val="auto"/>
              </w:rPr>
            </w:pPr>
            <w:r>
              <w:rPr>
                <w:rFonts w:ascii="Arial" w:cs="Arial" w:eastAsia="Arial" w:hAnsi="Arial"/>
                <w:sz w:val="14"/>
                <w:szCs w:val="14"/>
                <w:b w:val="1"/>
                <w:bCs w:val="1"/>
                <w:color w:val="auto"/>
              </w:rPr>
              <w:t>Record Date</w:t>
            </w:r>
          </w:p>
        </w:tc>
        <w:tc>
          <w:tcPr>
            <w:tcW w:w="1980" w:type="dxa"/>
            <w:vAlign w:val="bottom"/>
            <w:gridSpan w:val="2"/>
            <w:vMerge w:val="restart"/>
          </w:tcPr>
          <w:p>
            <w:pPr>
              <w:ind w:left="320"/>
              <w:spacing w:after="0"/>
              <w:rPr>
                <w:sz w:val="20"/>
                <w:szCs w:val="20"/>
                <w:color w:val="auto"/>
              </w:rPr>
            </w:pPr>
            <w:r>
              <w:rPr>
                <w:rFonts w:ascii="Arial" w:cs="Arial" w:eastAsia="Arial" w:hAnsi="Arial"/>
                <w:sz w:val="14"/>
                <w:szCs w:val="14"/>
                <w:b w:val="1"/>
                <w:bCs w:val="1"/>
                <w:color w:val="auto"/>
              </w:rPr>
              <w:t>Payment Date</w:t>
            </w:r>
          </w:p>
        </w:tc>
        <w:tc>
          <w:tcPr>
            <w:tcW w:w="80" w:type="dxa"/>
            <w:vAlign w:val="bottom"/>
          </w:tcPr>
          <w:p>
            <w:pPr>
              <w:spacing w:after="0"/>
              <w:rPr>
                <w:sz w:val="14"/>
                <w:szCs w:val="14"/>
                <w:color w:val="auto"/>
              </w:rPr>
            </w:pPr>
          </w:p>
        </w:tc>
        <w:tc>
          <w:tcPr>
            <w:tcW w:w="840" w:type="dxa"/>
            <w:vAlign w:val="bottom"/>
            <w:gridSpan w:val="2"/>
          </w:tcPr>
          <w:p>
            <w:pPr>
              <w:spacing w:after="0"/>
              <w:rPr>
                <w:sz w:val="20"/>
                <w:szCs w:val="20"/>
                <w:color w:val="auto"/>
              </w:rPr>
            </w:pPr>
            <w:r>
              <w:rPr>
                <w:rFonts w:ascii="Arial" w:cs="Arial" w:eastAsia="Arial" w:hAnsi="Arial"/>
                <w:sz w:val="14"/>
                <w:szCs w:val="14"/>
                <w:b w:val="1"/>
                <w:bCs w:val="1"/>
                <w:color w:val="auto"/>
              </w:rPr>
              <w:t>Amount</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5260" w:type="dxa"/>
            <w:vAlign w:val="bottom"/>
            <w:gridSpan w:val="4"/>
            <w:vMerge w:val="continue"/>
          </w:tcPr>
          <w:p>
            <w:pPr>
              <w:spacing w:after="0"/>
              <w:rPr>
                <w:sz w:val="14"/>
                <w:szCs w:val="14"/>
                <w:color w:val="auto"/>
              </w:rPr>
            </w:pPr>
          </w:p>
        </w:tc>
        <w:tc>
          <w:tcPr>
            <w:tcW w:w="1880" w:type="dxa"/>
            <w:vAlign w:val="bottom"/>
            <w:gridSpan w:val="2"/>
            <w:vMerge w:val="continue"/>
          </w:tcPr>
          <w:p>
            <w:pPr>
              <w:spacing w:after="0"/>
              <w:rPr>
                <w:sz w:val="14"/>
                <w:szCs w:val="14"/>
                <w:color w:val="auto"/>
              </w:rPr>
            </w:pPr>
          </w:p>
        </w:tc>
        <w:tc>
          <w:tcPr>
            <w:tcW w:w="1980" w:type="dxa"/>
            <w:vAlign w:val="bottom"/>
            <w:gridSpan w:val="2"/>
            <w:vMerge w:val="continue"/>
          </w:tcPr>
          <w:p>
            <w:pPr>
              <w:spacing w:after="0"/>
              <w:rPr>
                <w:sz w:val="14"/>
                <w:szCs w:val="14"/>
                <w:color w:val="auto"/>
              </w:rPr>
            </w:pP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rPr>
              <w:t>Per Share*</w:t>
            </w:r>
          </w:p>
        </w:tc>
        <w:tc>
          <w:tcPr>
            <w:tcW w:w="240" w:type="dxa"/>
            <w:vAlign w:val="bottom"/>
          </w:tcPr>
          <w:p>
            <w:pPr>
              <w:spacing w:after="0"/>
              <w:rPr>
                <w:sz w:val="14"/>
                <w:szCs w:val="14"/>
                <w:color w:val="auto"/>
              </w:rPr>
            </w:pPr>
          </w:p>
        </w:tc>
        <w:tc>
          <w:tcPr>
            <w:tcW w:w="68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w w:val="98"/>
              </w:rPr>
              <w:t>Amount</w:t>
            </w: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88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October 7,</w:t>
            </w:r>
          </w:p>
        </w:tc>
        <w:tc>
          <w:tcPr>
            <w:tcW w:w="3920" w:type="dxa"/>
            <w:vAlign w:val="bottom"/>
            <w:tcBorders>
              <w:top w:val="single" w:sz="8" w:color="CCEEFF"/>
            </w:tcBorders>
            <w:shd w:val="clear" w:color="auto" w:fill="CCEEFF"/>
          </w:tcPr>
          <w:p>
            <w:pPr>
              <w:jc w:val="right"/>
              <w:ind w:right="3535"/>
              <w:spacing w:after="0"/>
              <w:rPr>
                <w:sz w:val="20"/>
                <w:szCs w:val="20"/>
                <w:color w:val="auto"/>
              </w:rPr>
            </w:pPr>
            <w:r>
              <w:rPr>
                <w:rFonts w:ascii="Arial" w:cs="Arial" w:eastAsia="Arial" w:hAnsi="Arial"/>
                <w:sz w:val="17"/>
                <w:szCs w:val="17"/>
                <w:color w:val="auto"/>
                <w:w w:val="73"/>
              </w:rPr>
              <w:t>2015</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November 2, 2015</w:t>
            </w:r>
          </w:p>
        </w:tc>
        <w:tc>
          <w:tcPr>
            <w:tcW w:w="480" w:type="dxa"/>
            <w:vAlign w:val="bottom"/>
            <w:tcBorders>
              <w:top w:val="single" w:sz="8" w:color="CCEEFF"/>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November 30, 2015</w:t>
            </w:r>
          </w:p>
        </w:tc>
        <w:tc>
          <w:tcPr>
            <w:tcW w:w="4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0.36</w:t>
            </w: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800" w:type="dxa"/>
            <w:vAlign w:val="bottom"/>
            <w:gridSpan w:val="3"/>
          </w:tcPr>
          <w:p>
            <w:pPr>
              <w:spacing w:after="0"/>
              <w:rPr>
                <w:sz w:val="20"/>
                <w:szCs w:val="20"/>
                <w:color w:val="auto"/>
              </w:rPr>
            </w:pPr>
            <w:r>
              <w:rPr>
                <w:rFonts w:ascii="Arial" w:cs="Arial" w:eastAsia="Arial" w:hAnsi="Arial"/>
                <w:sz w:val="18"/>
                <w:szCs w:val="18"/>
                <w:color w:val="auto"/>
              </w:rPr>
              <w:t>July 8, 2015</w:t>
            </w:r>
          </w:p>
        </w:tc>
        <w:tc>
          <w:tcPr>
            <w:tcW w:w="1880" w:type="dxa"/>
            <w:vAlign w:val="bottom"/>
            <w:gridSpan w:val="2"/>
          </w:tcPr>
          <w:p>
            <w:pPr>
              <w:jc w:val="right"/>
              <w:ind w:right="480"/>
              <w:spacing w:after="0"/>
              <w:rPr>
                <w:sz w:val="20"/>
                <w:szCs w:val="20"/>
                <w:color w:val="auto"/>
              </w:rPr>
            </w:pPr>
            <w:r>
              <w:rPr>
                <w:rFonts w:ascii="Arial" w:cs="Arial" w:eastAsia="Arial" w:hAnsi="Arial"/>
                <w:sz w:val="18"/>
                <w:szCs w:val="18"/>
                <w:color w:val="auto"/>
              </w:rPr>
              <w:t>August 3, 2015</w:t>
            </w:r>
          </w:p>
        </w:tc>
        <w:tc>
          <w:tcPr>
            <w:tcW w:w="1980" w:type="dxa"/>
            <w:vAlign w:val="bottom"/>
            <w:gridSpan w:val="2"/>
          </w:tcPr>
          <w:p>
            <w:pPr>
              <w:jc w:val="right"/>
              <w:ind w:right="480"/>
              <w:spacing w:after="0"/>
              <w:rPr>
                <w:sz w:val="20"/>
                <w:szCs w:val="20"/>
                <w:color w:val="auto"/>
              </w:rPr>
            </w:pPr>
            <w:r>
              <w:rPr>
                <w:rFonts w:ascii="Arial" w:cs="Arial" w:eastAsia="Arial" w:hAnsi="Arial"/>
                <w:sz w:val="18"/>
                <w:szCs w:val="18"/>
                <w:color w:val="auto"/>
              </w:rPr>
              <w:t>August 31, 2015</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0.33</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1,844</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8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May 14, 2015</w:t>
            </w:r>
          </w:p>
        </w:tc>
        <w:tc>
          <w:tcPr>
            <w:tcW w:w="18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May 26, 2015</w:t>
            </w:r>
          </w:p>
        </w:tc>
        <w:tc>
          <w:tcPr>
            <w:tcW w:w="19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June 5, 2015</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1.00</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5,429</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800" w:type="dxa"/>
            <w:vAlign w:val="bottom"/>
            <w:gridSpan w:val="3"/>
          </w:tcPr>
          <w:p>
            <w:pPr>
              <w:spacing w:after="0"/>
              <w:rPr>
                <w:sz w:val="20"/>
                <w:szCs w:val="20"/>
                <w:color w:val="auto"/>
              </w:rPr>
            </w:pPr>
            <w:r>
              <w:rPr>
                <w:rFonts w:ascii="Arial" w:cs="Arial" w:eastAsia="Arial" w:hAnsi="Arial"/>
                <w:sz w:val="18"/>
                <w:szCs w:val="18"/>
                <w:color w:val="auto"/>
              </w:rPr>
              <w:t>April 9, 2015</w:t>
            </w:r>
          </w:p>
        </w:tc>
        <w:tc>
          <w:tcPr>
            <w:tcW w:w="1880" w:type="dxa"/>
            <w:vAlign w:val="bottom"/>
            <w:gridSpan w:val="2"/>
          </w:tcPr>
          <w:p>
            <w:pPr>
              <w:jc w:val="right"/>
              <w:ind w:right="480"/>
              <w:spacing w:after="0"/>
              <w:rPr>
                <w:sz w:val="20"/>
                <w:szCs w:val="20"/>
                <w:color w:val="auto"/>
              </w:rPr>
            </w:pPr>
            <w:r>
              <w:rPr>
                <w:rFonts w:ascii="Arial" w:cs="Arial" w:eastAsia="Arial" w:hAnsi="Arial"/>
                <w:sz w:val="18"/>
                <w:szCs w:val="18"/>
                <w:color w:val="auto"/>
              </w:rPr>
              <w:t>May 4, 2015</w:t>
            </w:r>
          </w:p>
        </w:tc>
        <w:tc>
          <w:tcPr>
            <w:tcW w:w="1980" w:type="dxa"/>
            <w:vAlign w:val="bottom"/>
            <w:gridSpan w:val="2"/>
          </w:tcPr>
          <w:p>
            <w:pPr>
              <w:jc w:val="right"/>
              <w:ind w:right="480"/>
              <w:spacing w:after="0"/>
              <w:rPr>
                <w:sz w:val="20"/>
                <w:szCs w:val="20"/>
                <w:color w:val="auto"/>
              </w:rPr>
            </w:pPr>
            <w:r>
              <w:rPr>
                <w:rFonts w:ascii="Arial" w:cs="Arial" w:eastAsia="Arial" w:hAnsi="Arial"/>
                <w:sz w:val="18"/>
                <w:szCs w:val="18"/>
                <w:color w:val="auto"/>
              </w:rPr>
              <w:t>May 29, 2015</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27</w:t>
            </w:r>
          </w:p>
        </w:tc>
        <w:tc>
          <w:tcPr>
            <w:tcW w:w="24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1,466</w:t>
            </w:r>
          </w:p>
        </w:tc>
        <w:tc>
          <w:tcPr>
            <w:tcW w:w="0" w:type="dxa"/>
            <w:vAlign w:val="bottom"/>
          </w:tcPr>
          <w:p>
            <w:pPr>
              <w:spacing w:after="0"/>
              <w:rPr>
                <w:sz w:val="1"/>
                <w:szCs w:val="1"/>
                <w:color w:val="auto"/>
              </w:rPr>
            </w:pPr>
          </w:p>
        </w:tc>
      </w:tr>
      <w:tr>
        <w:trPr>
          <w:trHeight w:val="27"/>
        </w:trPr>
        <w:tc>
          <w:tcPr>
            <w:tcW w:w="4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39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tcPr>
          <w:p>
            <w:pPr>
              <w:spacing w:after="0"/>
              <w:rPr>
                <w:sz w:val="18"/>
                <w:szCs w:val="18"/>
                <w:color w:val="auto"/>
              </w:rPr>
            </w:pPr>
          </w:p>
        </w:tc>
        <w:tc>
          <w:tcPr>
            <w:tcW w:w="480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Total dividends declared</w:t>
            </w:r>
          </w:p>
        </w:tc>
        <w:tc>
          <w:tcPr>
            <w:tcW w:w="14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r>
              <w:rPr>
                <w:rFonts w:ascii="Arial" w:cs="Arial" w:eastAsia="Arial" w:hAnsi="Arial"/>
                <w:sz w:val="18"/>
                <w:szCs w:val="18"/>
                <w:u w:val="single" w:color="auto"/>
                <w:color w:val="auto"/>
              </w:rPr>
              <w:t>96</w:t>
            </w:r>
          </w:p>
        </w:tc>
        <w:tc>
          <w:tcPr>
            <w:tcW w:w="2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10,767</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392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  Amount per share is calculated based on the number of shares outstanding at the date of declaration.</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tables summarize dividends declared during the nine months ended November 30, 2014 (dollars in thousands except per share amounts):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vMerge w:val="restart"/>
          </w:tcPr>
          <w:p>
            <w:pPr>
              <w:spacing w:after="0"/>
              <w:rPr>
                <w:sz w:val="14"/>
                <w:szCs w:val="14"/>
                <w:color w:val="auto"/>
              </w:rPr>
            </w:pPr>
          </w:p>
        </w:tc>
        <w:tc>
          <w:tcPr>
            <w:tcW w:w="88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2"/>
              </w:rPr>
              <w:t>Date Declared</w:t>
            </w:r>
          </w:p>
        </w:tc>
        <w:tc>
          <w:tcPr>
            <w:tcW w:w="4000" w:type="dxa"/>
            <w:vAlign w:val="bottom"/>
            <w:vMerge w:val="restart"/>
          </w:tcPr>
          <w:p>
            <w:pPr>
              <w:spacing w:after="0"/>
              <w:rPr>
                <w:sz w:val="14"/>
                <w:szCs w:val="14"/>
                <w:color w:val="auto"/>
              </w:rPr>
            </w:pPr>
          </w:p>
        </w:tc>
        <w:tc>
          <w:tcPr>
            <w:tcW w:w="1880" w:type="dxa"/>
            <w:vAlign w:val="bottom"/>
            <w:gridSpan w:val="3"/>
            <w:vMerge w:val="restart"/>
          </w:tcPr>
          <w:p>
            <w:pPr>
              <w:ind w:left="320"/>
              <w:spacing w:after="0"/>
              <w:rPr>
                <w:sz w:val="20"/>
                <w:szCs w:val="20"/>
                <w:color w:val="auto"/>
              </w:rPr>
            </w:pPr>
            <w:r>
              <w:rPr>
                <w:rFonts w:ascii="Arial" w:cs="Arial" w:eastAsia="Arial" w:hAnsi="Arial"/>
                <w:sz w:val="14"/>
                <w:szCs w:val="14"/>
                <w:b w:val="1"/>
                <w:bCs w:val="1"/>
                <w:color w:val="auto"/>
              </w:rPr>
              <w:t>Record Date</w:t>
            </w:r>
          </w:p>
        </w:tc>
        <w:tc>
          <w:tcPr>
            <w:tcW w:w="1980" w:type="dxa"/>
            <w:vAlign w:val="bottom"/>
            <w:gridSpan w:val="3"/>
            <w:vMerge w:val="restart"/>
          </w:tcPr>
          <w:p>
            <w:pPr>
              <w:ind w:left="320"/>
              <w:spacing w:after="0"/>
              <w:rPr>
                <w:sz w:val="20"/>
                <w:szCs w:val="20"/>
                <w:color w:val="auto"/>
              </w:rPr>
            </w:pPr>
            <w:r>
              <w:rPr>
                <w:rFonts w:ascii="Arial" w:cs="Arial" w:eastAsia="Arial" w:hAnsi="Arial"/>
                <w:sz w:val="14"/>
                <w:szCs w:val="14"/>
                <w:b w:val="1"/>
                <w:bCs w:val="1"/>
                <w:color w:val="auto"/>
              </w:rPr>
              <w:t>Payment Date</w:t>
            </w:r>
          </w:p>
        </w:tc>
        <w:tc>
          <w:tcPr>
            <w:tcW w:w="80" w:type="dxa"/>
            <w:vAlign w:val="bottom"/>
          </w:tcPr>
          <w:p>
            <w:pPr>
              <w:spacing w:after="0"/>
              <w:rPr>
                <w:sz w:val="14"/>
                <w:szCs w:val="14"/>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0"/>
              </w:rPr>
              <w:t>Amount</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78"/>
        </w:trPr>
        <w:tc>
          <w:tcPr>
            <w:tcW w:w="460" w:type="dxa"/>
            <w:vAlign w:val="bottom"/>
            <w:vMerge w:val="continue"/>
          </w:tcPr>
          <w:p>
            <w:pPr>
              <w:spacing w:after="0"/>
              <w:rPr>
                <w:sz w:val="15"/>
                <w:szCs w:val="15"/>
                <w:color w:val="auto"/>
              </w:rPr>
            </w:pPr>
          </w:p>
        </w:tc>
        <w:tc>
          <w:tcPr>
            <w:tcW w:w="880" w:type="dxa"/>
            <w:vAlign w:val="bottom"/>
            <w:tcBorders>
              <w:bottom w:val="single" w:sz="8" w:color="auto"/>
            </w:tcBorders>
            <w:gridSpan w:val="2"/>
            <w:vMerge w:val="continue"/>
          </w:tcPr>
          <w:p>
            <w:pPr>
              <w:spacing w:after="0"/>
              <w:rPr>
                <w:sz w:val="15"/>
                <w:szCs w:val="15"/>
                <w:color w:val="auto"/>
              </w:rPr>
            </w:pPr>
          </w:p>
        </w:tc>
        <w:tc>
          <w:tcPr>
            <w:tcW w:w="4000" w:type="dxa"/>
            <w:vAlign w:val="bottom"/>
            <w:vMerge w:val="continue"/>
          </w:tcPr>
          <w:p>
            <w:pPr>
              <w:spacing w:after="0"/>
              <w:rPr>
                <w:sz w:val="15"/>
                <w:szCs w:val="15"/>
                <w:color w:val="auto"/>
              </w:rPr>
            </w:pPr>
          </w:p>
        </w:tc>
        <w:tc>
          <w:tcPr>
            <w:tcW w:w="1880" w:type="dxa"/>
            <w:vAlign w:val="bottom"/>
            <w:gridSpan w:val="3"/>
            <w:vMerge w:val="continue"/>
          </w:tcPr>
          <w:p>
            <w:pPr>
              <w:spacing w:after="0"/>
              <w:rPr>
                <w:sz w:val="15"/>
                <w:szCs w:val="15"/>
                <w:color w:val="auto"/>
              </w:rPr>
            </w:pPr>
          </w:p>
        </w:tc>
        <w:tc>
          <w:tcPr>
            <w:tcW w:w="1980" w:type="dxa"/>
            <w:vAlign w:val="bottom"/>
            <w:gridSpan w:val="3"/>
            <w:vMerge w:val="continue"/>
          </w:tcPr>
          <w:p>
            <w:pPr>
              <w:spacing w:after="0"/>
              <w:rPr>
                <w:sz w:val="15"/>
                <w:szCs w:val="15"/>
                <w:color w:val="auto"/>
              </w:rPr>
            </w:pPr>
          </w:p>
        </w:tc>
        <w:tc>
          <w:tcPr>
            <w:tcW w:w="920" w:type="dxa"/>
            <w:vAlign w:val="bottom"/>
            <w:gridSpan w:val="3"/>
          </w:tcPr>
          <w:p>
            <w:pPr>
              <w:spacing w:after="0" w:line="158" w:lineRule="exact"/>
              <w:rPr>
                <w:sz w:val="20"/>
                <w:szCs w:val="20"/>
                <w:color w:val="auto"/>
              </w:rPr>
            </w:pPr>
            <w:r>
              <w:rPr>
                <w:rFonts w:ascii="Arial" w:cs="Arial" w:eastAsia="Arial" w:hAnsi="Arial"/>
                <w:sz w:val="14"/>
                <w:szCs w:val="14"/>
                <w:b w:val="1"/>
                <w:bCs w:val="1"/>
                <w:color w:val="auto"/>
              </w:rPr>
              <w:t>Per Share*</w:t>
            </w:r>
          </w:p>
        </w:tc>
        <w:tc>
          <w:tcPr>
            <w:tcW w:w="240" w:type="dxa"/>
            <w:vAlign w:val="bottom"/>
          </w:tcPr>
          <w:p>
            <w:pPr>
              <w:spacing w:after="0"/>
              <w:rPr>
                <w:sz w:val="15"/>
                <w:szCs w:val="15"/>
                <w:color w:val="auto"/>
              </w:rPr>
            </w:pPr>
          </w:p>
        </w:tc>
        <w:tc>
          <w:tcPr>
            <w:tcW w:w="600" w:type="dxa"/>
            <w:vAlign w:val="bottom"/>
            <w:gridSpan w:val="3"/>
          </w:tcPr>
          <w:p>
            <w:pPr>
              <w:spacing w:after="0" w:line="158" w:lineRule="exact"/>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203"/>
        </w:trPr>
        <w:tc>
          <w:tcPr>
            <w:tcW w:w="460" w:type="dxa"/>
            <w:vAlign w:val="bottom"/>
          </w:tcPr>
          <w:p>
            <w:pPr>
              <w:spacing w:after="0"/>
              <w:rPr>
                <w:sz w:val="17"/>
                <w:szCs w:val="17"/>
                <w:color w:val="auto"/>
              </w:rPr>
            </w:pPr>
          </w:p>
        </w:tc>
        <w:tc>
          <w:tcPr>
            <w:tcW w:w="4880" w:type="dxa"/>
            <w:vAlign w:val="bottom"/>
            <w:tcBorders>
              <w:top w:val="single" w:sz="8" w:color="CCEEFF"/>
            </w:tcBorders>
            <w:gridSpan w:val="3"/>
            <w:shd w:val="clear" w:color="auto" w:fill="CCEEFF"/>
          </w:tcPr>
          <w:p>
            <w:pPr>
              <w:spacing w:after="0" w:line="203" w:lineRule="exact"/>
              <w:rPr>
                <w:sz w:val="20"/>
                <w:szCs w:val="20"/>
                <w:color w:val="auto"/>
              </w:rPr>
            </w:pPr>
            <w:r>
              <w:rPr>
                <w:rFonts w:ascii="Arial" w:cs="Arial" w:eastAsia="Arial" w:hAnsi="Arial"/>
                <w:sz w:val="18"/>
                <w:szCs w:val="18"/>
                <w:color w:val="auto"/>
              </w:rPr>
              <w:t>September 24, 2014</w:t>
            </w:r>
          </w:p>
        </w:tc>
        <w:tc>
          <w:tcPr>
            <w:tcW w:w="10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5"/>
              </w:rPr>
              <w:t>February 22,</w:t>
            </w:r>
          </w:p>
        </w:tc>
        <w:tc>
          <w:tcPr>
            <w:tcW w:w="380" w:type="dxa"/>
            <w:vAlign w:val="bottom"/>
            <w:tcBorders>
              <w:top w:val="single" w:sz="8" w:color="auto"/>
            </w:tcBorders>
            <w:shd w:val="clear" w:color="auto" w:fill="CCEEFF"/>
          </w:tcPr>
          <w:p>
            <w:pPr>
              <w:ind w:left="20"/>
              <w:spacing w:after="0" w:line="203" w:lineRule="exact"/>
              <w:rPr>
                <w:sz w:val="20"/>
                <w:szCs w:val="20"/>
                <w:color w:val="auto"/>
              </w:rPr>
            </w:pPr>
            <w:r>
              <w:rPr>
                <w:rFonts w:ascii="Arial" w:cs="Arial" w:eastAsia="Arial" w:hAnsi="Arial"/>
                <w:sz w:val="18"/>
                <w:szCs w:val="18"/>
                <w:color w:val="auto"/>
                <w:w w:val="84"/>
              </w:rPr>
              <w:t>2015</w:t>
            </w:r>
          </w:p>
        </w:tc>
        <w:tc>
          <w:tcPr>
            <w:tcW w:w="48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February 27,</w:t>
            </w:r>
          </w:p>
        </w:tc>
        <w:tc>
          <w:tcPr>
            <w:tcW w:w="3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9"/>
              </w:rPr>
              <w:t>2015</w:t>
            </w:r>
          </w:p>
        </w:tc>
        <w:tc>
          <w:tcPr>
            <w:tcW w:w="4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0.22</w:t>
            </w:r>
          </w:p>
        </w:tc>
        <w:tc>
          <w:tcPr>
            <w:tcW w:w="2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8"/>
              </w:rPr>
              <w:t>1,188</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880" w:type="dxa"/>
            <w:vAlign w:val="bottom"/>
            <w:gridSpan w:val="3"/>
          </w:tcPr>
          <w:p>
            <w:pPr>
              <w:spacing w:after="0"/>
              <w:rPr>
                <w:sz w:val="20"/>
                <w:szCs w:val="20"/>
                <w:color w:val="auto"/>
              </w:rPr>
            </w:pPr>
            <w:r>
              <w:rPr>
                <w:rFonts w:ascii="Arial" w:cs="Arial" w:eastAsia="Arial" w:hAnsi="Arial"/>
                <w:sz w:val="18"/>
                <w:szCs w:val="18"/>
                <w:color w:val="auto"/>
              </w:rPr>
              <w:t>September 24, 2014</w:t>
            </w:r>
          </w:p>
        </w:tc>
        <w:tc>
          <w:tcPr>
            <w:tcW w:w="1020" w:type="dxa"/>
            <w:vAlign w:val="bottom"/>
          </w:tcPr>
          <w:p>
            <w:pPr>
              <w:jc w:val="right"/>
              <w:spacing w:after="0"/>
              <w:rPr>
                <w:sz w:val="20"/>
                <w:szCs w:val="20"/>
                <w:color w:val="auto"/>
              </w:rPr>
            </w:pPr>
            <w:r>
              <w:rPr>
                <w:rFonts w:ascii="Arial" w:cs="Arial" w:eastAsia="Arial" w:hAnsi="Arial"/>
                <w:sz w:val="18"/>
                <w:szCs w:val="18"/>
                <w:color w:val="auto"/>
                <w:w w:val="95"/>
              </w:rPr>
              <w:t>November 3,</w:t>
            </w:r>
          </w:p>
        </w:tc>
        <w:tc>
          <w:tcPr>
            <w:tcW w:w="860" w:type="dxa"/>
            <w:vAlign w:val="bottom"/>
            <w:gridSpan w:val="2"/>
          </w:tcPr>
          <w:p>
            <w:pPr>
              <w:ind w:left="20"/>
              <w:spacing w:after="0"/>
              <w:rPr>
                <w:sz w:val="20"/>
                <w:szCs w:val="20"/>
                <w:color w:val="auto"/>
              </w:rPr>
            </w:pPr>
            <w:r>
              <w:rPr>
                <w:rFonts w:ascii="Arial" w:cs="Arial" w:eastAsia="Arial" w:hAnsi="Arial"/>
                <w:sz w:val="18"/>
                <w:szCs w:val="18"/>
                <w:color w:val="auto"/>
              </w:rPr>
              <w:t>2014</w:t>
            </w:r>
          </w:p>
        </w:tc>
        <w:tc>
          <w:tcPr>
            <w:tcW w:w="1120" w:type="dxa"/>
            <w:vAlign w:val="bottom"/>
          </w:tcPr>
          <w:p>
            <w:pPr>
              <w:jc w:val="right"/>
              <w:spacing w:after="0"/>
              <w:rPr>
                <w:sz w:val="20"/>
                <w:szCs w:val="20"/>
                <w:color w:val="auto"/>
              </w:rPr>
            </w:pPr>
            <w:r>
              <w:rPr>
                <w:rFonts w:ascii="Arial" w:cs="Arial" w:eastAsia="Arial" w:hAnsi="Arial"/>
                <w:sz w:val="18"/>
                <w:szCs w:val="18"/>
                <w:color w:val="auto"/>
                <w:w w:val="95"/>
              </w:rPr>
              <w:t>November 28,</w:t>
            </w:r>
          </w:p>
        </w:tc>
        <w:tc>
          <w:tcPr>
            <w:tcW w:w="860" w:type="dxa"/>
            <w:vAlign w:val="bottom"/>
            <w:gridSpan w:val="2"/>
          </w:tcPr>
          <w:p>
            <w:pPr>
              <w:jc w:val="right"/>
              <w:ind w:right="480"/>
              <w:spacing w:after="0"/>
              <w:rPr>
                <w:sz w:val="20"/>
                <w:szCs w:val="20"/>
                <w:color w:val="auto"/>
              </w:rPr>
            </w:pPr>
            <w:r>
              <w:rPr>
                <w:rFonts w:ascii="Arial" w:cs="Arial" w:eastAsia="Arial" w:hAnsi="Arial"/>
                <w:sz w:val="18"/>
                <w:szCs w:val="18"/>
                <w:color w:val="auto"/>
                <w:w w:val="89"/>
              </w:rPr>
              <w:t>2014</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18</w:t>
            </w:r>
          </w:p>
        </w:tc>
        <w:tc>
          <w:tcPr>
            <w:tcW w:w="320" w:type="dxa"/>
            <w:vAlign w:val="bottom"/>
            <w:gridSpan w:val="2"/>
          </w:tcPr>
          <w:p>
            <w:pPr>
              <w:ind w:left="240"/>
              <w:spacing w:after="0"/>
              <w:rPr>
                <w:sz w:val="20"/>
                <w:szCs w:val="20"/>
                <w:color w:val="auto"/>
              </w:rPr>
            </w:pPr>
            <w:r>
              <w:rPr>
                <w:rFonts w:ascii="Arial" w:cs="Arial" w:eastAsia="Arial" w:hAnsi="Arial"/>
                <w:sz w:val="15"/>
                <w:szCs w:val="15"/>
                <w:color w:val="auto"/>
                <w:w w:val="71"/>
              </w:rPr>
              <w:t>$</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968</w:t>
            </w:r>
          </w:p>
        </w:tc>
        <w:tc>
          <w:tcPr>
            <w:tcW w:w="0" w:type="dxa"/>
            <w:vAlign w:val="bottom"/>
          </w:tcPr>
          <w:p>
            <w:pPr>
              <w:spacing w:after="0"/>
              <w:rPr>
                <w:sz w:val="1"/>
                <w:szCs w:val="1"/>
                <w:color w:val="auto"/>
              </w:rPr>
            </w:pPr>
          </w:p>
        </w:tc>
      </w:tr>
      <w:tr>
        <w:trPr>
          <w:trHeight w:val="27"/>
        </w:trPr>
        <w:tc>
          <w:tcPr>
            <w:tcW w:w="4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tcPr>
          <w:p>
            <w:pPr>
              <w:spacing w:after="0"/>
              <w:rPr>
                <w:sz w:val="18"/>
                <w:szCs w:val="18"/>
                <w:color w:val="auto"/>
              </w:rPr>
            </w:pPr>
          </w:p>
        </w:tc>
        <w:tc>
          <w:tcPr>
            <w:tcW w:w="488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Total dividends declared</w:t>
            </w:r>
          </w:p>
        </w:tc>
        <w:tc>
          <w:tcPr>
            <w:tcW w:w="10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40</w:t>
            </w:r>
          </w:p>
        </w:tc>
        <w:tc>
          <w:tcPr>
            <w:tcW w:w="320" w:type="dxa"/>
            <w:vAlign w:val="bottom"/>
            <w:gridSpan w:val="2"/>
            <w:shd w:val="clear" w:color="auto" w:fill="CCEEFF"/>
          </w:tcPr>
          <w:p>
            <w:pPr>
              <w:ind w:left="240"/>
              <w:spacing w:after="0"/>
              <w:rPr>
                <w:sz w:val="20"/>
                <w:szCs w:val="20"/>
                <w:color w:val="auto"/>
              </w:rPr>
            </w:pPr>
            <w:r>
              <w:rPr>
                <w:rFonts w:ascii="Arial" w:cs="Arial" w:eastAsia="Arial" w:hAnsi="Arial"/>
                <w:sz w:val="15"/>
                <w:szCs w:val="15"/>
                <w:u w:val="single" w:color="auto"/>
                <w:color w:val="auto"/>
                <w:w w:val="71"/>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2,156</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40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  Amount per share is calculated based on the number of shares outstanding at the date of declaration.</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Financial Highlights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is a schedule of financial highlights for the nine months ended November 30, 2015 and November 30, 2014:</w:t>
      </w:r>
    </w:p>
    <w:p>
      <w:pPr>
        <w:spacing w:after="0" w:line="244"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300" w:type="dxa"/>
            <w:vAlign w:val="bottom"/>
            <w:gridSpan w:val="6"/>
          </w:tcPr>
          <w:p>
            <w:pPr>
              <w:jc w:val="right"/>
              <w:ind w:right="1060"/>
              <w:spacing w:after="0"/>
              <w:rPr>
                <w:sz w:val="20"/>
                <w:szCs w:val="20"/>
                <w:color w:val="auto"/>
              </w:rPr>
            </w:pPr>
            <w:r>
              <w:rPr>
                <w:rFonts w:ascii="Arial" w:cs="Arial" w:eastAsia="Arial" w:hAnsi="Arial"/>
                <w:sz w:val="14"/>
                <w:szCs w:val="14"/>
                <w:b w:val="1"/>
                <w:bCs w:val="1"/>
                <w:color w:val="auto"/>
              </w:rPr>
              <w:t>For the nine months ended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00" w:type="dxa"/>
            <w:vAlign w:val="bottom"/>
            <w:tcBorders>
              <w:bottom w:val="single" w:sz="8" w:color="CCEEFF"/>
            </w:tcBorders>
          </w:tcPr>
          <w:p>
            <w:pPr>
              <w:spacing w:after="0"/>
              <w:rPr>
                <w:sz w:val="12"/>
                <w:szCs w:val="12"/>
                <w:color w:val="auto"/>
              </w:rPr>
            </w:pPr>
          </w:p>
        </w:tc>
        <w:tc>
          <w:tcPr>
            <w:tcW w:w="380" w:type="dxa"/>
            <w:vAlign w:val="bottom"/>
            <w:tcBorders>
              <w:bottom w:val="single" w:sz="8" w:color="CCEEFF"/>
            </w:tcBorders>
          </w:tcPr>
          <w:p>
            <w:pPr>
              <w:spacing w:after="0"/>
              <w:rPr>
                <w:sz w:val="12"/>
                <w:szCs w:val="12"/>
                <w:color w:val="auto"/>
              </w:rPr>
            </w:pPr>
          </w:p>
        </w:tc>
        <w:tc>
          <w:tcPr>
            <w:tcW w:w="1680" w:type="dxa"/>
            <w:vAlign w:val="bottom"/>
            <w:tcBorders>
              <w:top w:val="single" w:sz="8" w:color="auto"/>
              <w:bottom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rPr>
              <w:t>November 30, 2015</w:t>
            </w:r>
          </w:p>
        </w:tc>
        <w:tc>
          <w:tcPr>
            <w:tcW w:w="1540" w:type="dxa"/>
            <w:vAlign w:val="bottom"/>
            <w:tcBorders>
              <w:top w:val="single" w:sz="8" w:color="auto"/>
              <w:bottom w:val="single" w:sz="8" w:color="auto"/>
            </w:tcBorders>
            <w:gridSpan w:val="3"/>
          </w:tcPr>
          <w:p>
            <w:pPr>
              <w:ind w:left="360"/>
              <w:spacing w:after="0" w:line="142" w:lineRule="exact"/>
              <w:rPr>
                <w:sz w:val="20"/>
                <w:szCs w:val="20"/>
                <w:color w:val="auto"/>
              </w:rPr>
            </w:pPr>
            <w:r>
              <w:rPr>
                <w:rFonts w:ascii="Arial" w:cs="Arial" w:eastAsia="Arial" w:hAnsi="Arial"/>
                <w:sz w:val="14"/>
                <w:szCs w:val="14"/>
                <w:b w:val="1"/>
                <w:bCs w:val="1"/>
                <w:color w:val="auto"/>
                <w:w w:val="91"/>
              </w:rPr>
              <w:t>November 30, 2014</w:t>
            </w:r>
          </w:p>
        </w:tc>
        <w:tc>
          <w:tcPr>
            <w:tcW w:w="2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8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Per share data:</w:t>
            </w:r>
          </w:p>
        </w:tc>
        <w:tc>
          <w:tcPr>
            <w:tcW w:w="3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Net asset value at beginning of period</w:t>
            </w:r>
          </w:p>
        </w:tc>
        <w:tc>
          <w:tcPr>
            <w:tcW w:w="56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22.70</w:t>
            </w:r>
          </w:p>
        </w:tc>
        <w:tc>
          <w:tcPr>
            <w:tcW w:w="480" w:type="dxa"/>
            <w:vAlign w:val="bottom"/>
          </w:tcPr>
          <w:p>
            <w:pPr>
              <w:spacing w:after="0"/>
              <w:rPr>
                <w:sz w:val="18"/>
                <w:szCs w:val="18"/>
                <w:color w:val="auto"/>
              </w:rPr>
            </w:pPr>
          </w:p>
        </w:tc>
        <w:tc>
          <w:tcPr>
            <w:tcW w:w="54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21.08</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Net investment income (1)</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4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00" w:type="dxa"/>
            <w:vAlign w:val="bottom"/>
          </w:tcPr>
          <w:p>
            <w:pPr>
              <w:spacing w:after="0"/>
              <w:rPr>
                <w:sz w:val="20"/>
                <w:szCs w:val="20"/>
                <w:color w:val="auto"/>
              </w:rPr>
            </w:pPr>
            <w:r>
              <w:rPr>
                <w:rFonts w:ascii="Arial" w:cs="Arial" w:eastAsia="Arial" w:hAnsi="Arial"/>
                <w:sz w:val="18"/>
                <w:szCs w:val="18"/>
                <w:color w:val="auto"/>
                <w:w w:val="98"/>
              </w:rPr>
              <w:t>Net realized and unrealized gains and losses on investments</w:t>
            </w:r>
          </w:p>
        </w:tc>
        <w:tc>
          <w:tcPr>
            <w:tcW w:w="3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0.81</w:t>
            </w:r>
          </w:p>
        </w:tc>
        <w:tc>
          <w:tcPr>
            <w:tcW w:w="4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0.28</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Net increase in net assets from operations</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4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Distributions from net investment income</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gridSpan w:val="2"/>
          </w:tcPr>
          <w:p>
            <w:pPr>
              <w:jc w:val="right"/>
              <w:ind w:right="440"/>
              <w:spacing w:after="0"/>
              <w:rPr>
                <w:sz w:val="20"/>
                <w:szCs w:val="20"/>
                <w:color w:val="auto"/>
              </w:rPr>
            </w:pPr>
            <w:r>
              <w:rPr>
                <w:rFonts w:ascii="Arial" w:cs="Arial" w:eastAsia="Arial" w:hAnsi="Arial"/>
                <w:sz w:val="18"/>
                <w:szCs w:val="18"/>
                <w:color w:val="auto"/>
              </w:rPr>
              <w:t>(1.96)</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(0.18)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Total distributions to stockholders</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(1.96)</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Dilution (4)</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gridSpan w:val="2"/>
          </w:tcPr>
          <w:p>
            <w:pPr>
              <w:jc w:val="right"/>
              <w:ind w:right="440"/>
              <w:spacing w:after="0"/>
              <w:rPr>
                <w:sz w:val="20"/>
                <w:szCs w:val="20"/>
                <w:color w:val="auto"/>
              </w:rPr>
            </w:pPr>
            <w:r>
              <w:rPr>
                <w:rFonts w:ascii="Arial" w:cs="Arial" w:eastAsia="Arial" w:hAnsi="Arial"/>
                <w:sz w:val="18"/>
                <w:szCs w:val="18"/>
                <w:color w:val="auto"/>
              </w:rPr>
              <w:t>(0.33)</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0.01</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Net asset value at end of period</w:t>
            </w:r>
          </w:p>
        </w:tc>
        <w:tc>
          <w:tcPr>
            <w:tcW w:w="5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22.59</w:t>
            </w:r>
          </w:p>
        </w:tc>
        <w:tc>
          <w:tcPr>
            <w:tcW w:w="4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22.45</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Net assets at end of period</w:t>
            </w:r>
          </w:p>
        </w:tc>
        <w:tc>
          <w:tcPr>
            <w:tcW w:w="56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w w:val="97"/>
              </w:rPr>
              <w:t>127,273,366</w:t>
            </w:r>
          </w:p>
        </w:tc>
        <w:tc>
          <w:tcPr>
            <w:tcW w:w="480" w:type="dxa"/>
            <w:vAlign w:val="bottom"/>
          </w:tcPr>
          <w:p>
            <w:pPr>
              <w:spacing w:after="0"/>
              <w:rPr>
                <w:sz w:val="18"/>
                <w:szCs w:val="18"/>
                <w:color w:val="auto"/>
              </w:rPr>
            </w:pPr>
          </w:p>
        </w:tc>
        <w:tc>
          <w:tcPr>
            <w:tcW w:w="54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w w:val="97"/>
              </w:rPr>
              <w:t>120,762,115</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Shares outstanding at end of period</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5,634,115</w:t>
            </w:r>
          </w:p>
        </w:tc>
        <w:tc>
          <w:tcPr>
            <w:tcW w:w="4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5,379,616</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Per share market value at end of period</w:t>
            </w:r>
          </w:p>
        </w:tc>
        <w:tc>
          <w:tcPr>
            <w:tcW w:w="56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15.63</w:t>
            </w:r>
          </w:p>
        </w:tc>
        <w:tc>
          <w:tcPr>
            <w:tcW w:w="480" w:type="dxa"/>
            <w:vAlign w:val="bottom"/>
          </w:tcPr>
          <w:p>
            <w:pPr>
              <w:spacing w:after="0"/>
              <w:rPr>
                <w:sz w:val="18"/>
                <w:szCs w:val="18"/>
                <w:color w:val="auto"/>
              </w:rPr>
            </w:pPr>
          </w:p>
        </w:tc>
        <w:tc>
          <w:tcPr>
            <w:tcW w:w="54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15.18</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Total return based on market value (2)</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11.29%</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Total return based on net asset value (3)</w:t>
            </w:r>
          </w:p>
        </w:tc>
        <w:tc>
          <w:tcPr>
            <w:tcW w:w="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gridSpan w:val="2"/>
          </w:tcPr>
          <w:p>
            <w:pPr>
              <w:jc w:val="right"/>
              <w:ind w:right="340"/>
              <w:spacing w:after="0"/>
              <w:rPr>
                <w:sz w:val="20"/>
                <w:szCs w:val="20"/>
                <w:color w:val="auto"/>
              </w:rPr>
            </w:pPr>
            <w:r>
              <w:rPr>
                <w:rFonts w:ascii="Arial" w:cs="Arial" w:eastAsia="Arial" w:hAnsi="Arial"/>
                <w:sz w:val="18"/>
                <w:szCs w:val="18"/>
                <w:color w:val="auto"/>
              </w:rPr>
              <w:t>11.67%</w:t>
            </w: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7.40%</w:t>
            </w:r>
          </w:p>
        </w:tc>
        <w:tc>
          <w:tcPr>
            <w:tcW w:w="0" w:type="dxa"/>
            <w:vAlign w:val="bottom"/>
          </w:tcPr>
          <w:p>
            <w:pPr>
              <w:spacing w:after="0"/>
              <w:rPr>
                <w:sz w:val="1"/>
                <w:szCs w:val="1"/>
                <w:color w:val="auto"/>
              </w:rPr>
            </w:pPr>
          </w:p>
        </w:tc>
      </w:tr>
      <w:tr>
        <w:trPr>
          <w:trHeight w:val="350"/>
        </w:trPr>
        <w:tc>
          <w:tcPr>
            <w:tcW w:w="4820" w:type="dxa"/>
            <w:vAlign w:val="bottom"/>
            <w:gridSpan w:val="2"/>
          </w:tcPr>
          <w:p>
            <w:pPr>
              <w:jc w:val="right"/>
              <w:ind w:right="310"/>
              <w:spacing w:after="0"/>
              <w:rPr>
                <w:sz w:val="20"/>
                <w:szCs w:val="20"/>
                <w:color w:val="auto"/>
              </w:rPr>
            </w:pPr>
            <w:r>
              <w:rPr>
                <w:rFonts w:ascii="Arial" w:cs="Arial" w:eastAsia="Arial" w:hAnsi="Arial"/>
                <w:sz w:val="18"/>
                <w:szCs w:val="18"/>
                <w:color w:val="auto"/>
              </w:rPr>
              <w:t>34</w:t>
            </w: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9" w:right="2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4" w:lineRule="exact"/>
        <w:rPr>
          <w:sz w:val="20"/>
          <w:szCs w:val="20"/>
          <w:color w:val="auto"/>
        </w:rPr>
      </w:pPr>
    </w:p>
    <w:tbl>
      <w:tblPr>
        <w:tblLayout w:type="fixed"/>
        <w:tblInd w:w="1380" w:type="dxa"/>
        <w:tblCellMar>
          <w:top w:w="0" w:type="dxa"/>
          <w:left w:w="0" w:type="dxa"/>
          <w:bottom w:w="0" w:type="dxa"/>
          <w:right w:w="0" w:type="dxa"/>
        </w:tblCellMar>
      </w:tblPr>
      <w:tr>
        <w:trPr>
          <w:trHeight w:val="216"/>
        </w:trPr>
        <w:tc>
          <w:tcPr>
            <w:tcW w:w="5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Ratio/Supplemental data:</w:t>
            </w:r>
          </w:p>
        </w:tc>
        <w:tc>
          <w:tcPr>
            <w:tcW w:w="2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16"/>
        </w:trPr>
        <w:tc>
          <w:tcPr>
            <w:tcW w:w="5720" w:type="dxa"/>
            <w:vAlign w:val="bottom"/>
          </w:tcPr>
          <w:p>
            <w:pPr>
              <w:spacing w:after="0"/>
              <w:rPr>
                <w:sz w:val="20"/>
                <w:szCs w:val="20"/>
                <w:color w:val="auto"/>
              </w:rPr>
            </w:pPr>
            <w:r>
              <w:rPr>
                <w:rFonts w:ascii="Arial" w:cs="Arial" w:eastAsia="Arial" w:hAnsi="Arial"/>
                <w:sz w:val="18"/>
                <w:szCs w:val="18"/>
                <w:color w:val="auto"/>
              </w:rPr>
              <w:t>Ratio of net investment income to average net assets</w:t>
            </w:r>
          </w:p>
        </w:tc>
        <w:tc>
          <w:tcPr>
            <w:tcW w:w="2140" w:type="dxa"/>
            <w:vAlign w:val="bottom"/>
          </w:tcPr>
          <w:p>
            <w:pPr>
              <w:jc w:val="right"/>
              <w:ind w:right="130"/>
              <w:spacing w:after="0"/>
              <w:rPr>
                <w:sz w:val="20"/>
                <w:szCs w:val="20"/>
                <w:color w:val="auto"/>
              </w:rPr>
            </w:pPr>
            <w:r>
              <w:rPr>
                <w:rFonts w:ascii="Arial" w:cs="Arial" w:eastAsia="Arial" w:hAnsi="Arial"/>
                <w:sz w:val="18"/>
                <w:szCs w:val="18"/>
                <w:color w:val="auto"/>
              </w:rPr>
              <w:t>8.07%</w:t>
            </w:r>
          </w:p>
        </w:tc>
        <w:tc>
          <w:tcPr>
            <w:tcW w:w="820" w:type="dxa"/>
            <w:vAlign w:val="bottom"/>
          </w:tcPr>
          <w:p>
            <w:pPr>
              <w:jc w:val="right"/>
              <w:spacing w:after="0"/>
              <w:rPr>
                <w:sz w:val="20"/>
                <w:szCs w:val="20"/>
                <w:color w:val="auto"/>
              </w:rPr>
            </w:pPr>
            <w:r>
              <w:rPr>
                <w:rFonts w:ascii="Arial" w:cs="Arial" w:eastAsia="Arial" w:hAnsi="Arial"/>
                <w:sz w:val="18"/>
                <w:szCs w:val="18"/>
                <w:color w:val="auto"/>
              </w:rPr>
              <w:t>7.63%</w:t>
            </w:r>
          </w:p>
        </w:tc>
      </w:tr>
      <w:tr>
        <w:trPr>
          <w:trHeight w:val="216"/>
        </w:trPr>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Ratio of operating expenses to average net assets</w:t>
            </w:r>
          </w:p>
        </w:tc>
        <w:tc>
          <w:tcPr>
            <w:tcW w:w="21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6.68%</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6.29%</w:t>
            </w:r>
          </w:p>
        </w:tc>
      </w:tr>
      <w:tr>
        <w:trPr>
          <w:trHeight w:val="216"/>
        </w:trPr>
        <w:tc>
          <w:tcPr>
            <w:tcW w:w="5720" w:type="dxa"/>
            <w:vAlign w:val="bottom"/>
          </w:tcPr>
          <w:p>
            <w:pPr>
              <w:spacing w:after="0"/>
              <w:rPr>
                <w:sz w:val="20"/>
                <w:szCs w:val="20"/>
                <w:color w:val="auto"/>
              </w:rPr>
            </w:pPr>
            <w:r>
              <w:rPr>
                <w:rFonts w:ascii="Arial" w:cs="Arial" w:eastAsia="Arial" w:hAnsi="Arial"/>
                <w:sz w:val="18"/>
                <w:szCs w:val="18"/>
                <w:color w:val="auto"/>
              </w:rPr>
              <w:t>Ratio of incentive management fees to average net assets (6)</w:t>
            </w:r>
          </w:p>
        </w:tc>
        <w:tc>
          <w:tcPr>
            <w:tcW w:w="2140" w:type="dxa"/>
            <w:vAlign w:val="bottom"/>
          </w:tcPr>
          <w:p>
            <w:pPr>
              <w:jc w:val="right"/>
              <w:ind w:right="130"/>
              <w:spacing w:after="0"/>
              <w:rPr>
                <w:sz w:val="20"/>
                <w:szCs w:val="20"/>
                <w:color w:val="auto"/>
              </w:rPr>
            </w:pPr>
            <w:r>
              <w:rPr>
                <w:rFonts w:ascii="Arial" w:cs="Arial" w:eastAsia="Arial" w:hAnsi="Arial"/>
                <w:sz w:val="18"/>
                <w:szCs w:val="18"/>
                <w:color w:val="auto"/>
              </w:rPr>
              <w:t>1.73%</w:t>
            </w:r>
          </w:p>
        </w:tc>
        <w:tc>
          <w:tcPr>
            <w:tcW w:w="820" w:type="dxa"/>
            <w:vAlign w:val="bottom"/>
          </w:tcPr>
          <w:p>
            <w:pPr>
              <w:jc w:val="right"/>
              <w:spacing w:after="0"/>
              <w:rPr>
                <w:sz w:val="20"/>
                <w:szCs w:val="20"/>
                <w:color w:val="auto"/>
              </w:rPr>
            </w:pPr>
            <w:r>
              <w:rPr>
                <w:rFonts w:ascii="Arial" w:cs="Arial" w:eastAsia="Arial" w:hAnsi="Arial"/>
                <w:sz w:val="18"/>
                <w:szCs w:val="18"/>
                <w:color w:val="auto"/>
              </w:rPr>
              <w:t>2.34%</w:t>
            </w:r>
          </w:p>
        </w:tc>
      </w:tr>
      <w:tr>
        <w:trPr>
          <w:trHeight w:val="216"/>
        </w:trPr>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Ratio of credit facility related expenses to average net assets</w:t>
            </w:r>
          </w:p>
        </w:tc>
        <w:tc>
          <w:tcPr>
            <w:tcW w:w="21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6.65%</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6.15%</w:t>
            </w:r>
          </w:p>
        </w:tc>
      </w:tr>
      <w:tr>
        <w:trPr>
          <w:trHeight w:val="216"/>
        </w:trPr>
        <w:tc>
          <w:tcPr>
            <w:tcW w:w="5720" w:type="dxa"/>
            <w:vAlign w:val="bottom"/>
          </w:tcPr>
          <w:p>
            <w:pPr>
              <w:spacing w:after="0"/>
              <w:rPr>
                <w:sz w:val="20"/>
                <w:szCs w:val="20"/>
                <w:color w:val="auto"/>
              </w:rPr>
            </w:pPr>
            <w:r>
              <w:rPr>
                <w:rFonts w:ascii="Arial" w:cs="Arial" w:eastAsia="Arial" w:hAnsi="Arial"/>
                <w:sz w:val="18"/>
                <w:szCs w:val="18"/>
                <w:color w:val="auto"/>
              </w:rPr>
              <w:t>Ratio of total expenses to average net assets</w:t>
            </w:r>
          </w:p>
        </w:tc>
        <w:tc>
          <w:tcPr>
            <w:tcW w:w="2140" w:type="dxa"/>
            <w:vAlign w:val="bottom"/>
          </w:tcPr>
          <w:p>
            <w:pPr>
              <w:jc w:val="right"/>
              <w:ind w:right="130"/>
              <w:spacing w:after="0"/>
              <w:rPr>
                <w:sz w:val="20"/>
                <w:szCs w:val="20"/>
                <w:color w:val="auto"/>
              </w:rPr>
            </w:pPr>
            <w:r>
              <w:rPr>
                <w:rFonts w:ascii="Arial" w:cs="Arial" w:eastAsia="Arial" w:hAnsi="Arial"/>
                <w:sz w:val="18"/>
                <w:szCs w:val="18"/>
                <w:color w:val="auto"/>
              </w:rPr>
              <w:t>15.06%</w:t>
            </w:r>
          </w:p>
        </w:tc>
        <w:tc>
          <w:tcPr>
            <w:tcW w:w="820" w:type="dxa"/>
            <w:vAlign w:val="bottom"/>
          </w:tcPr>
          <w:p>
            <w:pPr>
              <w:jc w:val="right"/>
              <w:spacing w:after="0"/>
              <w:rPr>
                <w:sz w:val="20"/>
                <w:szCs w:val="20"/>
                <w:color w:val="auto"/>
              </w:rPr>
            </w:pPr>
            <w:r>
              <w:rPr>
                <w:rFonts w:ascii="Arial" w:cs="Arial" w:eastAsia="Arial" w:hAnsi="Arial"/>
                <w:sz w:val="18"/>
                <w:szCs w:val="18"/>
                <w:color w:val="auto"/>
              </w:rPr>
              <w:t>14.77%</w:t>
            </w:r>
          </w:p>
        </w:tc>
      </w:tr>
      <w:tr>
        <w:trPr>
          <w:trHeight w:val="216"/>
        </w:trPr>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Portfolio turnover rate (5)</w:t>
            </w:r>
          </w:p>
        </w:tc>
        <w:tc>
          <w:tcPr>
            <w:tcW w:w="21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23.05%</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22.59%</w:t>
            </w:r>
          </w:p>
        </w:tc>
      </w:tr>
    </w:tbl>
    <w:p>
      <w:pPr>
        <w:spacing w:after="0" w:line="202" w:lineRule="exact"/>
        <w:rPr>
          <w:sz w:val="20"/>
          <w:szCs w:val="20"/>
          <w:color w:val="auto"/>
        </w:rPr>
      </w:pPr>
    </w:p>
    <w:p>
      <w:pPr>
        <w:ind w:right="20" w:firstLine="456"/>
        <w:spacing w:after="0" w:line="286" w:lineRule="auto"/>
        <w:rPr>
          <w:sz w:val="20"/>
          <w:szCs w:val="20"/>
          <w:color w:val="auto"/>
        </w:rPr>
      </w:pPr>
      <w:r>
        <w:rPr>
          <w:rFonts w:ascii="Arial" w:cs="Arial" w:eastAsia="Arial" w:hAnsi="Arial"/>
          <w:sz w:val="17"/>
          <w:szCs w:val="17"/>
          <w:color w:val="auto"/>
        </w:rPr>
        <w:t>As described in Note 2 to the consolidated financial statements and notes thereto included in our Form 10-K for the year ended February 28, 2015, we identified errors that impacted the nine months ended November 30, 2014. The corrections for the errors, which we have concluded are immaterial to all prior period consolidated financial statements, are reflected in the consolidated financial statements included in this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62865</wp:posOffset>
            </wp:positionV>
            <wp:extent cx="72898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9" w:lineRule="exact"/>
        <w:rPr>
          <w:sz w:val="20"/>
          <w:szCs w:val="20"/>
          <w:color w:val="auto"/>
        </w:rPr>
      </w:pPr>
    </w:p>
    <w:p>
      <w:pPr>
        <w:ind w:left="460" w:hanging="452"/>
        <w:spacing w:after="0"/>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Net investment income per share is calculated using the weighted average shares outstanding during the period.</w:t>
      </w:r>
    </w:p>
    <w:p>
      <w:pPr>
        <w:spacing w:after="0" w:line="23" w:lineRule="exact"/>
        <w:rPr>
          <w:rFonts w:ascii="Arial" w:cs="Arial" w:eastAsia="Arial" w:hAnsi="Arial"/>
          <w:sz w:val="18"/>
          <w:szCs w:val="18"/>
          <w:color w:val="auto"/>
        </w:rPr>
      </w:pPr>
    </w:p>
    <w:p>
      <w:pPr>
        <w:ind w:left="460" w:right="40" w:hanging="452"/>
        <w:spacing w:after="0" w:line="250" w:lineRule="auto"/>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Total investment return is calculated assuming a purchase of common shares at the current market value on the first day and a sale at the current market value on the last day of the periods reported. Dividends and distributions, if any, are assumed for purposes of this calculation to be reinvested at prices obtained under the Company’s dividend reinvestment plan. Total investment return does not reflect brokerage commissions. Total investment returns covering less than a full period are not annualized.</w:t>
      </w:r>
    </w:p>
    <w:p>
      <w:pPr>
        <w:spacing w:after="0" w:line="1" w:lineRule="exact"/>
        <w:rPr>
          <w:rFonts w:ascii="Arial" w:cs="Arial" w:eastAsia="Arial" w:hAnsi="Arial"/>
          <w:sz w:val="18"/>
          <w:szCs w:val="18"/>
          <w:color w:val="auto"/>
        </w:rPr>
      </w:pPr>
    </w:p>
    <w:p>
      <w:pPr>
        <w:jc w:val="both"/>
        <w:ind w:left="460" w:right="200" w:hanging="452"/>
        <w:spacing w:after="0" w:line="281" w:lineRule="auto"/>
        <w:tabs>
          <w:tab w:leader="none" w:pos="4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Total investment return is calculated assuming a purchase of common shares at the current net asset value on the first day and a sale at the current net asset value on the last day of the periods reported. Dividends and distributions, if any, are assumed for purposes of this calculation to be reinvested at prices obtained under the Company’s dividend reinvestment plan. Total investment return does not reflect brokerage commissions.</w:t>
      </w:r>
    </w:p>
    <w:p>
      <w:pPr>
        <w:spacing w:after="0" w:line="2" w:lineRule="exact"/>
        <w:rPr>
          <w:rFonts w:ascii="Arial" w:cs="Arial" w:eastAsia="Arial" w:hAnsi="Arial"/>
          <w:sz w:val="16"/>
          <w:szCs w:val="16"/>
          <w:color w:val="auto"/>
        </w:rPr>
      </w:pPr>
    </w:p>
    <w:p>
      <w:pPr>
        <w:ind w:left="460" w:right="740" w:hanging="452"/>
        <w:spacing w:after="0" w:line="281" w:lineRule="auto"/>
        <w:tabs>
          <w:tab w:leader="none" w:pos="4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Represents the dilutive effect of issuing common stock below net asset value per share during the period, pursuant to the Company’s dividend reinvestment plan, in connection with the satisfaction of the Company’s annual RIC distribution requirement. See Note 11, Dividend.</w:t>
      </w:r>
    </w:p>
    <w:p>
      <w:pPr>
        <w:spacing w:after="0" w:line="1" w:lineRule="exact"/>
        <w:rPr>
          <w:rFonts w:ascii="Arial" w:cs="Arial" w:eastAsia="Arial" w:hAnsi="Arial"/>
          <w:sz w:val="16"/>
          <w:szCs w:val="16"/>
          <w:color w:val="auto"/>
        </w:rPr>
      </w:pPr>
    </w:p>
    <w:p>
      <w:pPr>
        <w:ind w:left="460" w:hanging="452"/>
        <w:spacing w:after="0"/>
        <w:tabs>
          <w:tab w:leader="none" w:pos="4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Portfolio turnover rate is calculated using the lesser of year-to-date sales or year-to-date purchases over the average of the invested assets at fair value.</w:t>
      </w:r>
    </w:p>
    <w:p>
      <w:pPr>
        <w:spacing w:after="0" w:line="32" w:lineRule="exact"/>
        <w:rPr>
          <w:rFonts w:ascii="Arial" w:cs="Arial" w:eastAsia="Arial" w:hAnsi="Arial"/>
          <w:sz w:val="16"/>
          <w:szCs w:val="16"/>
          <w:color w:val="auto"/>
        </w:rPr>
      </w:pPr>
    </w:p>
    <w:p>
      <w:pPr>
        <w:ind w:left="460" w:hanging="452"/>
        <w:spacing w:after="0"/>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Ratios are not annualized.</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Subsequent Events</w:t>
      </w:r>
    </w:p>
    <w:p>
      <w:pPr>
        <w:spacing w:after="0" w:line="121"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On January 12, 2016 the Company declared a dividend of $0.40 per share payable for the fiscal quarter ended November 30, 2015 to all stockholders of record at the close of business on February 1, 2016, with a payment date on February 29, 2016. Shareholders will have the option to receive payment of the dividend in cash, or receive shares of common stock pursuant to the Company’s dividend reinvestment plan.</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459" w:right="2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ind w:right="240" w:firstLine="456"/>
        <w:spacing w:after="0" w:line="257" w:lineRule="auto"/>
        <w:rPr>
          <w:sz w:val="20"/>
          <w:szCs w:val="20"/>
          <w:color w:val="auto"/>
        </w:rPr>
      </w:pPr>
      <w:r>
        <w:rPr>
          <w:rFonts w:ascii="Arial" w:cs="Arial" w:eastAsia="Arial" w:hAnsi="Arial"/>
          <w:sz w:val="18"/>
          <w:szCs w:val="18"/>
          <w:color w:val="auto"/>
        </w:rPr>
        <w:t>The following discussion should be read in conjunction with our consolidated financial statements and related notes and other financial information appearing elsewhere in this Quarterly Report on Form 10-Q. In addition to historical information, the following discussion and other parts of this Quarterly Report contain forward-looking information that involves risks and uncertainties. Our actual results could differ materially from those anticipated by such forward-looking information due to the factors discussed under Part I, Item 1A in our Annual Report on Form 10-K for the fiscal year ended February 28, 2015.</w:t>
      </w:r>
    </w:p>
    <w:p>
      <w:pPr>
        <w:spacing w:after="0" w:line="188"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The forward-looking statements are based on our beliefs, assumptions and expectations of our future performance, taking into account all information currently available to us. These beliefs, assumptions and expectations can change as a result of many possible events or factors, not all of which are known to us or are within our control. If a change occurs, our business, financial condition, liquidity and results of operations may vary materially from those expressed in our forward-looking statements.</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forward-looking statements contained in this Quarterly Report on Form 10-Q involve risks and uncertainties, including statements as to:</w:t>
      </w:r>
    </w:p>
    <w:p>
      <w:pPr>
        <w:spacing w:after="0" w:line="142" w:lineRule="exact"/>
        <w:rPr>
          <w:sz w:val="20"/>
          <w:szCs w:val="20"/>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future operating results;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business prospects and the prospects of our portfolio companies;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impact of investments that we expect to make;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contractual arrangements and relationships with third parties;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dependence of our future success on the general economy and its impact on the industries in which we invest;</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ability of our portfolio companies to achieve their objectives;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expected financings and investments;</w:t>
      </w:r>
    </w:p>
    <w:p>
      <w:pPr>
        <w:spacing w:after="0" w:line="130" w:lineRule="exact"/>
        <w:rPr>
          <w:rFonts w:ascii="Arial" w:cs="Arial" w:eastAsia="Arial" w:hAnsi="Arial"/>
          <w:sz w:val="18"/>
          <w:szCs w:val="18"/>
          <w:color w:val="auto"/>
        </w:rPr>
      </w:pPr>
    </w:p>
    <w:p>
      <w:pPr>
        <w:ind w:left="900" w:right="140" w:hanging="446"/>
        <w:spacing w:after="0" w:line="342" w:lineRule="auto"/>
        <w:tabs>
          <w:tab w:leader="none" w:pos="9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our regulatory structure and tax treatment, including our ability to operate as a business development company (“BDC”), or to operate our small business investment company (“SBIC”) subsidiary, and to continue to qualify to be taxed as a regulated investment company (“RIC”);</w:t>
      </w:r>
    </w:p>
    <w:p>
      <w:pPr>
        <w:spacing w:after="0" w:line="29" w:lineRule="exact"/>
        <w:rPr>
          <w:rFonts w:ascii="Arial" w:cs="Arial" w:eastAsia="Arial" w:hAnsi="Arial"/>
          <w:sz w:val="16"/>
          <w:szCs w:val="16"/>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adequacy of our cash resources and working capital;</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timing of cash flows, if any, from the operations of our portfolio companies;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ability of our investment adviser to locate suitable investments for us and to monitor and effectively administer our investments.</w:t>
      </w:r>
    </w:p>
    <w:p>
      <w:pPr>
        <w:spacing w:after="0" w:line="225"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You should not place undue reliance on these forward-looking statements. The forward-looking statements made in this Quarterly Report on Form 10-Q relate only to events as of the date on which the statements are made. We undertake no obligation to update any forward-looking statement to reflect events or circumstances occurring after the date of this Quarterly Report on Form 10-Q.</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are a Maryland corporation that has elected to be treated as a BDC under the Investment Company Act of 1940 (the “1940 Act”). Our investment objective is to generate current income and, to a lesser extent, capital appreciation from our investments. We invest primarily in leveraged loans and mezzanine debt issued by private U.S. middle market companies, which we define as companies having EBITDA of between $5 million and $50 million, both through direct lending and through participation in loan syndicates. We may also invest up to 30.0% of the portfolio in opportunistic investments in order to seek to enhance returns to stockholders. Such investments may include investments in distressed debt, which may include securities of companies in bankruptcy, foreign debt, private equity, securities of public companies that are not thinly traded and structured finance vehicles such as collateralized loan obligation funds. We have elected and qualified to be treated as a RIC under Subchapter M of the Internal Revenue Code of 1986, as amended (the “Code”).</w:t>
      </w:r>
    </w:p>
    <w:p>
      <w:pPr>
        <w:spacing w:after="0" w:line="27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Corporate History and Recent Developments</w:t>
      </w:r>
    </w:p>
    <w:p>
      <w:pPr>
        <w:spacing w:after="0" w:line="117" w:lineRule="exact"/>
        <w:rPr>
          <w:sz w:val="20"/>
          <w:szCs w:val="20"/>
          <w:color w:val="auto"/>
        </w:rPr>
      </w:pPr>
    </w:p>
    <w:p>
      <w:pPr>
        <w:ind w:right="400" w:firstLine="456"/>
        <w:spacing w:after="0" w:line="302" w:lineRule="auto"/>
        <w:rPr>
          <w:sz w:val="20"/>
          <w:szCs w:val="20"/>
          <w:color w:val="auto"/>
        </w:rPr>
      </w:pPr>
      <w:r>
        <w:rPr>
          <w:rFonts w:ascii="Arial" w:cs="Arial" w:eastAsia="Arial" w:hAnsi="Arial"/>
          <w:sz w:val="16"/>
          <w:szCs w:val="16"/>
          <w:color w:val="auto"/>
        </w:rPr>
        <w:t>We commenced operations, at the time known as GSC Investment Corp., on March 23, 2007 and completed an initial public offering of shares of common stock on March 28, 2007. Prior to July 30, 2010, we were externally managed and advised by GSCP (NJ), L.P., an entity affiliated with GSC Group, Inc. In connection with the consummation of a recapitalization transaction on July 30, 2010, as described below we engaged Saratoga Investment Advisors (“SIA”) to replace GSCP (NJ), L.P. as our investment adviser and changed our name to Saratoga Investment Corp.</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As a result of the event of default under a revolving securitized credit facility with Deutsche Bank we previously had in place, in December 2008 we engaged the investment banking firm of Stifel, Nicolaus &amp; Company to evaluate strategic transaction opportunities and consider alternatives for us. On April 14, 2010, GSC Investment Corp. entered into a stock purchase agreement with Saratoga Investment Advisors and certain of its affiliates and an assignment, assumption and novation agreement with Saratoga Investment Advisors, pursuant to which GSC Investment Corp. assumed certain rights and obligations of Saratoga Investment Advisors under a debt commitment letter Saratoga Investment Advisors received from Madison Capital Funding LLC, which indicated Madison Capital Funding’s willingness to provide GSC Investment Corp. with a $40.0 million senior secured revolving credit facility, subject to the satisfaction of certain terms and conditions. In addition, GSC Investment Corp. and GSCP (NJ), L.P. entered into a termination and release agreement, to be effective as of the closing of the transaction contemplated by the stock purchase agreement, pursuant to which GSCP (NJ), L.P., among other things, agreed to waive any and all accrued and unpaid deferred incentive management fees up to and as of the closing of the transaction contemplated by the stock purchase agreement but continued to be entitled to receive the base management fees earned through the date of the closing of the transaction contemplated by the stock purchase agreement.</w:t>
      </w:r>
    </w:p>
    <w:p>
      <w:pPr>
        <w:spacing w:after="0" w:line="183" w:lineRule="exact"/>
        <w:rPr>
          <w:sz w:val="20"/>
          <w:szCs w:val="20"/>
          <w:color w:val="auto"/>
        </w:rPr>
      </w:pPr>
    </w:p>
    <w:p>
      <w:pPr>
        <w:ind w:right="40" w:firstLine="456"/>
        <w:spacing w:after="0" w:line="312" w:lineRule="auto"/>
        <w:rPr>
          <w:sz w:val="20"/>
          <w:szCs w:val="20"/>
          <w:color w:val="auto"/>
        </w:rPr>
      </w:pPr>
      <w:r>
        <w:rPr>
          <w:rFonts w:ascii="Arial" w:cs="Arial" w:eastAsia="Arial" w:hAnsi="Arial"/>
          <w:sz w:val="16"/>
          <w:szCs w:val="16"/>
          <w:color w:val="auto"/>
        </w:rPr>
        <w:t>On July 30, 2010, the transactions contemplated by the stock purchase agreement with Saratoga Investment Advisors and certain of its affiliates were completed, the private sale of 986,842 shares of our common stock for $15.0 million in aggregate purchase price to Saratoga Investment Advisors and certain of its affiliates closed, the Company entered into the Credit Facility, and the Company began doing business as Saratoga Investment Corp.</w:t>
      </w:r>
    </w:p>
    <w:p>
      <w:pPr>
        <w:spacing w:after="0" w:line="147" w:lineRule="exact"/>
        <w:rPr>
          <w:sz w:val="20"/>
          <w:szCs w:val="20"/>
          <w:color w:val="auto"/>
        </w:rPr>
      </w:pPr>
    </w:p>
    <w:p>
      <w:pPr>
        <w:ind w:right="120" w:firstLine="456"/>
        <w:spacing w:after="0" w:line="312" w:lineRule="auto"/>
        <w:rPr>
          <w:sz w:val="20"/>
          <w:szCs w:val="20"/>
          <w:color w:val="auto"/>
        </w:rPr>
      </w:pPr>
      <w:r>
        <w:rPr>
          <w:rFonts w:ascii="Arial" w:cs="Arial" w:eastAsia="Arial" w:hAnsi="Arial"/>
          <w:sz w:val="16"/>
          <w:szCs w:val="16"/>
          <w:color w:val="auto"/>
        </w:rPr>
        <w:t>We used the net proceeds from the private sale transaction and a portion of the funds available to us under the Credit Facility to pay the full amount of principal and accrued interest, including default interest, outstanding under our revolving securitized credit facility with Deutsche Bank. The revolving securitized credit facility with Deutsche Bank was terminated in connection with our payment of all amounts outstanding thereunder on July 30, 2010.</w:t>
      </w:r>
    </w:p>
    <w:p>
      <w:pPr>
        <w:spacing w:after="0" w:line="147" w:lineRule="exact"/>
        <w:rPr>
          <w:sz w:val="20"/>
          <w:szCs w:val="20"/>
          <w:color w:val="auto"/>
        </w:rPr>
      </w:pPr>
    </w:p>
    <w:p>
      <w:pPr>
        <w:jc w:val="both"/>
        <w:ind w:right="340" w:firstLine="456"/>
        <w:spacing w:after="0" w:line="259" w:lineRule="auto"/>
        <w:rPr>
          <w:sz w:val="20"/>
          <w:szCs w:val="20"/>
          <w:color w:val="auto"/>
        </w:rPr>
      </w:pPr>
      <w:r>
        <w:rPr>
          <w:rFonts w:ascii="Arial" w:cs="Arial" w:eastAsia="Arial" w:hAnsi="Arial"/>
          <w:sz w:val="18"/>
          <w:szCs w:val="18"/>
          <w:color w:val="auto"/>
        </w:rPr>
        <w:t>On August 12, 2010, we effected a one-for-ten reverse stock split of our outstanding common stock. As a result of the reverse stock split, every ten shares of our common stock were converted into one share of our common stock. Any fractional shares received as a result of the reverse stock split were redeemed for cash. The total cash payment in lieu of shares was $230. Immediately after the reverse stock split, we had 2,680,842 shares of our common stock outstanding.</w:t>
      </w:r>
    </w:p>
    <w:p>
      <w:pPr>
        <w:spacing w:after="0" w:line="187" w:lineRule="exact"/>
        <w:rPr>
          <w:sz w:val="20"/>
          <w:szCs w:val="20"/>
          <w:color w:val="auto"/>
        </w:rPr>
      </w:pPr>
    </w:p>
    <w:p>
      <w:pPr>
        <w:ind w:right="400" w:firstLine="456"/>
        <w:spacing w:after="0" w:line="277" w:lineRule="auto"/>
        <w:rPr>
          <w:sz w:val="20"/>
          <w:szCs w:val="20"/>
          <w:color w:val="auto"/>
        </w:rPr>
      </w:pPr>
      <w:r>
        <w:rPr>
          <w:rFonts w:ascii="Arial" w:cs="Arial" w:eastAsia="Arial" w:hAnsi="Arial"/>
          <w:sz w:val="18"/>
          <w:szCs w:val="18"/>
          <w:color w:val="auto"/>
        </w:rPr>
        <w:t>In January 2011, we registered for public resale the 982,842 shares of our common stock issued to Saratoga Investment Advisors and certain of its affiliates.</w:t>
      </w:r>
    </w:p>
    <w:p>
      <w:pPr>
        <w:spacing w:after="0" w:line="170" w:lineRule="exact"/>
        <w:rPr>
          <w:sz w:val="20"/>
          <w:szCs w:val="20"/>
          <w:color w:val="auto"/>
        </w:rPr>
      </w:pPr>
    </w:p>
    <w:p>
      <w:pPr>
        <w:ind w:right="660" w:firstLine="456"/>
        <w:spacing w:after="0" w:line="277" w:lineRule="auto"/>
        <w:rPr>
          <w:sz w:val="20"/>
          <w:szCs w:val="20"/>
          <w:color w:val="auto"/>
        </w:rPr>
      </w:pPr>
      <w:r>
        <w:rPr>
          <w:rFonts w:ascii="Arial" w:cs="Arial" w:eastAsia="Arial" w:hAnsi="Arial"/>
          <w:sz w:val="18"/>
          <w:szCs w:val="18"/>
          <w:color w:val="auto"/>
        </w:rPr>
        <w:t>On March 28, 2012, our wholly-owned subsidiary, Saratoga Investment Corp. SBIC, LP (“SBIC LP”), received a SBIC license from the Small Business Administration (“SBA”).</w:t>
      </w:r>
    </w:p>
    <w:p>
      <w:pPr>
        <w:spacing w:after="0" w:line="170" w:lineRule="exact"/>
        <w:rPr>
          <w:sz w:val="20"/>
          <w:szCs w:val="20"/>
          <w:color w:val="auto"/>
        </w:rPr>
      </w:pPr>
    </w:p>
    <w:p>
      <w:pPr>
        <w:ind w:right="80" w:firstLine="456"/>
        <w:spacing w:after="0" w:line="276" w:lineRule="auto"/>
        <w:rPr>
          <w:sz w:val="20"/>
          <w:szCs w:val="20"/>
          <w:color w:val="auto"/>
        </w:rPr>
      </w:pPr>
      <w:r>
        <w:rPr>
          <w:rFonts w:ascii="Arial" w:cs="Arial" w:eastAsia="Arial" w:hAnsi="Arial"/>
          <w:sz w:val="17"/>
          <w:szCs w:val="17"/>
          <w:color w:val="auto"/>
        </w:rPr>
        <w:t>In May 2013, we issued $48.3 million in aggregate principal amount of our 7.50% unsecured notes due 2020 for net proceeds of $46.1 million after deducting underwriting commissions of $1.9 million and offering costs of $0.3 million. The proceeds included the underwriters’ full exercise of their overallotment option. Interest on these notes is paid quarterly in arrears on February 15, May 15, August 15 and November 15, at a rate of 7.50% per year, beginning August 15, 2013. The notes mature on May 31, 2020 and may be redeemed in whole or in part at any time or from time to time at our option on or after May 31, 2016. The notes are listed on the NYSE under the trading symbol “SAQ” with a par value of $25.00 per share.</w:t>
      </w:r>
    </w:p>
    <w:p>
      <w:pPr>
        <w:spacing w:after="0" w:line="173" w:lineRule="exact"/>
        <w:rPr>
          <w:sz w:val="20"/>
          <w:szCs w:val="20"/>
          <w:color w:val="auto"/>
        </w:rPr>
      </w:pPr>
    </w:p>
    <w:p>
      <w:pPr>
        <w:ind w:right="40" w:firstLine="456"/>
        <w:spacing w:after="0" w:line="276" w:lineRule="auto"/>
        <w:rPr>
          <w:sz w:val="20"/>
          <w:szCs w:val="20"/>
          <w:color w:val="auto"/>
        </w:rPr>
      </w:pPr>
      <w:r>
        <w:rPr>
          <w:rFonts w:ascii="Arial" w:cs="Arial" w:eastAsia="Arial" w:hAnsi="Arial"/>
          <w:sz w:val="17"/>
          <w:szCs w:val="17"/>
          <w:color w:val="auto"/>
        </w:rPr>
        <w:t>On April 2, 2015, the SBA issued a “green light” or “go forth” letter inviting us to continue our application process to obtain a license to form and operate its second SBIC subsidiary. If approved, a second SBIC license would provide us an incremental source of long-term capital by permitting us to issue $75 million of additional SBA-guaranteed debentures in addition to the $150 million already approved under the first license. Receipt of a green light letter from the SBA does not assure an applicant that the SBA will ultimately issue an SBIC license and we have received no assurance or indication from the SBA that it will receive an SBIC license, or of the timeframe in which it would receive a license, should one be granted.</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459" w:right="2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312" w:lineRule="auto"/>
        <w:rPr>
          <w:sz w:val="20"/>
          <w:szCs w:val="20"/>
          <w:color w:val="auto"/>
        </w:rPr>
      </w:pPr>
      <w:r>
        <w:rPr>
          <w:rFonts w:ascii="Arial" w:cs="Arial" w:eastAsia="Arial" w:hAnsi="Arial"/>
          <w:sz w:val="16"/>
          <w:szCs w:val="16"/>
          <w:color w:val="auto"/>
        </w:rPr>
        <w:t>On May 29, 2015, we entered into a Debt Distribution Agreement with Landenburg Thalmann &amp; Co. through which we may offer for sale, from time to time, up to $20.0 million in aggregate principal amount of the Notes through an At-the-Market (“ATM”) offering. As of November 30, 2015, the Company sold 522,981 bonds with a principal of $13,074,525 at an average price of $25.31 for aggregate net proceeds of $12,973,084 (net of transaction costs).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The preparation of financial statements in accordance with U.S. generally accepted accounting principles (“U.S. GAAP”) requires management to make certain estimates and assumptions affecting amounts reported in the Company’s consolidated financial statements. We have identified investment valuation, revenue recognition and the recognition of capital gains incentive fee expense as our most critical accounting estimates. We continuously evaluate our estimates, including those related to the matters described below. These estimates are based on the information that is currently available to us and on various other assumptions that we believe to be reasonable under the circumstances. Actual results could differ materially from those estimates under different assumptions or conditions. A discussion of our critical accounting policies follows.</w:t>
      </w:r>
    </w:p>
    <w:p>
      <w:pPr>
        <w:spacing w:after="0" w:line="28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Investment Valuation</w:t>
      </w:r>
    </w:p>
    <w:p>
      <w:pPr>
        <w:spacing w:after="0" w:line="11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 xml:space="preserve">The Company accounts for its investments at fair value in accordance with the Financial Accounting Standards Board (“FASB”) Accounting Standards Codification (“ASC”) Topic 820, </w:t>
      </w:r>
      <w:r>
        <w:rPr>
          <w:rFonts w:ascii="Arial" w:cs="Arial" w:eastAsia="Arial" w:hAnsi="Arial"/>
          <w:sz w:val="18"/>
          <w:szCs w:val="18"/>
          <w:i w:val="1"/>
          <w:iCs w:val="1"/>
          <w:color w:val="auto"/>
        </w:rPr>
        <w:t>Fair Value Measurements and Disclosures</w:t>
      </w:r>
      <w:r>
        <w:rPr>
          <w:rFonts w:ascii="Arial" w:cs="Arial" w:eastAsia="Arial" w:hAnsi="Arial"/>
          <w:sz w:val="18"/>
          <w:szCs w:val="18"/>
          <w:color w:val="auto"/>
        </w:rPr>
        <w:t xml:space="preserve"> (“ASC 820”). ASC 820 defines fair value, establishes a framework for measuring fair value, establishes a fair value hierarchy based on the quality of inputs used to measure fair value and enhances disclosure requirements for fair value measurements. ASC 820 requires the Company to assume that its investments are to be sold at the statement of assets and liabilities date in the principal market to independent market participants, or in the absence of a principal market, in the most advantageous market, which may be a hypothetical market. Market participants are defined as buyers and sellers in the principal or most advantageous market that are independent, knowledgeable, and willing and able to transact.</w:t>
      </w:r>
    </w:p>
    <w:p>
      <w:pPr>
        <w:spacing w:after="0" w:line="189" w:lineRule="exact"/>
        <w:rPr>
          <w:sz w:val="20"/>
          <w:szCs w:val="20"/>
          <w:color w:val="auto"/>
        </w:rPr>
      </w:pPr>
    </w:p>
    <w:p>
      <w:pPr>
        <w:jc w:val="both"/>
        <w:ind w:right="140" w:firstLine="456"/>
        <w:spacing w:after="0" w:line="286" w:lineRule="auto"/>
        <w:rPr>
          <w:sz w:val="20"/>
          <w:szCs w:val="20"/>
          <w:color w:val="auto"/>
        </w:rPr>
      </w:pPr>
      <w:r>
        <w:rPr>
          <w:rFonts w:ascii="Arial" w:cs="Arial" w:eastAsia="Arial" w:hAnsi="Arial"/>
          <w:sz w:val="16"/>
          <w:szCs w:val="16"/>
          <w:color w:val="auto"/>
        </w:rPr>
        <w:t>Investments for which market quotations are readily available are fair valued at such market quotations obtained from independent third party pricing services and market makers subject to any decision by our board of directors to approve a fair value determination to reflect significant events affecting the value of these investments. We value investments for which market quotations are not readily available at fair value as approved, in good faith, by our board of directors based on input from Saratoga Investment Advisers, the audit committee of our board of directors and a third party independent valuation firm.</w:t>
      </w:r>
    </w:p>
    <w:p>
      <w:pPr>
        <w:spacing w:after="0" w:line="2"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Determinations of fair value may involve subjective judgments and estimates. The types of factors that may be considered in determining the fair value of our investments include the nature and realizable value of any collateral, the portfolio company’s ability to make payments, market yield trend analysis, the markets in which the portfolio company does business, comparison to publicly traded companies, discounted cash flow and other relevant factors.</w:t>
      </w:r>
    </w:p>
    <w:p>
      <w:pPr>
        <w:spacing w:after="0" w:line="155"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We undertake a multi-step valuation process each quarter when valuing investments for which market quotations are not readily available, as described below:</w:t>
      </w:r>
    </w:p>
    <w:p>
      <w:pPr>
        <w:spacing w:after="0" w:line="76" w:lineRule="exact"/>
        <w:rPr>
          <w:sz w:val="20"/>
          <w:szCs w:val="20"/>
          <w:color w:val="auto"/>
        </w:rPr>
      </w:pPr>
    </w:p>
    <w:p>
      <w:pPr>
        <w:ind w:left="900" w:right="540" w:hanging="446"/>
        <w:spacing w:after="0" w:line="277"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Each investment is initially valued by the responsible investment professionals of Saratoga Investment Advisors and preliminary valuation conclusions are documented and discussed with our senior management; and</w:t>
      </w:r>
    </w:p>
    <w:p>
      <w:pPr>
        <w:spacing w:after="0" w:line="75" w:lineRule="exact"/>
        <w:rPr>
          <w:rFonts w:ascii="Arial" w:cs="Arial" w:eastAsia="Arial" w:hAnsi="Arial"/>
          <w:sz w:val="18"/>
          <w:szCs w:val="18"/>
          <w:color w:val="auto"/>
        </w:rPr>
      </w:pPr>
    </w:p>
    <w:p>
      <w:pPr>
        <w:ind w:left="900" w:right="60" w:hanging="446"/>
        <w:spacing w:after="0" w:line="264"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 independent valuation firm engaged by our board of directors reviews approximately one quarter of these preliminary valuations each quarter so that the valuation of each investment for which market quotes are not readily available is reviewed by the independent valuation firm at least annually.</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addition, all our investments are subject to the following valuation process:</w:t>
      </w:r>
    </w:p>
    <w:p>
      <w:pPr>
        <w:spacing w:after="0" w:line="131" w:lineRule="exact"/>
        <w:rPr>
          <w:sz w:val="20"/>
          <w:szCs w:val="20"/>
          <w:color w:val="auto"/>
        </w:rPr>
      </w:pPr>
    </w:p>
    <w:p>
      <w:pPr>
        <w:ind w:left="900" w:right="180" w:hanging="446"/>
        <w:spacing w:after="0" w:line="308" w:lineRule="auto"/>
        <w:tabs>
          <w:tab w:leader="none" w:pos="9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audit committee of our board of directors reviews each preliminary valuation and Saratoga Investment Advisors and independent valuation firm (if applicable) will supplement the preliminary valuation to reflect any comments provided by the audit committee; and</w:t>
      </w:r>
    </w:p>
    <w:p>
      <w:pPr>
        <w:spacing w:after="0" w:line="51" w:lineRule="exact"/>
        <w:rPr>
          <w:rFonts w:ascii="Arial" w:cs="Arial" w:eastAsia="Arial" w:hAnsi="Arial"/>
          <w:sz w:val="17"/>
          <w:szCs w:val="17"/>
          <w:color w:val="auto"/>
        </w:rPr>
      </w:pPr>
    </w:p>
    <w:p>
      <w:pPr>
        <w:ind w:left="900" w:right="460" w:hanging="446"/>
        <w:spacing w:after="0" w:line="308" w:lineRule="auto"/>
        <w:tabs>
          <w:tab w:leader="none" w:pos="9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Our board of directors discusses the valuations and approves the fair value of each investment, in good faith, based on the input of Saratoga Investment Advisors, independent valuation firm (to the extent applicable) and the audit committee of our board of directors.</w:t>
      </w:r>
    </w:p>
    <w:p>
      <w:pPr>
        <w:spacing w:after="0" w:line="147" w:lineRule="exact"/>
        <w:rPr>
          <w:sz w:val="20"/>
          <w:szCs w:val="20"/>
          <w:color w:val="auto"/>
        </w:rPr>
      </w:pPr>
    </w:p>
    <w:p>
      <w:pPr>
        <w:ind w:right="300" w:firstLine="456"/>
        <w:spacing w:after="0" w:line="264" w:lineRule="auto"/>
        <w:rPr>
          <w:sz w:val="20"/>
          <w:szCs w:val="20"/>
          <w:color w:val="auto"/>
        </w:rPr>
      </w:pPr>
      <w:r>
        <w:rPr>
          <w:rFonts w:ascii="Arial" w:cs="Arial" w:eastAsia="Arial" w:hAnsi="Arial"/>
          <w:sz w:val="18"/>
          <w:szCs w:val="18"/>
          <w:color w:val="auto"/>
        </w:rPr>
        <w:t>Our investment in Saratoga Investment Corp. CLO 2013-1, Ltd. (“Saratoga CLO”) is carried at fair value, which is based on a discounted cash flow model that utilizes prepayment, re-investment and loss assumptions based on historical experience and projected performance, economic factors, the characteristics of the underlying cash flow, and comparable yields for equity interests in</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collateralized loan obligation funds similar to Saratoga CLO, when available, as determined by SIA and recommended to our board of directors. Specifically, we use Intex cash flow models, or an appropriate substitute, to form the basis for the valuation of our investment in Saratoga CLO. The models use a set of assumptions including projected default rates, recovery rates, reinvestment rate and prepayment rates in order to arrive at estimated valuations. The assumptions are based on available market data and projections provided by third parties as well as management estimates. We use the output from the Intex models (i.e., the estimated cash flows) to perform a discounted cash flows analysis on expected future cash flows to determine a valuation for our investment in Saratoga CLO.</w:t>
      </w:r>
    </w:p>
    <w:p>
      <w:pPr>
        <w:spacing w:after="0" w:line="30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Income Recognition</w:t>
      </w:r>
    </w:p>
    <w:p>
      <w:pPr>
        <w:spacing w:after="0" w:line="117" w:lineRule="exact"/>
        <w:rPr>
          <w:sz w:val="20"/>
          <w:szCs w:val="20"/>
          <w:color w:val="auto"/>
        </w:rPr>
      </w:pPr>
    </w:p>
    <w:p>
      <w:pPr>
        <w:ind w:right="80" w:firstLine="456"/>
        <w:spacing w:after="0" w:line="279" w:lineRule="auto"/>
        <w:rPr>
          <w:sz w:val="20"/>
          <w:szCs w:val="20"/>
          <w:color w:val="auto"/>
        </w:rPr>
      </w:pPr>
      <w:r>
        <w:rPr>
          <w:rFonts w:ascii="Arial" w:cs="Arial" w:eastAsia="Arial" w:hAnsi="Arial"/>
          <w:sz w:val="17"/>
          <w:szCs w:val="17"/>
          <w:color w:val="auto"/>
        </w:rPr>
        <w:t>Interest income, adjusted for amortization of premium and accretion of discount, is recorded on an accrual basis to the extent that such amounts are expected to be collected. The Company stops accruing interest on its investments when it is determined that interest is no longer collectible. Discounts and premiums on investments purchased are accreted/amortized over the life of the respective investment using the effective yield method. The amortized cost of investments represents the original cost adjusted for the accretion of discounts and amortizations of premium on investments.</w:t>
      </w:r>
    </w:p>
    <w:p>
      <w:pPr>
        <w:spacing w:after="0" w:line="17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Loans are generally placed on non-accrual status when there is reasonable doubt that principal or interest will be collected. Accrued interest is generally reserved when a loan is placed on non-accrual status. Interest payments received on non-accrual loans may be recognized as a reduction in principal depending upon management’s judgment regarding collectability. Non-accrual loans are restored to accrual status when past due principal and interest is paid and, in management’s judgment, are likely to remain current, although we may make exceptions to this general rule if the loan has sufficient collateral value and is in the process of collection.</w:t>
      </w:r>
    </w:p>
    <w:p>
      <w:pPr>
        <w:spacing w:after="0" w:line="188"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 xml:space="preserve">Interest income on our investment in Saratoga CLO is recorded using the effective interest method in accordance with the provisions of ASC Topic 325-40, </w:t>
      </w:r>
      <w:r>
        <w:rPr>
          <w:rFonts w:ascii="Arial" w:cs="Arial" w:eastAsia="Arial" w:hAnsi="Arial"/>
          <w:sz w:val="18"/>
          <w:szCs w:val="18"/>
          <w:i w:val="1"/>
          <w:iCs w:val="1"/>
          <w:color w:val="auto"/>
        </w:rPr>
        <w:t>Investments-Other, Beneficial Interests in Securitized Financial Assets</w:t>
      </w:r>
      <w:r>
        <w:rPr>
          <w:rFonts w:ascii="Arial" w:cs="Arial" w:eastAsia="Arial" w:hAnsi="Arial"/>
          <w:sz w:val="18"/>
          <w:szCs w:val="18"/>
          <w:color w:val="auto"/>
        </w:rPr>
        <w:t>, based on the anticipated yield and the estimated cash flows over the projected life of the investment. Yields are revised when there are changes in actual or estimated cash flows due to changes in prepayments and/or re-investments, credit losses or asset pricing. Changes in estimated yield are recognized as an adjustment to the estimated yield over the remaining life of the investment from the date the estimated yield was changed.</w:t>
      </w:r>
    </w:p>
    <w:p>
      <w:pPr>
        <w:spacing w:after="0" w:line="29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Paid-in-Kind Interest</w:t>
      </w:r>
    </w:p>
    <w:p>
      <w:pPr>
        <w:spacing w:after="0" w:line="117" w:lineRule="exact"/>
        <w:rPr>
          <w:sz w:val="20"/>
          <w:szCs w:val="20"/>
          <w:color w:val="auto"/>
        </w:rPr>
      </w:pPr>
    </w:p>
    <w:p>
      <w:pPr>
        <w:ind w:right="200" w:firstLine="456"/>
        <w:spacing w:after="0" w:line="312" w:lineRule="auto"/>
        <w:rPr>
          <w:sz w:val="20"/>
          <w:szCs w:val="20"/>
          <w:color w:val="auto"/>
        </w:rPr>
      </w:pPr>
      <w:r>
        <w:rPr>
          <w:rFonts w:ascii="Arial" w:cs="Arial" w:eastAsia="Arial" w:hAnsi="Arial"/>
          <w:sz w:val="16"/>
          <w:szCs w:val="16"/>
          <w:color w:val="auto"/>
        </w:rPr>
        <w:t>The Company holds debt investments in its portfolio that contain a payment-in-kind (“PIK”) interest provision. The PIK interest, which represents contractually deferred interest added to the investment balance that is generally due at maturity, is generally recorded on the accrual basis to the extent such amounts are expected to be collected. We stop accruing PIK interest if we do not expect the issuer to be able to pay all principal and interest when due.</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Gains Incentive Fee</w:t>
      </w:r>
    </w:p>
    <w:p>
      <w:pPr>
        <w:spacing w:after="0" w:line="121" w:lineRule="exact"/>
        <w:rPr>
          <w:sz w:val="20"/>
          <w:szCs w:val="20"/>
          <w:color w:val="auto"/>
        </w:rPr>
      </w:pPr>
    </w:p>
    <w:p>
      <w:pPr>
        <w:ind w:right="160" w:firstLine="456"/>
        <w:spacing w:after="0" w:line="257" w:lineRule="auto"/>
        <w:rPr>
          <w:sz w:val="20"/>
          <w:szCs w:val="20"/>
          <w:color w:val="auto"/>
        </w:rPr>
      </w:pPr>
      <w:r>
        <w:rPr>
          <w:rFonts w:ascii="Arial" w:cs="Arial" w:eastAsia="Arial" w:hAnsi="Arial"/>
          <w:sz w:val="18"/>
          <w:szCs w:val="18"/>
          <w:color w:val="auto"/>
        </w:rPr>
        <w:t>The Company records an expense accrual relating to the capital gains incentive fee payable by the Company to its investment adviser when the unrealized gains on its investments exceed all realized capital losses on its investments given the fact that a capital gains incentive fee would be owed to the investment adviser if the Company were to liquidate its investment portfolio at such time. The actual incentive fee payable to the Company’s investment adviser related to capital gains will be determined and payable in arrears at the end of each fiscal year and will include only realized capital gains for the period.</w:t>
      </w:r>
    </w:p>
    <w:p>
      <w:pPr>
        <w:spacing w:after="0" w:line="29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Revenues</w:t>
      </w:r>
    </w:p>
    <w:p>
      <w:pPr>
        <w:spacing w:after="0" w:line="117"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color w:val="auto"/>
        </w:rPr>
        <w:t>We generate revenue in the form of interest income and capital gains on the debt investments that we hold and capital gains, if any, on equity interests that we may acquire. We expect our debt investments, whether in the form of leveraged loans or mezzanine debt, to have terms of up to ten years, and to bear interest at either a fixed or floating rate. Interest on debt will be payable generally either quarterly or semi-annually. In some cases, our debt investments may provide for a portion of the interest to be PIK. To the extent interest is paid-in-kind, it will be payable through the increase of the principal amount of the obligation by the amount of interest due on the then-outstanding aggregate principal amount of such obligation. The principal amount of the debt and any accrued but unpaid interest will generally become due at the maturity date. In addition, we may generate revenue in the form of commitment, origination, structuring or diligence fees, fees for providing managerial assistance or investment management services and possibly consulting fees. Any such fees will be generated in connection with our investments and recognized as earned. We may also invest in preferred equity securities that pay dividends on a current basis.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459" w:right="2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140" w:firstLine="456"/>
        <w:spacing w:after="0" w:line="297" w:lineRule="auto"/>
        <w:rPr>
          <w:sz w:val="20"/>
          <w:szCs w:val="20"/>
          <w:color w:val="auto"/>
        </w:rPr>
      </w:pPr>
      <w:r>
        <w:rPr>
          <w:rFonts w:ascii="Arial" w:cs="Arial" w:eastAsia="Arial" w:hAnsi="Arial"/>
          <w:sz w:val="16"/>
          <w:szCs w:val="16"/>
          <w:color w:val="auto"/>
        </w:rPr>
        <w:t>On January 22, 2008, we entered into a collateral management agreement with Saratoga CLO, pursuant to which we act as its collateral manager. The Saratoga CLO was refinanced in October 2013 and its reinvestment period ends in October 2016. The Saratoga CLO remains 100% owned and managed by Saratoga Investment Corp. We receive a senior collateral management fee of 0.25% and a subordinated management fee of 0.25% of the fee basis amount at the beginning of the collection period, paid quarterly to the extent of available proceeds. We are also entitled to an incentive management fee equal to 20.0% of excess cash flow to the extent the Saratoga CLO subordinated notes receive an internal rate of return equal to or greater than 12.0%.</w:t>
      </w:r>
    </w:p>
    <w:p>
      <w:pPr>
        <w:spacing w:after="0" w:line="15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recognize interest income on our investment in the subordinated notes of Saratoga CLO using the effective interest method, based on the anticipated yield and the estimated cash flows over the projected life of the investment. Yields are revised when there are changes in actual or estimated cash flows due to changes in prepayments and/or re-investments, credit losses or asset pricing. Changes in estimated yield are recognized as an adjustment to the estimated yield over the remaining life of the investment from the date the estimated yield was changed.</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Expenses</w:t>
      </w:r>
    </w:p>
    <w:p>
      <w:pPr>
        <w:spacing w:after="0" w:line="117" w:lineRule="exact"/>
        <w:rPr>
          <w:sz w:val="20"/>
          <w:szCs w:val="20"/>
          <w:color w:val="auto"/>
        </w:rPr>
      </w:pPr>
    </w:p>
    <w:p>
      <w:pPr>
        <w:ind w:right="80" w:firstLine="456"/>
        <w:spacing w:after="0" w:line="279" w:lineRule="auto"/>
        <w:rPr>
          <w:sz w:val="20"/>
          <w:szCs w:val="20"/>
          <w:color w:val="auto"/>
        </w:rPr>
      </w:pPr>
      <w:r>
        <w:rPr>
          <w:rFonts w:ascii="Arial" w:cs="Arial" w:eastAsia="Arial" w:hAnsi="Arial"/>
          <w:sz w:val="17"/>
          <w:szCs w:val="17"/>
          <w:color w:val="auto"/>
        </w:rPr>
        <w:t>Our primary operating expenses include the payment of investment advisory and management fees, professional fees, directors and officers insurance, fees paid to independent directors and administrator expenses, including our allocable portion of our administrator’s overhead. Our investment advisory and management fees compensate our investment adviser for its work in identifying, evaluating, negotiating, closing and monitoring our investments. We bear all other costs and expenses of our operations and transactions, including those relating to:</w:t>
      </w:r>
    </w:p>
    <w:p>
      <w:pPr>
        <w:spacing w:after="0" w:line="77" w:lineRule="exact"/>
        <w:rPr>
          <w:sz w:val="20"/>
          <w:szCs w:val="20"/>
          <w:color w:val="auto"/>
        </w:rPr>
      </w:pPr>
    </w:p>
    <w:p>
      <w:pPr>
        <w:ind w:left="900" w:hanging="44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organization;</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calculating our net asset value (including the cost and expenses of any independent valuation firm);</w:t>
      </w:r>
    </w:p>
    <w:p>
      <w:pPr>
        <w:spacing w:after="0" w:line="130" w:lineRule="exact"/>
        <w:rPr>
          <w:rFonts w:ascii="Arial" w:cs="Arial" w:eastAsia="Arial" w:hAnsi="Arial"/>
          <w:sz w:val="18"/>
          <w:szCs w:val="18"/>
          <w:color w:val="auto"/>
        </w:rPr>
      </w:pPr>
    </w:p>
    <w:p>
      <w:pPr>
        <w:ind w:left="900" w:right="160" w:hanging="446"/>
        <w:spacing w:after="0" w:line="308" w:lineRule="auto"/>
        <w:tabs>
          <w:tab w:leader="none" w:pos="9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expenses incurred by our investment adviser payable to third parties, including agents, consultants or other advisers, in monitoring our financial and legal affairs and in monitoring our investments and performing due diligence on our prospective portfolio companies;</w:t>
      </w:r>
    </w:p>
    <w:p>
      <w:pPr>
        <w:spacing w:after="0" w:line="51" w:lineRule="exact"/>
        <w:rPr>
          <w:rFonts w:ascii="Arial" w:cs="Arial" w:eastAsia="Arial" w:hAnsi="Arial"/>
          <w:sz w:val="17"/>
          <w:szCs w:val="17"/>
          <w:color w:val="auto"/>
        </w:rPr>
      </w:pPr>
    </w:p>
    <w:p>
      <w:pPr>
        <w:ind w:left="900" w:hanging="44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interest payable on debt, if any, incurred to finance our investments;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offerings of our common stock and other securities;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investment advisory and management fees;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fees payable to third parties, including agents, consultants or other advisers, relating to, or associated with, evaluating and making investments;</w:t>
      </w:r>
    </w:p>
    <w:p>
      <w:pPr>
        <w:spacing w:after="0" w:line="153" w:lineRule="exact"/>
        <w:rPr>
          <w:rFonts w:ascii="Arial" w:cs="Arial" w:eastAsia="Arial" w:hAnsi="Arial"/>
          <w:sz w:val="16"/>
          <w:szCs w:val="16"/>
          <w:color w:val="auto"/>
        </w:rPr>
      </w:pPr>
    </w:p>
    <w:p>
      <w:pPr>
        <w:ind w:left="900" w:hanging="44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transfer agent and custodial fees;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federal and state registration fees;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all costs of registration and listing our common stock on any securities exchange;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federal, state and local taxes;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independent directors’ fees and expenses;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costs of preparing and filing reports or other documents required by governmental bodies (including the SEC and the SBA);</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costs of any reports, proxy statements or other notices to common stockholders including printing costs;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fidelity bond, directors and officers errors and omissions liability insurance, and any other insurance premiums;</w:t>
      </w:r>
    </w:p>
    <w:p>
      <w:pPr>
        <w:spacing w:after="0" w:line="130" w:lineRule="exact"/>
        <w:rPr>
          <w:rFonts w:ascii="Arial" w:cs="Arial" w:eastAsia="Arial" w:hAnsi="Arial"/>
          <w:sz w:val="18"/>
          <w:szCs w:val="18"/>
          <w:color w:val="auto"/>
        </w:rPr>
      </w:pPr>
    </w:p>
    <w:p>
      <w:pPr>
        <w:ind w:left="900" w:right="60" w:hanging="446"/>
        <w:spacing w:after="0" w:line="277"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direct costs and expenses of administration, including printing, mailing, long distance telephone, copying, secretarial and other staff, independent auditors and outside legal costs; and</w:t>
      </w:r>
    </w:p>
    <w:p>
      <w:pPr>
        <w:spacing w:after="0" w:line="75" w:lineRule="exact"/>
        <w:rPr>
          <w:rFonts w:ascii="Arial" w:cs="Arial" w:eastAsia="Arial" w:hAnsi="Arial"/>
          <w:sz w:val="18"/>
          <w:szCs w:val="18"/>
          <w:color w:val="auto"/>
        </w:rPr>
      </w:pPr>
    </w:p>
    <w:p>
      <w:pPr>
        <w:ind w:left="900" w:right="500" w:hanging="446"/>
        <w:spacing w:after="0" w:line="259"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administration fees and all other expenses incurred by us or, if applicable, the administrator in connection with administering our business (including payments under the administration agreement based upon our allocable portion of the administrator’s overhead in performing its obligations under an administration agreement, including rent and the allocable portion of the cost of our officers and their respective staffs (including travel expenses)).</w:t>
      </w:r>
    </w:p>
    <w:p>
      <w:pPr>
        <w:spacing w:after="0" w:line="187" w:lineRule="exact"/>
        <w:rPr>
          <w:sz w:val="20"/>
          <w:szCs w:val="20"/>
          <w:color w:val="auto"/>
        </w:rPr>
      </w:pPr>
    </w:p>
    <w:p>
      <w:pPr>
        <w:ind w:right="80" w:firstLine="456"/>
        <w:spacing w:after="0" w:line="279" w:lineRule="auto"/>
        <w:rPr>
          <w:sz w:val="20"/>
          <w:szCs w:val="20"/>
          <w:color w:val="auto"/>
        </w:rPr>
      </w:pPr>
      <w:r>
        <w:rPr>
          <w:rFonts w:ascii="Arial" w:cs="Arial" w:eastAsia="Arial" w:hAnsi="Arial"/>
          <w:sz w:val="17"/>
          <w:szCs w:val="17"/>
          <w:color w:val="auto"/>
        </w:rPr>
        <w:t>Pursuant to the investment advisory and management agreement that we had with GSCP (NJ), L.P., our former investment adviser and administrator, we had agreed to pay GSCP (NJ), L.P. as investment adviser a quarterly base management fee of 1.75% of the average value of our total assets (other than cash or cash equivalents but including assets purchased with borrowed funds) at the end of the two most recently completed fiscal quarters, and appropriately adjusted for any share issuances or repurchases during the applicable fiscal quarter, and an incentive fee.</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45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incentive fee had two parts:</w:t>
      </w:r>
    </w:p>
    <w:p>
      <w:pPr>
        <w:spacing w:after="0" w:line="131" w:lineRule="exact"/>
        <w:rPr>
          <w:sz w:val="20"/>
          <w:szCs w:val="20"/>
          <w:color w:val="auto"/>
        </w:rPr>
      </w:pPr>
    </w:p>
    <w:p>
      <w:pPr>
        <w:ind w:left="900" w:hanging="446"/>
        <w:spacing w:after="0" w:line="255"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fee, payable quarterly in arrears, equal to 20.0% of our pre-incentive fee net investment income, expressed as a rate of return on the value of the net assets at the end of the immediately preceding quarter, that exceeded a 1.875% quarterly (7.5% annualized) hurdle rate measured as of the end of each fiscal quarter. Under this provision, in any fiscal quarter, our investment adviser received no incentive fee unless our pre-incentive fee net investment income exceeded the hurdle rate of 1.875%. Amounts received as a return of capital were not included in calculating this portion of the incentive fee. Since the hurdle rate was based on net assets, a return of less than the hurdle rate on total assets could still have resulted in an incentive fee.</w:t>
      </w:r>
    </w:p>
    <w:p>
      <w:pPr>
        <w:spacing w:after="0" w:line="98" w:lineRule="exact"/>
        <w:rPr>
          <w:rFonts w:ascii="Arial" w:cs="Arial" w:eastAsia="Arial" w:hAnsi="Arial"/>
          <w:sz w:val="18"/>
          <w:szCs w:val="18"/>
          <w:color w:val="auto"/>
        </w:rPr>
      </w:pPr>
    </w:p>
    <w:p>
      <w:pPr>
        <w:ind w:left="900" w:right="300" w:hanging="446"/>
        <w:spacing w:after="0" w:line="264"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fee, payable at the end of each fiscal year, equal to 20.0% of our net realized capital gains, if any, computed net of all realized capital losses and unrealized capital depreciation, in each case on a cumulative basis, less the aggregate amount of capital gains incentive fees paid to the investment adviser through such date.</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We deferred cash payment of any incentive fee otherwise earned by our former investment adviser if, during the then most recent four full fiscal</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quarters ending on or prior to the date such payment was to be made, the sum of (a) our aggregate distributions to our stockholders and (b) our change in net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assets (defined as total assets less liabilities) (before taking into account any incentive fees payable during that period) was less than 7.5% of our net assets at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the beginning of such period. These calculations were appropriately pro-rated for the first three fiscal quarters of operation and adjusted for any share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issuances or repurchases during the applicable period. Such incentive fee would become payable on the next date on which such test had been satisfied for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most recent four full fiscal quarters or upon certain terminations of the investment advisory and management agreement. We commenced deferring cash</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payment of incentive fees during the quarterly period ended August 31, 2007, and continued to defer such payments through the quarterly period ended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May 31, 2010. As of July 30, 2010, the date on which GSCP (NJ), L.P. ceased to be our investment adviser and administrator, we owed GSCP (NJ), L.P.</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$2.9 million in fees for services previously provided to us; of which $0.3 million has been paid by us. GSCP (NJ), L.P. agreed to waive payment by us of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remaining $2.6 million in connection with the consummation of the stock purchase transaction with Saratoga Investment Advisors and certain of its affiliates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described elsewhere in this Quarterly Report.</w:t>
      </w:r>
    </w:p>
    <w:p>
      <w:pPr>
        <w:spacing w:after="0" w:line="211" w:lineRule="exact"/>
        <w:rPr>
          <w:sz w:val="20"/>
          <w:szCs w:val="20"/>
          <w:color w:val="auto"/>
        </w:rPr>
      </w:pPr>
    </w:p>
    <w:p>
      <w:pPr>
        <w:jc w:val="both"/>
        <w:ind w:right="80" w:firstLine="456"/>
        <w:spacing w:after="0" w:line="264" w:lineRule="auto"/>
        <w:rPr>
          <w:sz w:val="20"/>
          <w:szCs w:val="20"/>
          <w:color w:val="auto"/>
        </w:rPr>
      </w:pPr>
      <w:r>
        <w:rPr>
          <w:rFonts w:ascii="Arial" w:cs="Arial" w:eastAsia="Arial" w:hAnsi="Arial"/>
          <w:sz w:val="18"/>
          <w:szCs w:val="18"/>
          <w:color w:val="auto"/>
        </w:rPr>
        <w:t>The terms of the investment advisory and management agreement with Saratoga Investment Advisors, our current investment adviser, are substantially similar to the terms of the investment advisory and management agreement we had entered into with GSCP (NJ), L.P., our former investment adviser, except for the following material distinctions in the fee terms:</w:t>
      </w:r>
    </w:p>
    <w:p>
      <w:pPr>
        <w:spacing w:after="0" w:line="87" w:lineRule="exact"/>
        <w:rPr>
          <w:sz w:val="20"/>
          <w:szCs w:val="20"/>
          <w:color w:val="auto"/>
        </w:rPr>
      </w:pPr>
    </w:p>
    <w:p>
      <w:pPr>
        <w:ind w:left="900" w:right="100" w:hanging="446"/>
        <w:spacing w:after="0" w:line="273" w:lineRule="auto"/>
        <w:tabs>
          <w:tab w:leader="none" w:pos="9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capital gains portion of the incentive fee was reset with respect to gains and losses from May 31, 2010, and therefore losses and gains incurred prior to such time will not be taken into account when calculating the capital gains fee payable to Saratoga Investment Advisors and, as a result, Saratoga Investment Advisors will be entitled to 20.0% of net gains that arise after May 31, 2010. In addition, the cost basis for computing realized gains and losses on investments held by us as of May 31, 2010 equal the fair value of such investment as of such date. Under the investment advisory and management agreement with our former investment adviser, GSCP (NJ), L.P., the capital gains fee was calculated from March 21, 2007, and the gains were substantially outweighed by losses.</w:t>
      </w:r>
    </w:p>
    <w:p>
      <w:pPr>
        <w:spacing w:after="0" w:line="83" w:lineRule="exact"/>
        <w:rPr>
          <w:rFonts w:ascii="Arial" w:cs="Arial" w:eastAsia="Arial" w:hAnsi="Arial"/>
          <w:sz w:val="17"/>
          <w:szCs w:val="17"/>
          <w:color w:val="auto"/>
        </w:rPr>
      </w:pPr>
    </w:p>
    <w:p>
      <w:pPr>
        <w:ind w:left="900" w:right="140" w:hanging="446"/>
        <w:spacing w:after="0" w:line="255"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Under the “catch up” provision, 100.0% of our pre-incentive fee net investment income with respect to that portion of such pre-incentive fee net investment income that exceeds 1.875% (7.5% annualized) but is less than or equal to 2.344% in any fiscal quarter is payable to Saratoga Investment Advisors. This will enable Saratoga Investment Advisors to receive 20.0% of all net investment income as such amount approaches 2.344% in any quarter, and Saratoga Investment Advisors will receive 20.0% of any additional net investment income. Under the investment advisory and management agreement with our former investment adviser, GSCP (NJ), L.P. only received 20.0% of the excess net investment income over 1.875%.</w:t>
      </w:r>
    </w:p>
    <w:p>
      <w:pPr>
        <w:spacing w:after="0" w:line="98" w:lineRule="exact"/>
        <w:rPr>
          <w:rFonts w:ascii="Arial" w:cs="Arial" w:eastAsia="Arial" w:hAnsi="Arial"/>
          <w:sz w:val="18"/>
          <w:szCs w:val="18"/>
          <w:color w:val="auto"/>
        </w:rPr>
      </w:pPr>
    </w:p>
    <w:p>
      <w:pPr>
        <w:ind w:left="900" w:right="200" w:hanging="446"/>
        <w:spacing w:after="0" w:line="277"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will no longer have deferral rights regarding incentive fees in the event that the distributions to stockholders and change in net assets is less than 7.5% for the preceding four fiscal quarters.</w:t>
      </w:r>
    </w:p>
    <w:p>
      <w:pPr>
        <w:spacing w:after="0" w:line="170"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To the extent that any of our leveraged loans are denominated in a currency other than U.S. dollars, we may enter into currency hedging contracts to reduce our exposure to fluctuations in currency exchange rates. We may also enter into interest rate hedging agreements. Such hedging activities, which will be subject to compliance with applicable legal requirements, may include the use of interest rate caps, futures, options and forward contracts. Costs incurred in entering into or settling such contracts will be borne by us.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121" w:lineRule="exact"/>
        <w:rPr>
          <w:sz w:val="20"/>
          <w:szCs w:val="20"/>
          <w:color w:val="auto"/>
        </w:rPr>
      </w:pPr>
    </w:p>
    <w:p>
      <w:pPr>
        <w:ind w:right="120" w:firstLine="456"/>
        <w:spacing w:after="0" w:line="257" w:lineRule="auto"/>
        <w:rPr>
          <w:sz w:val="20"/>
          <w:szCs w:val="20"/>
          <w:color w:val="auto"/>
        </w:rPr>
      </w:pPr>
      <w:r>
        <w:rPr>
          <w:rFonts w:ascii="Arial" w:cs="Arial" w:eastAsia="Arial" w:hAnsi="Arial"/>
          <w:sz w:val="18"/>
          <w:szCs w:val="18"/>
          <w:color w:val="auto"/>
        </w:rPr>
        <w:t xml:space="preserve">In August 2015, the FASB issued Accounting Standards Update (“ASU”) 2015-15, </w:t>
      </w:r>
      <w:r>
        <w:rPr>
          <w:rFonts w:ascii="Arial" w:cs="Arial" w:eastAsia="Arial" w:hAnsi="Arial"/>
          <w:sz w:val="18"/>
          <w:szCs w:val="18"/>
          <w:i w:val="1"/>
          <w:iCs w:val="1"/>
          <w:color w:val="auto"/>
        </w:rPr>
        <w:t>Interest—Imputation of Interest (Subtopic 835-30): Presentation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and Subsequent Measurement of Debt Issuance Costs Associated with Line-of-Credit Arrangements </w:t>
      </w:r>
      <w:r>
        <w:rPr>
          <w:rFonts w:ascii="Arial" w:cs="Arial" w:eastAsia="Arial" w:hAnsi="Arial"/>
          <w:sz w:val="18"/>
          <w:szCs w:val="18"/>
          <w:color w:val="auto"/>
        </w:rPr>
        <w:t>(“ASU 2015-15”). ASU 2015-15 updates the accounting</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guidance included in ASU 2015-03, </w:t>
      </w:r>
      <w:r>
        <w:rPr>
          <w:rFonts w:ascii="Arial" w:cs="Arial" w:eastAsia="Arial" w:hAnsi="Arial"/>
          <w:sz w:val="18"/>
          <w:szCs w:val="18"/>
          <w:i w:val="1"/>
          <w:iCs w:val="1"/>
          <w:color w:val="auto"/>
        </w:rPr>
        <w:t>Interest—Imputation of Interest (Subtopic 835-30): Simplifying the Presentation of Debt Issuance Costs.</w:t>
      </w:r>
      <w:r>
        <w:rPr>
          <w:rFonts w:ascii="Arial" w:cs="Arial" w:eastAsia="Arial" w:hAnsi="Arial"/>
          <w:sz w:val="18"/>
          <w:szCs w:val="18"/>
          <w:color w:val="auto"/>
        </w:rPr>
        <w:t xml:space="preserve"> The updated accounting guidance provided by ASU 2015-15 was the result of the Emerging Issues Task Force meeting, held on June 18, 2015, at which the SEC staff stated that the SEC would not object to an</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entity deferring and presenting costs related to revolving debt arrangements as an asset. As the Company previously adopted the provisions of ASU 2015-03 and reclassified all deferred debt financing costs from within total assets to within total liabilities as a contra-liability effective as of February 28, 2015, it has chosen not to avail itself of the updated accounting treatment provided by ASU 2015-15 and continues to include all deferred financing costs as a contra-liability within total liabilities.</w:t>
      </w:r>
    </w:p>
    <w:p>
      <w:pPr>
        <w:spacing w:after="0" w:line="187"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 xml:space="preserve">In February 2015, the FASB issued ASU 2015-02, </w:t>
      </w:r>
      <w:r>
        <w:rPr>
          <w:rFonts w:ascii="Arial" w:cs="Arial" w:eastAsia="Arial" w:hAnsi="Arial"/>
          <w:sz w:val="18"/>
          <w:szCs w:val="18"/>
          <w:i w:val="1"/>
          <w:iCs w:val="1"/>
          <w:color w:val="auto"/>
        </w:rPr>
        <w:t>Consolidation (ASC Topic 810): Amendments to the Consolidation Analysis</w:t>
      </w:r>
      <w:r>
        <w:rPr>
          <w:rFonts w:ascii="Arial" w:cs="Arial" w:eastAsia="Arial" w:hAnsi="Arial"/>
          <w:sz w:val="18"/>
          <w:szCs w:val="18"/>
          <w:color w:val="auto"/>
        </w:rPr>
        <w:t xml:space="preserve"> (“ASU 2015-02”). ASU 2015-02 significantly changes the consolidation analysis required under GAAP and ends the deferral granted to investment companies from applying the variable interest entity guidance. ASU 2015-02 is effective for interim and annual reporting periods in fiscal years that begin after December 15, 2015 and early adoption is permitted. Management is currently evaluating the impact these changes will have on the Company’s consolidated financial statements and disclosures.</w:t>
      </w:r>
    </w:p>
    <w:p>
      <w:pPr>
        <w:spacing w:after="0" w:line="188"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In August 2014, the FASB issued new accounting guidance that requires management to assess an entity’s ability to continue as a going concern by incorporating and expanding upon certain principles that are currently in U.S. auditing standards. The amendments provide a definition of the term “substantial doubt” and include principles for considering the mitigating effect of management’s plans. The amendments also require an evaluation every reporting period, including interim periods for a period of one year after the date that the financial statements are issued (or available to be issued), and certain disclosures when substantial doubt is alleviated or not alleviated. The amendments in this update are effective for reporting periods ending after December 15, 2016. Management is currently evaluating the impact of adopting this new accounting guidance update on the Company’s consolidated financial statements.</w:t>
      </w:r>
    </w:p>
    <w:p>
      <w:pPr>
        <w:spacing w:after="0" w:line="165" w:lineRule="exact"/>
        <w:rPr>
          <w:sz w:val="20"/>
          <w:szCs w:val="20"/>
          <w:color w:val="auto"/>
        </w:rPr>
      </w:pPr>
    </w:p>
    <w:p>
      <w:pPr>
        <w:ind w:right="240" w:firstLine="456"/>
        <w:spacing w:after="0" w:line="276" w:lineRule="auto"/>
        <w:rPr>
          <w:sz w:val="20"/>
          <w:szCs w:val="20"/>
          <w:color w:val="auto"/>
        </w:rPr>
      </w:pPr>
      <w:r>
        <w:rPr>
          <w:rFonts w:ascii="Arial" w:cs="Arial" w:eastAsia="Arial" w:hAnsi="Arial"/>
          <w:sz w:val="17"/>
          <w:szCs w:val="17"/>
          <w:color w:val="auto"/>
        </w:rPr>
        <w:t xml:space="preserve">In May 2014, the FASB issued ASU 2014-09, </w:t>
      </w:r>
      <w:r>
        <w:rPr>
          <w:rFonts w:ascii="Arial" w:cs="Arial" w:eastAsia="Arial" w:hAnsi="Arial"/>
          <w:sz w:val="17"/>
          <w:szCs w:val="17"/>
          <w:i w:val="1"/>
          <w:iCs w:val="1"/>
          <w:color w:val="auto"/>
        </w:rPr>
        <w:t>Revenue from Contracts with Customers (Topic 606)</w:t>
      </w:r>
      <w:r>
        <w:rPr>
          <w:rFonts w:ascii="Arial" w:cs="Arial" w:eastAsia="Arial" w:hAnsi="Arial"/>
          <w:sz w:val="17"/>
          <w:szCs w:val="17"/>
          <w:color w:val="auto"/>
        </w:rPr>
        <w:t>, which supersedes the revenue recognition requirements in Revenue Recognition (Topic 605). Under the new guidance, an entity should recognize revenue to depict the transfer of promised goods or services to customers in an amount that reflects the consideration to which the entity expects to be entitled in exchange for those goods or services. This guidance is effective for annual and interim reporting periods beginning after December 15, 2016, and early application is not permitted. The Company is currently evaluating the impact this ASU will have on its consolidated financial statements.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Portfolio and investment activity</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Corporate Debt Portfolio Overview</w:t>
      </w:r>
    </w:p>
    <w:p>
      <w:pPr>
        <w:spacing w:after="0" w:line="23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8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At November 30,</w:t>
            </w:r>
          </w:p>
        </w:tc>
        <w:tc>
          <w:tcPr>
            <w:tcW w:w="500" w:type="dxa"/>
            <w:vAlign w:val="bottom"/>
          </w:tcPr>
          <w:p>
            <w:pPr>
              <w:spacing w:after="0"/>
              <w:rPr>
                <w:sz w:val="14"/>
                <w:szCs w:val="14"/>
                <w:color w:val="auto"/>
              </w:rPr>
            </w:pPr>
          </w:p>
        </w:tc>
        <w:tc>
          <w:tcPr>
            <w:tcW w:w="12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6"/>
              </w:rPr>
              <w:t>At February 28,</w:t>
            </w:r>
          </w:p>
        </w:tc>
      </w:tr>
      <w:tr>
        <w:trPr>
          <w:trHeight w:val="171"/>
        </w:trPr>
        <w:tc>
          <w:tcPr>
            <w:tcW w:w="48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33"/>
              <w:spacing w:after="0"/>
              <w:rPr>
                <w:sz w:val="20"/>
                <w:szCs w:val="20"/>
                <w:color w:val="auto"/>
              </w:rPr>
            </w:pPr>
            <w:r>
              <w:rPr>
                <w:rFonts w:ascii="Arial" w:cs="Arial" w:eastAsia="Arial" w:hAnsi="Arial"/>
                <w:sz w:val="14"/>
                <w:szCs w:val="14"/>
                <w:b w:val="1"/>
                <w:bCs w:val="1"/>
                <w:color w:val="auto"/>
                <w:w w:val="89"/>
              </w:rPr>
              <w:t>2015</w:t>
            </w:r>
          </w:p>
        </w:tc>
        <w:tc>
          <w:tcPr>
            <w:tcW w:w="5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13"/>
              <w:spacing w:after="0"/>
              <w:rPr>
                <w:sz w:val="20"/>
                <w:szCs w:val="20"/>
                <w:color w:val="auto"/>
              </w:rPr>
            </w:pPr>
            <w:r>
              <w:rPr>
                <w:rFonts w:ascii="Arial" w:cs="Arial" w:eastAsia="Arial" w:hAnsi="Arial"/>
                <w:sz w:val="14"/>
                <w:szCs w:val="14"/>
                <w:b w:val="1"/>
                <w:bCs w:val="1"/>
                <w:color w:val="auto"/>
                <w:w w:val="96"/>
              </w:rPr>
              <w:t>2015</w:t>
            </w:r>
          </w:p>
        </w:tc>
        <w:tc>
          <w:tcPr>
            <w:tcW w:w="100" w:type="dxa"/>
            <w:vAlign w:val="bottom"/>
          </w:tcPr>
          <w:p>
            <w:pPr>
              <w:spacing w:after="0"/>
              <w:rPr>
                <w:sz w:val="14"/>
                <w:szCs w:val="14"/>
                <w:color w:val="auto"/>
              </w:rPr>
            </w:pPr>
          </w:p>
        </w:tc>
      </w:tr>
      <w:tr>
        <w:trPr>
          <w:trHeight w:val="142"/>
        </w:trPr>
        <w:tc>
          <w:tcPr>
            <w:tcW w:w="48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jc w:val="center"/>
              <w:ind w:right="33"/>
              <w:spacing w:after="0" w:line="142" w:lineRule="exact"/>
              <w:rPr>
                <w:sz w:val="20"/>
                <w:szCs w:val="20"/>
                <w:color w:val="auto"/>
              </w:rPr>
            </w:pPr>
            <w:r>
              <w:rPr>
                <w:rFonts w:ascii="Arial" w:cs="Arial" w:eastAsia="Arial" w:hAnsi="Arial"/>
                <w:sz w:val="14"/>
                <w:szCs w:val="14"/>
                <w:b w:val="1"/>
                <w:bCs w:val="1"/>
                <w:color w:val="auto"/>
                <w:w w:val="93"/>
              </w:rPr>
              <w:t>($ in millions)</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jc w:val="center"/>
              <w:ind w:right="13"/>
              <w:spacing w:after="0" w:line="142" w:lineRule="exact"/>
              <w:rPr>
                <w:sz w:val="20"/>
                <w:szCs w:val="20"/>
                <w:color w:val="auto"/>
              </w:rPr>
            </w:pPr>
            <w:r>
              <w:rPr>
                <w:rFonts w:ascii="Arial" w:cs="Arial" w:eastAsia="Arial" w:hAnsi="Arial"/>
                <w:sz w:val="14"/>
                <w:szCs w:val="14"/>
                <w:b w:val="1"/>
                <w:bCs w:val="1"/>
                <w:color w:val="auto"/>
                <w:w w:val="95"/>
              </w:rPr>
              <w:t>($ in millions)</w:t>
            </w:r>
          </w:p>
        </w:tc>
        <w:tc>
          <w:tcPr>
            <w:tcW w:w="100" w:type="dxa"/>
            <w:vAlign w:val="bottom"/>
          </w:tcPr>
          <w:p>
            <w:pPr>
              <w:spacing w:after="0"/>
              <w:rPr>
                <w:sz w:val="12"/>
                <w:szCs w:val="12"/>
                <w:color w:val="auto"/>
              </w:rPr>
            </w:pPr>
          </w:p>
        </w:tc>
      </w:tr>
      <w:tr>
        <w:trPr>
          <w:trHeight w:val="216"/>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Number of investments(1)</w:t>
            </w: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00" w:type="dxa"/>
            <w:vAlign w:val="bottom"/>
            <w:shd w:val="clear" w:color="auto" w:fill="CCEEFF"/>
          </w:tcPr>
          <w:p>
            <w:pPr>
              <w:spacing w:after="0"/>
              <w:rPr>
                <w:sz w:val="18"/>
                <w:szCs w:val="18"/>
                <w:color w:val="auto"/>
              </w:rPr>
            </w:pP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Number of portfolio companies(1)</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31</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18"/>
                <w:szCs w:val="18"/>
                <w:color w:val="auto"/>
              </w:rPr>
            </w:pPr>
          </w:p>
        </w:tc>
      </w:tr>
      <w:tr>
        <w:trPr>
          <w:trHeight w:val="216"/>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Average investment size(1)</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18"/>
                <w:szCs w:val="18"/>
                <w:color w:val="auto"/>
              </w:rPr>
            </w:pP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Weighted average maturity(1)</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3.5yrs</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3.7yrs</w:t>
            </w:r>
          </w:p>
        </w:tc>
      </w:tr>
      <w:tr>
        <w:trPr>
          <w:trHeight w:val="216"/>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Number of industries(1)</w:t>
            </w: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8"/>
                <w:szCs w:val="18"/>
                <w:color w:val="auto"/>
              </w:rPr>
            </w:pP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Average investment per portfolio company(1)</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7.3</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18"/>
                <w:szCs w:val="18"/>
                <w:color w:val="auto"/>
              </w:rPr>
            </w:pPr>
          </w:p>
        </w:tc>
      </w:tr>
      <w:tr>
        <w:trPr>
          <w:trHeight w:val="216"/>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Non-performing or delinquent investments(1)</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100" w:type="dxa"/>
            <w:vAlign w:val="bottom"/>
            <w:shd w:val="clear" w:color="auto" w:fill="CCEEFF"/>
          </w:tcPr>
          <w:p>
            <w:pPr>
              <w:spacing w:after="0"/>
              <w:rPr>
                <w:sz w:val="18"/>
                <w:szCs w:val="18"/>
                <w:color w:val="auto"/>
              </w:rPr>
            </w:pP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Fixed rate debt (% of interest bearing portfolio)(2)</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w w:val="97"/>
              </w:rPr>
              <w:t>94.0(46.1)%</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w w:val="99"/>
              </w:rPr>
              <w:t>82.5(40.6)%</w:t>
            </w:r>
          </w:p>
        </w:tc>
        <w:tc>
          <w:tcPr>
            <w:tcW w:w="100" w:type="dxa"/>
            <w:vAlign w:val="bottom"/>
          </w:tcPr>
          <w:p>
            <w:pPr>
              <w:spacing w:after="0"/>
              <w:rPr>
                <w:sz w:val="18"/>
                <w:szCs w:val="18"/>
                <w:color w:val="auto"/>
              </w:rPr>
            </w:pPr>
          </w:p>
        </w:tc>
      </w:tr>
      <w:tr>
        <w:trPr>
          <w:trHeight w:val="216"/>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current coupon(2)</w:t>
            </w: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100" w:type="dxa"/>
            <w:vAlign w:val="bottom"/>
            <w:shd w:val="clear" w:color="auto" w:fill="CCEEFF"/>
          </w:tcPr>
          <w:p>
            <w:pPr>
              <w:spacing w:after="0"/>
              <w:rPr>
                <w:sz w:val="18"/>
                <w:szCs w:val="18"/>
                <w:color w:val="auto"/>
              </w:rPr>
            </w:pP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Floating rate debt (% of interest bearing portfolio)(2)</w:t>
            </w:r>
          </w:p>
        </w:tc>
        <w:tc>
          <w:tcPr>
            <w:tcW w:w="2140" w:type="dxa"/>
            <w:vAlign w:val="bottom"/>
            <w:gridSpan w:val="3"/>
          </w:tcPr>
          <w:p>
            <w:pPr>
              <w:jc w:val="right"/>
              <w:spacing w:after="0"/>
              <w:rPr>
                <w:sz w:val="20"/>
                <w:szCs w:val="20"/>
                <w:color w:val="auto"/>
              </w:rPr>
            </w:pPr>
            <w:r>
              <w:rPr>
                <w:rFonts w:ascii="Arial" w:cs="Arial" w:eastAsia="Arial" w:hAnsi="Arial"/>
                <w:sz w:val="18"/>
                <w:szCs w:val="18"/>
                <w:color w:val="auto"/>
              </w:rPr>
              <w:t>$109.8(53.9)%</w:t>
            </w:r>
          </w:p>
        </w:tc>
        <w:tc>
          <w:tcPr>
            <w:tcW w:w="1600" w:type="dxa"/>
            <w:vAlign w:val="bottom"/>
            <w:gridSpan w:val="3"/>
          </w:tcPr>
          <w:p>
            <w:pPr>
              <w:jc w:val="right"/>
              <w:spacing w:after="0"/>
              <w:rPr>
                <w:sz w:val="20"/>
                <w:szCs w:val="20"/>
                <w:color w:val="auto"/>
              </w:rPr>
            </w:pPr>
            <w:r>
              <w:rPr>
                <w:rFonts w:ascii="Arial" w:cs="Arial" w:eastAsia="Arial" w:hAnsi="Arial"/>
                <w:sz w:val="18"/>
                <w:szCs w:val="18"/>
                <w:color w:val="auto"/>
              </w:rPr>
              <w:t>$120.8(59.4)%</w:t>
            </w:r>
          </w:p>
        </w:tc>
        <w:tc>
          <w:tcPr>
            <w:tcW w:w="100" w:type="dxa"/>
            <w:vAlign w:val="bottom"/>
          </w:tcPr>
          <w:p>
            <w:pPr>
              <w:spacing w:after="0"/>
              <w:rPr>
                <w:sz w:val="18"/>
                <w:szCs w:val="18"/>
                <w:color w:val="auto"/>
              </w:rPr>
            </w:pPr>
          </w:p>
        </w:tc>
      </w:tr>
      <w:tr>
        <w:trPr>
          <w:trHeight w:val="216"/>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current spread over LIBOR(2)</w:t>
            </w: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00" w:type="dxa"/>
            <w:vAlign w:val="bottom"/>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hanging="452"/>
        <w:spacing w:after="0"/>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Excludes our investment in the subordinated notes of Saratoga CLO.</w:t>
      </w:r>
    </w:p>
    <w:p>
      <w:pPr>
        <w:spacing w:after="0" w:line="23" w:lineRule="exact"/>
        <w:rPr>
          <w:rFonts w:ascii="Arial" w:cs="Arial" w:eastAsia="Arial" w:hAnsi="Arial"/>
          <w:sz w:val="18"/>
          <w:szCs w:val="18"/>
          <w:color w:val="auto"/>
        </w:rPr>
      </w:pPr>
    </w:p>
    <w:p>
      <w:pPr>
        <w:ind w:left="460" w:hanging="452"/>
        <w:spacing w:after="0"/>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Excludes our investment in the subordinated notes of Saratoga CLO and investments in common stocks.</w:t>
      </w:r>
    </w:p>
    <w:p>
      <w:pPr>
        <w:spacing w:after="0" w:line="211"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During the three months ended November 30, 2015, we made $15.3 million investments in new or existing portfolio companies and had $27.9 million in aggregate amount of exits and repayments resulting in net repayments of $12.6 million for the period. During the three months ended November 30, 2014, we made $30.6 million investments in new or existing portfolio companies and had $26.8 million in aggregate amount of exits and repayments resulting in net investments of $3.8 million for the period.</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45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During the nine months ended November 30, 2015, we made $57.4 million investments in new or existing portfolio companies and had $62.7 million in aggregate amount of exits and repayments resulting in net repayments of $5.3 million for the period. During the nine months ended November 30, 2014, we made $84.0 million investments in new or existing portfolio companies and had $51.2 million in aggregate amount of exits and repayments resulting in net investments of $32.8 million for the period.</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portfolio composition at November 30, 2015 and February 28, 2015 at fair value was as follows: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Portfolio composition</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720" w:type="dxa"/>
            <w:vAlign w:val="bottom"/>
          </w:tcPr>
          <w:p>
            <w:pPr>
              <w:spacing w:after="0"/>
              <w:rPr>
                <w:sz w:val="14"/>
                <w:szCs w:val="14"/>
                <w:color w:val="auto"/>
              </w:rPr>
            </w:pPr>
          </w:p>
        </w:tc>
        <w:tc>
          <w:tcPr>
            <w:tcW w:w="2600" w:type="dxa"/>
            <w:vAlign w:val="bottom"/>
            <w:gridSpan w:val="4"/>
          </w:tcPr>
          <w:p>
            <w:pPr>
              <w:jc w:val="right"/>
              <w:ind w:right="960"/>
              <w:spacing w:after="0"/>
              <w:rPr>
                <w:sz w:val="20"/>
                <w:szCs w:val="20"/>
                <w:color w:val="auto"/>
              </w:rPr>
            </w:pPr>
            <w:r>
              <w:rPr>
                <w:rFonts w:ascii="Arial" w:cs="Arial" w:eastAsia="Arial" w:hAnsi="Arial"/>
                <w:sz w:val="14"/>
                <w:szCs w:val="14"/>
                <w:b w:val="1"/>
                <w:bCs w:val="1"/>
                <w:color w:val="auto"/>
              </w:rPr>
              <w:t>At November 30, 2015</w:t>
            </w:r>
          </w:p>
        </w:tc>
        <w:tc>
          <w:tcPr>
            <w:tcW w:w="2160" w:type="dxa"/>
            <w:vAlign w:val="bottom"/>
            <w:gridSpan w:val="4"/>
          </w:tcPr>
          <w:p>
            <w:pPr>
              <w:jc w:val="right"/>
              <w:ind w:right="520"/>
              <w:spacing w:after="0"/>
              <w:rPr>
                <w:sz w:val="20"/>
                <w:szCs w:val="20"/>
                <w:color w:val="auto"/>
              </w:rPr>
            </w:pPr>
            <w:r>
              <w:rPr>
                <w:rFonts w:ascii="Arial" w:cs="Arial" w:eastAsia="Arial" w:hAnsi="Arial"/>
                <w:sz w:val="14"/>
                <w:szCs w:val="14"/>
                <w:b w:val="1"/>
                <w:bCs w:val="1"/>
                <w:color w:val="auto"/>
              </w:rPr>
              <w:t>At February 28, 2015</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720" w:type="dxa"/>
            <w:vAlign w:val="bottom"/>
          </w:tcPr>
          <w:p>
            <w:pPr>
              <w:spacing w:after="0"/>
              <w:rPr>
                <w:sz w:val="10"/>
                <w:szCs w:val="10"/>
                <w:color w:val="auto"/>
              </w:rPr>
            </w:pPr>
          </w:p>
        </w:tc>
        <w:tc>
          <w:tcPr>
            <w:tcW w:w="1340" w:type="dxa"/>
            <w:vAlign w:val="bottom"/>
            <w:tcBorders>
              <w:top w:val="single" w:sz="8" w:color="auto"/>
            </w:tcBorders>
            <w:gridSpan w:val="2"/>
            <w:vMerge w:val="restart"/>
          </w:tcPr>
          <w:p>
            <w:pPr>
              <w:jc w:val="center"/>
              <w:ind w:right="660"/>
              <w:spacing w:after="0"/>
              <w:rPr>
                <w:sz w:val="20"/>
                <w:szCs w:val="20"/>
                <w:color w:val="auto"/>
              </w:rPr>
            </w:pPr>
            <w:r>
              <w:rPr>
                <w:rFonts w:ascii="Arial" w:cs="Arial" w:eastAsia="Arial" w:hAnsi="Arial"/>
                <w:sz w:val="14"/>
                <w:szCs w:val="14"/>
                <w:b w:val="1"/>
                <w:bCs w:val="1"/>
                <w:color w:val="auto"/>
                <w:w w:val="90"/>
              </w:rPr>
              <w:t>Percentage</w:t>
            </w:r>
          </w:p>
        </w:tc>
        <w:tc>
          <w:tcPr>
            <w:tcW w:w="60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Weighted</w:t>
            </w:r>
          </w:p>
        </w:tc>
        <w:tc>
          <w:tcPr>
            <w:tcW w:w="660" w:type="dxa"/>
            <w:vAlign w:val="bottom"/>
          </w:tcPr>
          <w:p>
            <w:pPr>
              <w:spacing w:after="0"/>
              <w:rPr>
                <w:sz w:val="10"/>
                <w:szCs w:val="10"/>
                <w:color w:val="auto"/>
              </w:rPr>
            </w:pPr>
          </w:p>
        </w:tc>
        <w:tc>
          <w:tcPr>
            <w:tcW w:w="1360" w:type="dxa"/>
            <w:vAlign w:val="bottom"/>
            <w:tcBorders>
              <w:top w:val="single" w:sz="8" w:color="auto"/>
            </w:tcBorders>
            <w:gridSpan w:val="2"/>
            <w:vMerge w:val="restart"/>
          </w:tcPr>
          <w:p>
            <w:pPr>
              <w:jc w:val="center"/>
              <w:ind w:right="680"/>
              <w:spacing w:after="0"/>
              <w:rPr>
                <w:sz w:val="20"/>
                <w:szCs w:val="20"/>
                <w:color w:val="auto"/>
              </w:rPr>
            </w:pPr>
            <w:r>
              <w:rPr>
                <w:rFonts w:ascii="Arial" w:cs="Arial" w:eastAsia="Arial" w:hAnsi="Arial"/>
                <w:sz w:val="14"/>
                <w:szCs w:val="14"/>
                <w:b w:val="1"/>
                <w:bCs w:val="1"/>
                <w:color w:val="auto"/>
                <w:w w:val="90"/>
              </w:rPr>
              <w:t>Percentage</w:t>
            </w:r>
          </w:p>
        </w:tc>
        <w:tc>
          <w:tcPr>
            <w:tcW w:w="60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Weighted</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2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26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90"/>
              </w:rPr>
              <w:t>Average</w:t>
            </w:r>
          </w:p>
        </w:tc>
        <w:tc>
          <w:tcPr>
            <w:tcW w:w="1360" w:type="dxa"/>
            <w:vAlign w:val="bottom"/>
            <w:gridSpan w:val="2"/>
            <w:vMerge w:val="continue"/>
          </w:tcPr>
          <w:p>
            <w:pPr>
              <w:spacing w:after="0"/>
              <w:rPr>
                <w:sz w:val="12"/>
                <w:szCs w:val="12"/>
                <w:color w:val="auto"/>
              </w:rPr>
            </w:pPr>
          </w:p>
        </w:tc>
        <w:tc>
          <w:tcPr>
            <w:tcW w:w="8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20" w:type="dxa"/>
            <w:vAlign w:val="bottom"/>
          </w:tcPr>
          <w:p>
            <w:pPr>
              <w:spacing w:after="0"/>
              <w:rPr>
                <w:sz w:val="12"/>
                <w:szCs w:val="12"/>
                <w:color w:val="auto"/>
              </w:rPr>
            </w:pPr>
          </w:p>
        </w:tc>
        <w:tc>
          <w:tcPr>
            <w:tcW w:w="134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94"/>
              </w:rPr>
              <w:t>of Total</w:t>
            </w:r>
          </w:p>
        </w:tc>
        <w:tc>
          <w:tcPr>
            <w:tcW w:w="126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98"/>
              </w:rPr>
              <w:t>Current</w:t>
            </w:r>
          </w:p>
        </w:tc>
        <w:tc>
          <w:tcPr>
            <w:tcW w:w="136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94"/>
              </w:rPr>
              <w:t>of Total</w:t>
            </w:r>
          </w:p>
        </w:tc>
        <w:tc>
          <w:tcPr>
            <w:tcW w:w="8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8"/>
              </w:rPr>
              <w:t>Current</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72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Portfolio</w:t>
            </w:r>
          </w:p>
        </w:tc>
        <w:tc>
          <w:tcPr>
            <w:tcW w:w="660" w:type="dxa"/>
            <w:vAlign w:val="bottom"/>
            <w:tcBorders>
              <w:bottom w:val="single" w:sz="8" w:color="CCEEFF"/>
            </w:tcBorders>
          </w:tcPr>
          <w:p>
            <w:pPr>
              <w:spacing w:after="0"/>
              <w:rPr>
                <w:sz w:val="14"/>
                <w:szCs w:val="14"/>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Yield</w:t>
            </w:r>
          </w:p>
        </w:tc>
        <w:tc>
          <w:tcPr>
            <w:tcW w:w="66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Portfolio</w:t>
            </w:r>
          </w:p>
        </w:tc>
        <w:tc>
          <w:tcPr>
            <w:tcW w:w="680" w:type="dxa"/>
            <w:vAlign w:val="bottom"/>
            <w:tcBorders>
              <w:bottom w:val="single" w:sz="8" w:color="CCEEFF"/>
            </w:tcBorders>
          </w:tcPr>
          <w:p>
            <w:pPr>
              <w:spacing w:after="0"/>
              <w:rPr>
                <w:sz w:val="14"/>
                <w:szCs w:val="14"/>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Yield</w:t>
            </w:r>
          </w:p>
        </w:tc>
        <w:tc>
          <w:tcPr>
            <w:tcW w:w="2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Syndicated loans</w:t>
            </w:r>
          </w:p>
        </w:tc>
        <w:tc>
          <w:tcPr>
            <w:tcW w:w="13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6.0%</w:t>
            </w:r>
          </w:p>
        </w:tc>
        <w:tc>
          <w:tcPr>
            <w:tcW w:w="12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7.2%</w:t>
            </w:r>
          </w:p>
        </w:tc>
        <w:tc>
          <w:tcPr>
            <w:tcW w:w="13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7.6%</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First lien term loans</w:t>
            </w:r>
          </w:p>
        </w:tc>
        <w:tc>
          <w:tcPr>
            <w:tcW w:w="1340" w:type="dxa"/>
            <w:vAlign w:val="bottom"/>
            <w:gridSpan w:val="2"/>
          </w:tcPr>
          <w:p>
            <w:pPr>
              <w:jc w:val="right"/>
              <w:ind w:right="660"/>
              <w:spacing w:after="0"/>
              <w:rPr>
                <w:sz w:val="20"/>
                <w:szCs w:val="20"/>
                <w:color w:val="auto"/>
              </w:rPr>
            </w:pPr>
            <w:r>
              <w:rPr>
                <w:rFonts w:ascii="Arial" w:cs="Arial" w:eastAsia="Arial" w:hAnsi="Arial"/>
                <w:sz w:val="18"/>
                <w:szCs w:val="18"/>
                <w:color w:val="auto"/>
              </w:rPr>
              <w:t>60.4</w:t>
            </w: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rPr>
              <w:t>10.9</w:t>
            </w:r>
          </w:p>
        </w:tc>
        <w:tc>
          <w:tcPr>
            <w:tcW w:w="1360" w:type="dxa"/>
            <w:vAlign w:val="bottom"/>
            <w:gridSpan w:val="2"/>
          </w:tcPr>
          <w:p>
            <w:pPr>
              <w:jc w:val="right"/>
              <w:ind w:right="680"/>
              <w:spacing w:after="0"/>
              <w:rPr>
                <w:sz w:val="20"/>
                <w:szCs w:val="20"/>
                <w:color w:val="auto"/>
              </w:rPr>
            </w:pPr>
            <w:r>
              <w:rPr>
                <w:rFonts w:ascii="Arial" w:cs="Arial" w:eastAsia="Arial" w:hAnsi="Arial"/>
                <w:sz w:val="18"/>
                <w:szCs w:val="18"/>
                <w:color w:val="auto"/>
              </w:rPr>
              <w:t>60.3</w:t>
            </w:r>
          </w:p>
        </w:tc>
        <w:tc>
          <w:tcPr>
            <w:tcW w:w="600" w:type="dxa"/>
            <w:vAlign w:val="bottom"/>
          </w:tcPr>
          <w:p>
            <w:pPr>
              <w:jc w:val="right"/>
              <w:spacing w:after="0"/>
              <w:rPr>
                <w:sz w:val="20"/>
                <w:szCs w:val="20"/>
                <w:color w:val="auto"/>
              </w:rPr>
            </w:pPr>
            <w:r>
              <w:rPr>
                <w:rFonts w:ascii="Arial" w:cs="Arial" w:eastAsia="Arial" w:hAnsi="Arial"/>
                <w:sz w:val="18"/>
                <w:szCs w:val="18"/>
                <w:color w:val="auto"/>
              </w:rPr>
              <w:t>11.0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Second lien term loans</w:t>
            </w:r>
          </w:p>
        </w:tc>
        <w:tc>
          <w:tcPr>
            <w:tcW w:w="13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18.1</w:t>
            </w: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10.7</w:t>
            </w:r>
          </w:p>
        </w:tc>
        <w:tc>
          <w:tcPr>
            <w:tcW w:w="13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14.8</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Unsecured notes</w:t>
            </w:r>
          </w:p>
        </w:tc>
        <w:tc>
          <w:tcPr>
            <w:tcW w:w="1340" w:type="dxa"/>
            <w:vAlign w:val="bottom"/>
            <w:gridSpan w:val="2"/>
          </w:tcPr>
          <w:p>
            <w:pPr>
              <w:jc w:val="right"/>
              <w:ind w:right="7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76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680"/>
              <w:spacing w:after="0"/>
              <w:rPr>
                <w:sz w:val="20"/>
                <w:szCs w:val="20"/>
                <w:color w:val="auto"/>
              </w:rPr>
            </w:pPr>
            <w:r>
              <w:rPr>
                <w:rFonts w:ascii="Arial" w:cs="Arial" w:eastAsia="Arial" w:hAnsi="Arial"/>
                <w:sz w:val="18"/>
                <w:szCs w:val="18"/>
                <w:color w:val="auto"/>
              </w:rPr>
              <w:t>1.8</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Saratoga CLO subordinated notes</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6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18.9</w:t>
            </w:r>
          </w:p>
        </w:tc>
        <w:tc>
          <w:tcPr>
            <w:tcW w:w="13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7.1</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Equity interests</w:t>
            </w:r>
          </w:p>
        </w:tc>
        <w:tc>
          <w:tcPr>
            <w:tcW w:w="680" w:type="dxa"/>
            <w:vAlign w:val="bottom"/>
          </w:tcPr>
          <w:p>
            <w:pPr>
              <w:jc w:val="right"/>
              <w:spacing w:after="0"/>
              <w:rPr>
                <w:sz w:val="20"/>
                <w:szCs w:val="20"/>
                <w:color w:val="auto"/>
              </w:rPr>
            </w:pPr>
            <w:r>
              <w:rPr>
                <w:rFonts w:ascii="Arial" w:cs="Arial" w:eastAsia="Arial" w:hAnsi="Arial"/>
                <w:sz w:val="18"/>
                <w:szCs w:val="18"/>
                <w:color w:val="auto"/>
              </w:rPr>
              <w:t>8.9</w:t>
            </w:r>
          </w:p>
        </w:tc>
        <w:tc>
          <w:tcPr>
            <w:tcW w:w="6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N/A</w:t>
            </w:r>
          </w:p>
        </w:tc>
        <w:tc>
          <w:tcPr>
            <w:tcW w:w="660" w:type="dxa"/>
            <w:vAlign w:val="bottom"/>
          </w:tcPr>
          <w:p>
            <w:pPr>
              <w:spacing w:after="0"/>
              <w:rPr>
                <w:sz w:val="18"/>
                <w:szCs w:val="18"/>
                <w:color w:val="auto"/>
              </w:rPr>
            </w:pPr>
          </w:p>
        </w:tc>
        <w:tc>
          <w:tcPr>
            <w:tcW w:w="1360" w:type="dxa"/>
            <w:vAlign w:val="bottom"/>
            <w:gridSpan w:val="2"/>
          </w:tcPr>
          <w:p>
            <w:pPr>
              <w:jc w:val="right"/>
              <w:ind w:right="680"/>
              <w:spacing w:after="0"/>
              <w:rPr>
                <w:sz w:val="20"/>
                <w:szCs w:val="20"/>
                <w:color w:val="auto"/>
              </w:rPr>
            </w:pPr>
            <w:r>
              <w:rPr>
                <w:rFonts w:ascii="Arial" w:cs="Arial" w:eastAsia="Arial" w:hAnsi="Arial"/>
                <w:sz w:val="18"/>
                <w:szCs w:val="18"/>
                <w:color w:val="auto"/>
              </w:rPr>
              <w:t>8.4</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7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3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100.0%</w:t>
            </w:r>
          </w:p>
        </w:tc>
        <w:tc>
          <w:tcPr>
            <w:tcW w:w="12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11.2%</w:t>
            </w:r>
          </w:p>
        </w:tc>
        <w:tc>
          <w:tcPr>
            <w:tcW w:w="13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100.0%</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60" w:firstLine="456"/>
        <w:spacing w:after="0" w:line="284" w:lineRule="auto"/>
        <w:rPr>
          <w:sz w:val="20"/>
          <w:szCs w:val="20"/>
          <w:color w:val="auto"/>
        </w:rPr>
      </w:pPr>
      <w:r>
        <w:rPr>
          <w:rFonts w:ascii="Arial" w:cs="Arial" w:eastAsia="Arial" w:hAnsi="Arial"/>
          <w:sz w:val="16"/>
          <w:szCs w:val="16"/>
          <w:color w:val="auto"/>
        </w:rPr>
        <w:t>Our investment in the subordinated notes of Saratoga CLO represents a first loss position in a portfolio that, at November 30, 2015 and February 28, 2015, was composed of $297.4 million and $296.9 million, respectively, in aggregate principal amount of predominantly senior secured first lien term loans. This investment is subject to unique risks. (See “Risk Factors—Our investment in Saratoga CLO 2013-1 LTD. constitutes a leveraged investment in a portfolio of predominantly senior secured first lien term loans and is subject to additional risks and volatility”). We do not consolidate the Saratoga CLO portfolio in our financial statements. Accordingly, the metrics below do not include the underlying Saratoga CLO portfolio investments. However, at November 30, 2015, $283.3 million or 99.3% of the Saratoga CLO portfolio investments in terms of market value had a CMR (as defined below) color rating of green or yellow and two Saratoga CLO portfolio investments were in default with a fair value of $2.5 million. At February 28, 2015, $291.6 million or</w:t>
      </w:r>
    </w:p>
    <w:p>
      <w:pPr>
        <w:spacing w:after="0" w:line="3"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color w:val="auto"/>
        </w:rPr>
        <w:t>98.8% of the Saratoga CLO portfolio investments in terms of market value had a CMR (as defined below) color rating of green or yellow and two Saratoga CLO portfolio investments were in default with a fair value of $2.7 million.</w:t>
      </w:r>
    </w:p>
    <w:p>
      <w:pPr>
        <w:spacing w:after="0" w:line="184" w:lineRule="exact"/>
        <w:rPr>
          <w:sz w:val="20"/>
          <w:szCs w:val="20"/>
          <w:color w:val="auto"/>
        </w:rPr>
      </w:pPr>
    </w:p>
    <w:p>
      <w:pPr>
        <w:ind w:right="320" w:firstLine="456"/>
        <w:spacing w:after="0" w:line="259" w:lineRule="auto"/>
        <w:rPr>
          <w:sz w:val="20"/>
          <w:szCs w:val="20"/>
          <w:color w:val="auto"/>
        </w:rPr>
      </w:pPr>
      <w:r>
        <w:rPr>
          <w:rFonts w:ascii="Arial" w:cs="Arial" w:eastAsia="Arial" w:hAnsi="Arial"/>
          <w:sz w:val="18"/>
          <w:szCs w:val="18"/>
          <w:color w:val="auto"/>
        </w:rPr>
        <w:t>Saratoga Investment Advisors normally grades all of our investments using a credit and monitoring rating system (“CMR”). The CMR consists of a single component: a color rating. The color rating is based on several criteria, including financial and operating strength, probability of default, and restructuring risk. The color ratings are characterized as follows: (Green)—strong credit; (Yellow)—satisfactory credit; (Red)—payment default risk, in payment default and/or significant restructuring activity.</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CMR distribution of our investments at November 30, 2015 and February 28, 2015 was as follows: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Portfolio CMR distribution</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000" w:type="dxa"/>
            <w:vAlign w:val="bottom"/>
          </w:tcPr>
          <w:p>
            <w:pPr>
              <w:spacing w:after="0"/>
              <w:rPr>
                <w:sz w:val="14"/>
                <w:szCs w:val="14"/>
                <w:color w:val="auto"/>
              </w:rPr>
            </w:pPr>
          </w:p>
        </w:tc>
        <w:tc>
          <w:tcPr>
            <w:tcW w:w="2360" w:type="dxa"/>
            <w:vAlign w:val="bottom"/>
            <w:gridSpan w:val="4"/>
          </w:tcPr>
          <w:p>
            <w:pPr>
              <w:jc w:val="right"/>
              <w:ind w:right="700"/>
              <w:spacing w:after="0"/>
              <w:rPr>
                <w:sz w:val="20"/>
                <w:szCs w:val="20"/>
                <w:color w:val="auto"/>
              </w:rPr>
            </w:pPr>
            <w:r>
              <w:rPr>
                <w:rFonts w:ascii="Arial" w:cs="Arial" w:eastAsia="Arial" w:hAnsi="Arial"/>
                <w:sz w:val="14"/>
                <w:szCs w:val="14"/>
                <w:b w:val="1"/>
                <w:bCs w:val="1"/>
                <w:color w:val="auto"/>
              </w:rPr>
              <w:t>At November 30, 2015</w:t>
            </w:r>
          </w:p>
        </w:tc>
        <w:tc>
          <w:tcPr>
            <w:tcW w:w="220" w:type="dxa"/>
            <w:vAlign w:val="bottom"/>
          </w:tcPr>
          <w:p>
            <w:pPr>
              <w:spacing w:after="0"/>
              <w:rPr>
                <w:sz w:val="14"/>
                <w:szCs w:val="14"/>
                <w:color w:val="auto"/>
              </w:rPr>
            </w:pPr>
          </w:p>
        </w:tc>
        <w:tc>
          <w:tcPr>
            <w:tcW w:w="2180" w:type="dxa"/>
            <w:vAlign w:val="bottom"/>
            <w:gridSpan w:val="4"/>
          </w:tcPr>
          <w:p>
            <w:pPr>
              <w:jc w:val="right"/>
              <w:ind w:right="540"/>
              <w:spacing w:after="0"/>
              <w:rPr>
                <w:sz w:val="20"/>
                <w:szCs w:val="20"/>
                <w:color w:val="auto"/>
              </w:rPr>
            </w:pPr>
            <w:r>
              <w:rPr>
                <w:rFonts w:ascii="Arial" w:cs="Arial" w:eastAsia="Arial" w:hAnsi="Arial"/>
                <w:sz w:val="14"/>
                <w:szCs w:val="14"/>
                <w:b w:val="1"/>
                <w:bCs w:val="1"/>
                <w:color w:val="auto"/>
              </w:rPr>
              <w:t>At February 28, 2015</w:t>
            </w:r>
          </w:p>
        </w:tc>
        <w:tc>
          <w:tcPr>
            <w:tcW w:w="0" w:type="dxa"/>
            <w:vAlign w:val="bottom"/>
          </w:tcPr>
          <w:p>
            <w:pPr>
              <w:spacing w:after="0"/>
              <w:rPr>
                <w:sz w:val="1"/>
                <w:szCs w:val="1"/>
                <w:color w:val="auto"/>
              </w:rPr>
            </w:pPr>
          </w:p>
        </w:tc>
      </w:tr>
      <w:tr>
        <w:trPr>
          <w:trHeight w:val="119"/>
        </w:trPr>
        <w:tc>
          <w:tcPr>
            <w:tcW w:w="4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0" w:type="dxa"/>
            <w:vAlign w:val="bottom"/>
          </w:tcPr>
          <w:p>
            <w:pPr>
              <w:spacing w:after="0"/>
              <w:rPr>
                <w:sz w:val="10"/>
                <w:szCs w:val="10"/>
                <w:color w:val="auto"/>
              </w:rPr>
            </w:pPr>
          </w:p>
        </w:tc>
        <w:tc>
          <w:tcPr>
            <w:tcW w:w="1280" w:type="dxa"/>
            <w:vAlign w:val="bottom"/>
            <w:tcBorders>
              <w:top w:val="single" w:sz="8" w:color="auto"/>
            </w:tcBorders>
            <w:gridSpan w:val="2"/>
          </w:tcPr>
          <w:p>
            <w:pPr>
              <w:jc w:val="center"/>
              <w:ind w:right="540"/>
              <w:spacing w:after="0" w:line="119" w:lineRule="exact"/>
              <w:rPr>
                <w:sz w:val="20"/>
                <w:szCs w:val="20"/>
                <w:color w:val="auto"/>
              </w:rPr>
            </w:pPr>
            <w:r>
              <w:rPr>
                <w:rFonts w:ascii="Arial" w:cs="Arial" w:eastAsia="Arial" w:hAnsi="Arial"/>
                <w:sz w:val="13"/>
                <w:szCs w:val="13"/>
                <w:b w:val="1"/>
                <w:bCs w:val="1"/>
                <w:color w:val="auto"/>
                <w:w w:val="97"/>
              </w:rPr>
              <w:t>Investments</w:t>
            </w:r>
          </w:p>
        </w:tc>
        <w:tc>
          <w:tcPr>
            <w:tcW w:w="68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6"/>
              </w:rPr>
              <w:t>Percentage</w:t>
            </w:r>
          </w:p>
        </w:tc>
        <w:tc>
          <w:tcPr>
            <w:tcW w:w="4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80" w:type="dxa"/>
            <w:vAlign w:val="bottom"/>
            <w:tcBorders>
              <w:top w:val="single" w:sz="8" w:color="auto"/>
            </w:tcBorders>
            <w:gridSpan w:val="2"/>
          </w:tcPr>
          <w:p>
            <w:pPr>
              <w:jc w:val="center"/>
              <w:ind w:right="500"/>
              <w:spacing w:after="0" w:line="119" w:lineRule="exact"/>
              <w:rPr>
                <w:sz w:val="20"/>
                <w:szCs w:val="20"/>
                <w:color w:val="auto"/>
              </w:rPr>
            </w:pPr>
            <w:r>
              <w:rPr>
                <w:rFonts w:ascii="Arial" w:cs="Arial" w:eastAsia="Arial" w:hAnsi="Arial"/>
                <w:sz w:val="13"/>
                <w:szCs w:val="13"/>
                <w:b w:val="1"/>
                <w:bCs w:val="1"/>
                <w:color w:val="auto"/>
                <w:w w:val="97"/>
              </w:rPr>
              <w:t>Investments</w:t>
            </w:r>
          </w:p>
        </w:tc>
        <w:tc>
          <w:tcPr>
            <w:tcW w:w="70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6"/>
              </w:rPr>
              <w:t>Percentage</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200" w:type="dxa"/>
            <w:vAlign w:val="bottom"/>
            <w:gridSpan w:val="3"/>
            <w:vMerge w:val="restart"/>
          </w:tcPr>
          <w:p>
            <w:pPr>
              <w:ind w:left="460"/>
              <w:spacing w:after="0"/>
              <w:rPr>
                <w:sz w:val="20"/>
                <w:szCs w:val="20"/>
                <w:color w:val="auto"/>
              </w:rPr>
            </w:pPr>
            <w:r>
              <w:rPr>
                <w:rFonts w:ascii="Arial" w:cs="Arial" w:eastAsia="Arial" w:hAnsi="Arial"/>
                <w:sz w:val="14"/>
                <w:szCs w:val="14"/>
                <w:b w:val="1"/>
                <w:bCs w:val="1"/>
                <w:color w:val="auto"/>
                <w:w w:val="90"/>
              </w:rPr>
              <w:t>Color Score</w:t>
            </w:r>
          </w:p>
        </w:tc>
        <w:tc>
          <w:tcPr>
            <w:tcW w:w="5000" w:type="dxa"/>
            <w:vAlign w:val="bottom"/>
          </w:tcPr>
          <w:p>
            <w:pPr>
              <w:spacing w:after="0"/>
              <w:rPr>
                <w:sz w:val="12"/>
                <w:szCs w:val="12"/>
                <w:color w:val="auto"/>
              </w:rPr>
            </w:pPr>
          </w:p>
        </w:tc>
        <w:tc>
          <w:tcPr>
            <w:tcW w:w="128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6"/>
              </w:rPr>
              <w:t>at</w:t>
            </w:r>
          </w:p>
        </w:tc>
        <w:tc>
          <w:tcPr>
            <w:tcW w:w="10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4"/>
              </w:rPr>
              <w:t>of Total</w:t>
            </w:r>
          </w:p>
        </w:tc>
        <w:tc>
          <w:tcPr>
            <w:tcW w:w="220" w:type="dxa"/>
            <w:vAlign w:val="bottom"/>
          </w:tcPr>
          <w:p>
            <w:pPr>
              <w:spacing w:after="0"/>
              <w:rPr>
                <w:sz w:val="12"/>
                <w:szCs w:val="12"/>
                <w:color w:val="auto"/>
              </w:rPr>
            </w:pPr>
          </w:p>
        </w:tc>
        <w:tc>
          <w:tcPr>
            <w:tcW w:w="128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6"/>
              </w:rPr>
              <w:t>at</w:t>
            </w:r>
          </w:p>
        </w:tc>
        <w:tc>
          <w:tcPr>
            <w:tcW w:w="9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of Total</w:t>
            </w:r>
          </w:p>
        </w:tc>
        <w:tc>
          <w:tcPr>
            <w:tcW w:w="0" w:type="dxa"/>
            <w:vAlign w:val="bottom"/>
          </w:tcPr>
          <w:p>
            <w:pPr>
              <w:spacing w:after="0"/>
              <w:rPr>
                <w:sz w:val="1"/>
                <w:szCs w:val="1"/>
                <w:color w:val="auto"/>
              </w:rPr>
            </w:pPr>
          </w:p>
        </w:tc>
      </w:tr>
      <w:tr>
        <w:trPr>
          <w:trHeight w:val="171"/>
        </w:trPr>
        <w:tc>
          <w:tcPr>
            <w:tcW w:w="1200" w:type="dxa"/>
            <w:vAlign w:val="bottom"/>
            <w:gridSpan w:val="3"/>
            <w:vMerge w:val="continue"/>
          </w:tcPr>
          <w:p>
            <w:pPr>
              <w:spacing w:after="0"/>
              <w:rPr>
                <w:sz w:val="14"/>
                <w:szCs w:val="14"/>
                <w:color w:val="auto"/>
              </w:rPr>
            </w:pPr>
          </w:p>
        </w:tc>
        <w:tc>
          <w:tcPr>
            <w:tcW w:w="5000" w:type="dxa"/>
            <w:vAlign w:val="bottom"/>
          </w:tcPr>
          <w:p>
            <w:pPr>
              <w:spacing w:after="0"/>
              <w:rPr>
                <w:sz w:val="14"/>
                <w:szCs w:val="14"/>
                <w:color w:val="auto"/>
              </w:rPr>
            </w:pPr>
          </w:p>
        </w:tc>
        <w:tc>
          <w:tcPr>
            <w:tcW w:w="128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5"/>
              </w:rPr>
              <w:t>Fair Value</w:t>
            </w:r>
          </w:p>
        </w:tc>
        <w:tc>
          <w:tcPr>
            <w:tcW w:w="10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7"/>
              </w:rPr>
              <w:t>Portfolio</w:t>
            </w:r>
          </w:p>
        </w:tc>
        <w:tc>
          <w:tcPr>
            <w:tcW w:w="220" w:type="dxa"/>
            <w:vAlign w:val="bottom"/>
          </w:tcPr>
          <w:p>
            <w:pPr>
              <w:spacing w:after="0"/>
              <w:rPr>
                <w:sz w:val="14"/>
                <w:szCs w:val="14"/>
                <w:color w:val="auto"/>
              </w:rPr>
            </w:pPr>
          </w:p>
        </w:tc>
        <w:tc>
          <w:tcPr>
            <w:tcW w:w="128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5"/>
              </w:rPr>
              <w:t>Fair Value</w:t>
            </w:r>
          </w:p>
        </w:tc>
        <w:tc>
          <w:tcPr>
            <w:tcW w:w="9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Portfolio</w:t>
            </w: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500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2580" w:type="dxa"/>
            <w:vAlign w:val="bottom"/>
            <w:tcBorders>
              <w:top w:val="single" w:sz="8" w:color="auto"/>
            </w:tcBorders>
            <w:gridSpan w:val="5"/>
          </w:tcPr>
          <w:p>
            <w:pPr>
              <w:jc w:val="right"/>
              <w:ind w:right="1100"/>
              <w:spacing w:after="0" w:line="142" w:lineRule="exact"/>
              <w:rPr>
                <w:sz w:val="20"/>
                <w:szCs w:val="20"/>
                <w:color w:val="auto"/>
              </w:rPr>
            </w:pPr>
            <w:r>
              <w:rPr>
                <w:rFonts w:ascii="Arial" w:cs="Arial" w:eastAsia="Arial" w:hAnsi="Arial"/>
                <w:sz w:val="14"/>
                <w:szCs w:val="14"/>
                <w:b w:val="1"/>
                <w:bCs w:val="1"/>
                <w:color w:val="auto"/>
              </w:rPr>
              <w:t>($ in thousands)</w:t>
            </w:r>
          </w:p>
        </w:tc>
        <w:tc>
          <w:tcPr>
            <w:tcW w:w="7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Green</w:t>
            </w:r>
          </w:p>
        </w:tc>
        <w:tc>
          <w:tcPr>
            <w:tcW w:w="628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$ 198,231</w:t>
            </w: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82.2%</w:t>
            </w:r>
          </w:p>
        </w:tc>
        <w:tc>
          <w:tcPr>
            <w:tcW w:w="150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$ 191,606</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79.7%</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40" w:type="dxa"/>
            <w:vAlign w:val="bottom"/>
            <w:gridSpan w:val="2"/>
          </w:tcPr>
          <w:p>
            <w:pPr>
              <w:spacing w:after="0"/>
              <w:rPr>
                <w:sz w:val="20"/>
                <w:szCs w:val="20"/>
                <w:color w:val="auto"/>
              </w:rPr>
            </w:pPr>
            <w:r>
              <w:rPr>
                <w:rFonts w:ascii="Arial" w:cs="Arial" w:eastAsia="Arial" w:hAnsi="Arial"/>
                <w:sz w:val="18"/>
                <w:szCs w:val="18"/>
                <w:color w:val="auto"/>
              </w:rPr>
              <w:t>Yellow</w:t>
            </w:r>
          </w:p>
        </w:tc>
        <w:tc>
          <w:tcPr>
            <w:tcW w:w="6280" w:type="dxa"/>
            <w:vAlign w:val="bottom"/>
            <w:gridSpan w:val="3"/>
          </w:tcPr>
          <w:p>
            <w:pPr>
              <w:jc w:val="right"/>
              <w:ind w:right="540"/>
              <w:spacing w:after="0"/>
              <w:rPr>
                <w:sz w:val="20"/>
                <w:szCs w:val="20"/>
                <w:color w:val="auto"/>
              </w:rPr>
            </w:pPr>
            <w:r>
              <w:rPr>
                <w:rFonts w:ascii="Arial" w:cs="Arial" w:eastAsia="Arial" w:hAnsi="Arial"/>
                <w:sz w:val="18"/>
                <w:szCs w:val="18"/>
                <w:color w:val="auto"/>
              </w:rPr>
              <w:t>5,499</w:t>
            </w: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rPr>
              <w:t>2.3</w:t>
            </w:r>
          </w:p>
        </w:tc>
        <w:tc>
          <w:tcPr>
            <w:tcW w:w="1500" w:type="dxa"/>
            <w:vAlign w:val="bottom"/>
            <w:gridSpan w:val="3"/>
          </w:tcPr>
          <w:p>
            <w:pPr>
              <w:jc w:val="right"/>
              <w:ind w:right="520"/>
              <w:spacing w:after="0"/>
              <w:rPr>
                <w:sz w:val="20"/>
                <w:szCs w:val="20"/>
                <w:color w:val="auto"/>
              </w:rPr>
            </w:pPr>
            <w:r>
              <w:rPr>
                <w:rFonts w:ascii="Arial" w:cs="Arial" w:eastAsia="Arial" w:hAnsi="Arial"/>
                <w:sz w:val="18"/>
                <w:szCs w:val="18"/>
                <w:color w:val="auto"/>
              </w:rPr>
              <w:t>11,635</w:t>
            </w:r>
          </w:p>
        </w:tc>
        <w:tc>
          <w:tcPr>
            <w:tcW w:w="700" w:type="dxa"/>
            <w:vAlign w:val="bottom"/>
          </w:tcPr>
          <w:p>
            <w:pPr>
              <w:jc w:val="right"/>
              <w:spacing w:after="0"/>
              <w:rPr>
                <w:sz w:val="20"/>
                <w:szCs w:val="20"/>
                <w:color w:val="auto"/>
              </w:rPr>
            </w:pPr>
            <w:r>
              <w:rPr>
                <w:rFonts w:ascii="Arial" w:cs="Arial" w:eastAsia="Arial" w:hAnsi="Arial"/>
                <w:sz w:val="18"/>
                <w:szCs w:val="18"/>
                <w:color w:val="auto"/>
              </w:rPr>
              <w:t>4.8</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Red</w:t>
            </w:r>
          </w:p>
        </w:tc>
        <w:tc>
          <w:tcPr>
            <w:tcW w:w="628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8</w:t>
            </w: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0.0</w:t>
            </w:r>
          </w:p>
        </w:tc>
        <w:tc>
          <w:tcPr>
            <w:tcW w:w="150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101</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40" w:type="dxa"/>
            <w:vAlign w:val="bottom"/>
            <w:gridSpan w:val="2"/>
          </w:tcPr>
          <w:p>
            <w:pPr>
              <w:spacing w:after="0"/>
              <w:rPr>
                <w:sz w:val="20"/>
                <w:szCs w:val="20"/>
                <w:color w:val="auto"/>
              </w:rPr>
            </w:pPr>
            <w:r>
              <w:rPr>
                <w:rFonts w:ascii="Arial" w:cs="Arial" w:eastAsia="Arial" w:hAnsi="Arial"/>
                <w:sz w:val="18"/>
                <w:szCs w:val="18"/>
                <w:color w:val="auto"/>
              </w:rPr>
              <w:t>N/A(1)</w:t>
            </w:r>
          </w:p>
        </w:tc>
        <w:tc>
          <w:tcPr>
            <w:tcW w:w="5000" w:type="dxa"/>
            <w:vAlign w:val="bottom"/>
          </w:tcPr>
          <w:p>
            <w:pPr>
              <w:spacing w:after="0"/>
              <w:rPr>
                <w:sz w:val="18"/>
                <w:szCs w:val="18"/>
                <w:color w:val="auto"/>
              </w:rPr>
            </w:pPr>
          </w:p>
        </w:tc>
        <w:tc>
          <w:tcPr>
            <w:tcW w:w="1280" w:type="dxa"/>
            <w:vAlign w:val="bottom"/>
            <w:gridSpan w:val="2"/>
          </w:tcPr>
          <w:p>
            <w:pPr>
              <w:jc w:val="right"/>
              <w:ind w:right="540"/>
              <w:spacing w:after="0"/>
              <w:rPr>
                <w:sz w:val="20"/>
                <w:szCs w:val="20"/>
                <w:color w:val="auto"/>
              </w:rPr>
            </w:pPr>
            <w:r>
              <w:rPr>
                <w:rFonts w:ascii="Arial" w:cs="Arial" w:eastAsia="Arial" w:hAnsi="Arial"/>
                <w:sz w:val="18"/>
                <w:szCs w:val="18"/>
                <w:color w:val="auto"/>
              </w:rPr>
              <w:t>37,300</w:t>
            </w: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rPr>
              <w:t>15.5</w:t>
            </w:r>
          </w:p>
        </w:tc>
        <w:tc>
          <w:tcPr>
            <w:tcW w:w="1500" w:type="dxa"/>
            <w:vAlign w:val="bottom"/>
            <w:gridSpan w:val="3"/>
          </w:tcPr>
          <w:p>
            <w:pPr>
              <w:jc w:val="right"/>
              <w:ind w:right="520"/>
              <w:spacing w:after="0"/>
              <w:rPr>
                <w:sz w:val="20"/>
                <w:szCs w:val="20"/>
                <w:color w:val="auto"/>
              </w:rPr>
            </w:pPr>
            <w:r>
              <w:rPr>
                <w:rFonts w:ascii="Arial" w:cs="Arial" w:eastAsia="Arial" w:hAnsi="Arial"/>
                <w:sz w:val="18"/>
                <w:szCs w:val="18"/>
                <w:color w:val="auto"/>
              </w:rPr>
              <w:t>37,196</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7"/>
        </w:trPr>
        <w:tc>
          <w:tcPr>
            <w:tcW w:w="460" w:type="dxa"/>
            <w:vAlign w:val="bottom"/>
            <w:vMerge w:val="restart"/>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50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vMerge w:val="continue"/>
          </w:tcPr>
          <w:p>
            <w:pPr>
              <w:spacing w:after="0"/>
              <w:rPr>
                <w:sz w:val="18"/>
                <w:szCs w:val="18"/>
                <w:color w:val="auto"/>
              </w:rPr>
            </w:pPr>
          </w:p>
        </w:tc>
        <w:tc>
          <w:tcPr>
            <w:tcW w:w="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628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$ 241,038</w:t>
            </w: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100.0%</w:t>
            </w:r>
          </w:p>
        </w:tc>
        <w:tc>
          <w:tcPr>
            <w:tcW w:w="150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$ 240,538</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50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5620" w:right="4240" w:hanging="5612"/>
        <w:spacing w:after="0" w:line="449" w:lineRule="auto"/>
        <w:tabs>
          <w:tab w:leader="none" w:pos="45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Comprised of our investment in the subordinated notes of Saratoga CLO and equity interests. 43</w:t>
      </w:r>
    </w:p>
    <w:p>
      <w:pPr>
        <w:sectPr>
          <w:pgSz w:w="11900" w:h="16838" w:orient="portrait"/>
          <w:cols w:equalWidth="0" w:num="1">
            <w:col w:w="11420"/>
          </w:cols>
          <w:pgMar w:left="240" w:top="45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CMR distribution of Saratoga CLO investments at November 30, 2015 and February 28, 2015 was as follows: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Portfolio CMR distribution</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000" w:type="dxa"/>
            <w:vAlign w:val="bottom"/>
          </w:tcPr>
          <w:p>
            <w:pPr>
              <w:spacing w:after="0"/>
              <w:rPr>
                <w:sz w:val="14"/>
                <w:szCs w:val="14"/>
                <w:color w:val="auto"/>
              </w:rPr>
            </w:pPr>
          </w:p>
        </w:tc>
        <w:tc>
          <w:tcPr>
            <w:tcW w:w="2360" w:type="dxa"/>
            <w:vAlign w:val="bottom"/>
            <w:gridSpan w:val="4"/>
          </w:tcPr>
          <w:p>
            <w:pPr>
              <w:jc w:val="right"/>
              <w:ind w:right="700"/>
              <w:spacing w:after="0"/>
              <w:rPr>
                <w:sz w:val="20"/>
                <w:szCs w:val="20"/>
                <w:color w:val="auto"/>
              </w:rPr>
            </w:pPr>
            <w:r>
              <w:rPr>
                <w:rFonts w:ascii="Arial" w:cs="Arial" w:eastAsia="Arial" w:hAnsi="Arial"/>
                <w:sz w:val="14"/>
                <w:szCs w:val="14"/>
                <w:b w:val="1"/>
                <w:bCs w:val="1"/>
                <w:color w:val="auto"/>
              </w:rPr>
              <w:t>At November 30, 2015</w:t>
            </w:r>
          </w:p>
        </w:tc>
        <w:tc>
          <w:tcPr>
            <w:tcW w:w="220" w:type="dxa"/>
            <w:vAlign w:val="bottom"/>
          </w:tcPr>
          <w:p>
            <w:pPr>
              <w:spacing w:after="0"/>
              <w:rPr>
                <w:sz w:val="14"/>
                <w:szCs w:val="14"/>
                <w:color w:val="auto"/>
              </w:rPr>
            </w:pPr>
          </w:p>
        </w:tc>
        <w:tc>
          <w:tcPr>
            <w:tcW w:w="2180" w:type="dxa"/>
            <w:vAlign w:val="bottom"/>
            <w:gridSpan w:val="4"/>
          </w:tcPr>
          <w:p>
            <w:pPr>
              <w:jc w:val="right"/>
              <w:ind w:right="540"/>
              <w:spacing w:after="0"/>
              <w:rPr>
                <w:sz w:val="20"/>
                <w:szCs w:val="20"/>
                <w:color w:val="auto"/>
              </w:rPr>
            </w:pPr>
            <w:r>
              <w:rPr>
                <w:rFonts w:ascii="Arial" w:cs="Arial" w:eastAsia="Arial" w:hAnsi="Arial"/>
                <w:sz w:val="14"/>
                <w:szCs w:val="14"/>
                <w:b w:val="1"/>
                <w:bCs w:val="1"/>
                <w:color w:val="auto"/>
              </w:rPr>
              <w:t>At February 28, 2015</w:t>
            </w:r>
          </w:p>
        </w:tc>
        <w:tc>
          <w:tcPr>
            <w:tcW w:w="0" w:type="dxa"/>
            <w:vAlign w:val="bottom"/>
          </w:tcPr>
          <w:p>
            <w:pPr>
              <w:spacing w:after="0"/>
              <w:rPr>
                <w:sz w:val="1"/>
                <w:szCs w:val="1"/>
                <w:color w:val="auto"/>
              </w:rPr>
            </w:pPr>
          </w:p>
        </w:tc>
      </w:tr>
      <w:tr>
        <w:trPr>
          <w:trHeight w:val="119"/>
        </w:trPr>
        <w:tc>
          <w:tcPr>
            <w:tcW w:w="4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0" w:type="dxa"/>
            <w:vAlign w:val="bottom"/>
          </w:tcPr>
          <w:p>
            <w:pPr>
              <w:spacing w:after="0"/>
              <w:rPr>
                <w:sz w:val="10"/>
                <w:szCs w:val="10"/>
                <w:color w:val="auto"/>
              </w:rPr>
            </w:pPr>
          </w:p>
        </w:tc>
        <w:tc>
          <w:tcPr>
            <w:tcW w:w="1280" w:type="dxa"/>
            <w:vAlign w:val="bottom"/>
            <w:tcBorders>
              <w:top w:val="single" w:sz="8" w:color="auto"/>
            </w:tcBorders>
            <w:gridSpan w:val="2"/>
          </w:tcPr>
          <w:p>
            <w:pPr>
              <w:jc w:val="center"/>
              <w:ind w:right="540"/>
              <w:spacing w:after="0" w:line="119" w:lineRule="exact"/>
              <w:rPr>
                <w:sz w:val="20"/>
                <w:szCs w:val="20"/>
                <w:color w:val="auto"/>
              </w:rPr>
            </w:pPr>
            <w:r>
              <w:rPr>
                <w:rFonts w:ascii="Arial" w:cs="Arial" w:eastAsia="Arial" w:hAnsi="Arial"/>
                <w:sz w:val="13"/>
                <w:szCs w:val="13"/>
                <w:b w:val="1"/>
                <w:bCs w:val="1"/>
                <w:color w:val="auto"/>
                <w:w w:val="97"/>
              </w:rPr>
              <w:t>Investments</w:t>
            </w:r>
          </w:p>
        </w:tc>
        <w:tc>
          <w:tcPr>
            <w:tcW w:w="68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6"/>
              </w:rPr>
              <w:t>Percentage</w:t>
            </w:r>
          </w:p>
        </w:tc>
        <w:tc>
          <w:tcPr>
            <w:tcW w:w="4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80" w:type="dxa"/>
            <w:vAlign w:val="bottom"/>
            <w:tcBorders>
              <w:top w:val="single" w:sz="8" w:color="auto"/>
            </w:tcBorders>
            <w:gridSpan w:val="2"/>
          </w:tcPr>
          <w:p>
            <w:pPr>
              <w:jc w:val="center"/>
              <w:ind w:right="500"/>
              <w:spacing w:after="0" w:line="119" w:lineRule="exact"/>
              <w:rPr>
                <w:sz w:val="20"/>
                <w:szCs w:val="20"/>
                <w:color w:val="auto"/>
              </w:rPr>
            </w:pPr>
            <w:r>
              <w:rPr>
                <w:rFonts w:ascii="Arial" w:cs="Arial" w:eastAsia="Arial" w:hAnsi="Arial"/>
                <w:sz w:val="13"/>
                <w:szCs w:val="13"/>
                <w:b w:val="1"/>
                <w:bCs w:val="1"/>
                <w:color w:val="auto"/>
                <w:w w:val="97"/>
              </w:rPr>
              <w:t>Investments</w:t>
            </w:r>
          </w:p>
        </w:tc>
        <w:tc>
          <w:tcPr>
            <w:tcW w:w="70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6"/>
              </w:rPr>
              <w:t>Percentage</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200" w:type="dxa"/>
            <w:vAlign w:val="bottom"/>
            <w:gridSpan w:val="3"/>
            <w:vMerge w:val="restart"/>
          </w:tcPr>
          <w:p>
            <w:pPr>
              <w:ind w:left="460"/>
              <w:spacing w:after="0"/>
              <w:rPr>
                <w:sz w:val="20"/>
                <w:szCs w:val="20"/>
                <w:color w:val="auto"/>
              </w:rPr>
            </w:pPr>
            <w:r>
              <w:rPr>
                <w:rFonts w:ascii="Arial" w:cs="Arial" w:eastAsia="Arial" w:hAnsi="Arial"/>
                <w:sz w:val="14"/>
                <w:szCs w:val="14"/>
                <w:b w:val="1"/>
                <w:bCs w:val="1"/>
                <w:color w:val="auto"/>
                <w:w w:val="90"/>
              </w:rPr>
              <w:t>Color Score</w:t>
            </w:r>
          </w:p>
        </w:tc>
        <w:tc>
          <w:tcPr>
            <w:tcW w:w="5000" w:type="dxa"/>
            <w:vAlign w:val="bottom"/>
          </w:tcPr>
          <w:p>
            <w:pPr>
              <w:spacing w:after="0"/>
              <w:rPr>
                <w:sz w:val="12"/>
                <w:szCs w:val="12"/>
                <w:color w:val="auto"/>
              </w:rPr>
            </w:pPr>
          </w:p>
        </w:tc>
        <w:tc>
          <w:tcPr>
            <w:tcW w:w="128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6"/>
              </w:rPr>
              <w:t>at</w:t>
            </w:r>
          </w:p>
        </w:tc>
        <w:tc>
          <w:tcPr>
            <w:tcW w:w="10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4"/>
              </w:rPr>
              <w:t>of Total</w:t>
            </w:r>
          </w:p>
        </w:tc>
        <w:tc>
          <w:tcPr>
            <w:tcW w:w="220" w:type="dxa"/>
            <w:vAlign w:val="bottom"/>
          </w:tcPr>
          <w:p>
            <w:pPr>
              <w:spacing w:after="0"/>
              <w:rPr>
                <w:sz w:val="12"/>
                <w:szCs w:val="12"/>
                <w:color w:val="auto"/>
              </w:rPr>
            </w:pPr>
          </w:p>
        </w:tc>
        <w:tc>
          <w:tcPr>
            <w:tcW w:w="128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6"/>
              </w:rPr>
              <w:t>at</w:t>
            </w:r>
          </w:p>
        </w:tc>
        <w:tc>
          <w:tcPr>
            <w:tcW w:w="9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of Total</w:t>
            </w:r>
          </w:p>
        </w:tc>
        <w:tc>
          <w:tcPr>
            <w:tcW w:w="0" w:type="dxa"/>
            <w:vAlign w:val="bottom"/>
          </w:tcPr>
          <w:p>
            <w:pPr>
              <w:spacing w:after="0"/>
              <w:rPr>
                <w:sz w:val="1"/>
                <w:szCs w:val="1"/>
                <w:color w:val="auto"/>
              </w:rPr>
            </w:pPr>
          </w:p>
        </w:tc>
      </w:tr>
      <w:tr>
        <w:trPr>
          <w:trHeight w:val="171"/>
        </w:trPr>
        <w:tc>
          <w:tcPr>
            <w:tcW w:w="1200" w:type="dxa"/>
            <w:vAlign w:val="bottom"/>
            <w:gridSpan w:val="3"/>
            <w:vMerge w:val="continue"/>
          </w:tcPr>
          <w:p>
            <w:pPr>
              <w:spacing w:after="0"/>
              <w:rPr>
                <w:sz w:val="14"/>
                <w:szCs w:val="14"/>
                <w:color w:val="auto"/>
              </w:rPr>
            </w:pPr>
          </w:p>
        </w:tc>
        <w:tc>
          <w:tcPr>
            <w:tcW w:w="5000" w:type="dxa"/>
            <w:vAlign w:val="bottom"/>
          </w:tcPr>
          <w:p>
            <w:pPr>
              <w:spacing w:after="0"/>
              <w:rPr>
                <w:sz w:val="14"/>
                <w:szCs w:val="14"/>
                <w:color w:val="auto"/>
              </w:rPr>
            </w:pPr>
          </w:p>
        </w:tc>
        <w:tc>
          <w:tcPr>
            <w:tcW w:w="128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5"/>
              </w:rPr>
              <w:t>Fair Value</w:t>
            </w:r>
          </w:p>
        </w:tc>
        <w:tc>
          <w:tcPr>
            <w:tcW w:w="10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7"/>
              </w:rPr>
              <w:t>Portfolio</w:t>
            </w:r>
          </w:p>
        </w:tc>
        <w:tc>
          <w:tcPr>
            <w:tcW w:w="220" w:type="dxa"/>
            <w:vAlign w:val="bottom"/>
          </w:tcPr>
          <w:p>
            <w:pPr>
              <w:spacing w:after="0"/>
              <w:rPr>
                <w:sz w:val="14"/>
                <w:szCs w:val="14"/>
                <w:color w:val="auto"/>
              </w:rPr>
            </w:pPr>
          </w:p>
        </w:tc>
        <w:tc>
          <w:tcPr>
            <w:tcW w:w="128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5"/>
              </w:rPr>
              <w:t>Fair Value</w:t>
            </w:r>
          </w:p>
        </w:tc>
        <w:tc>
          <w:tcPr>
            <w:tcW w:w="9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Portfolio</w:t>
            </w: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500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2580" w:type="dxa"/>
            <w:vAlign w:val="bottom"/>
            <w:tcBorders>
              <w:top w:val="single" w:sz="8" w:color="auto"/>
            </w:tcBorders>
            <w:gridSpan w:val="5"/>
          </w:tcPr>
          <w:p>
            <w:pPr>
              <w:jc w:val="right"/>
              <w:ind w:right="1100"/>
              <w:spacing w:after="0" w:line="142" w:lineRule="exact"/>
              <w:rPr>
                <w:sz w:val="20"/>
                <w:szCs w:val="20"/>
                <w:color w:val="auto"/>
              </w:rPr>
            </w:pPr>
            <w:r>
              <w:rPr>
                <w:rFonts w:ascii="Arial" w:cs="Arial" w:eastAsia="Arial" w:hAnsi="Arial"/>
                <w:sz w:val="14"/>
                <w:szCs w:val="14"/>
                <w:b w:val="1"/>
                <w:bCs w:val="1"/>
                <w:color w:val="auto"/>
              </w:rPr>
              <w:t>($ in thousands)</w:t>
            </w:r>
          </w:p>
        </w:tc>
        <w:tc>
          <w:tcPr>
            <w:tcW w:w="7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Green</w:t>
            </w:r>
          </w:p>
        </w:tc>
        <w:tc>
          <w:tcPr>
            <w:tcW w:w="628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$ 260,237</w:t>
            </w: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91.2%</w:t>
            </w:r>
          </w:p>
        </w:tc>
        <w:tc>
          <w:tcPr>
            <w:tcW w:w="150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$ 278,769</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94.4%</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40" w:type="dxa"/>
            <w:vAlign w:val="bottom"/>
            <w:gridSpan w:val="2"/>
          </w:tcPr>
          <w:p>
            <w:pPr>
              <w:spacing w:after="0"/>
              <w:rPr>
                <w:sz w:val="20"/>
                <w:szCs w:val="20"/>
                <w:color w:val="auto"/>
              </w:rPr>
            </w:pPr>
            <w:r>
              <w:rPr>
                <w:rFonts w:ascii="Arial" w:cs="Arial" w:eastAsia="Arial" w:hAnsi="Arial"/>
                <w:sz w:val="18"/>
                <w:szCs w:val="18"/>
                <w:color w:val="auto"/>
              </w:rPr>
              <w:t>Yellow</w:t>
            </w:r>
          </w:p>
        </w:tc>
        <w:tc>
          <w:tcPr>
            <w:tcW w:w="6280" w:type="dxa"/>
            <w:vAlign w:val="bottom"/>
            <w:gridSpan w:val="3"/>
          </w:tcPr>
          <w:p>
            <w:pPr>
              <w:jc w:val="right"/>
              <w:ind w:right="540"/>
              <w:spacing w:after="0"/>
              <w:rPr>
                <w:sz w:val="20"/>
                <w:szCs w:val="20"/>
                <w:color w:val="auto"/>
              </w:rPr>
            </w:pPr>
            <w:r>
              <w:rPr>
                <w:rFonts w:ascii="Arial" w:cs="Arial" w:eastAsia="Arial" w:hAnsi="Arial"/>
                <w:sz w:val="18"/>
                <w:szCs w:val="18"/>
                <w:color w:val="auto"/>
              </w:rPr>
              <w:t>23,061</w:t>
            </w: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rPr>
              <w:t>8.1</w:t>
            </w:r>
          </w:p>
        </w:tc>
        <w:tc>
          <w:tcPr>
            <w:tcW w:w="1500" w:type="dxa"/>
            <w:vAlign w:val="bottom"/>
            <w:gridSpan w:val="3"/>
          </w:tcPr>
          <w:p>
            <w:pPr>
              <w:jc w:val="right"/>
              <w:ind w:right="520"/>
              <w:spacing w:after="0"/>
              <w:rPr>
                <w:sz w:val="20"/>
                <w:szCs w:val="20"/>
                <w:color w:val="auto"/>
              </w:rPr>
            </w:pPr>
            <w:r>
              <w:rPr>
                <w:rFonts w:ascii="Arial" w:cs="Arial" w:eastAsia="Arial" w:hAnsi="Arial"/>
                <w:sz w:val="18"/>
                <w:szCs w:val="18"/>
                <w:color w:val="auto"/>
              </w:rPr>
              <w:t>12,875</w:t>
            </w:r>
          </w:p>
        </w:tc>
        <w:tc>
          <w:tcPr>
            <w:tcW w:w="700" w:type="dxa"/>
            <w:vAlign w:val="bottom"/>
          </w:tcPr>
          <w:p>
            <w:pPr>
              <w:jc w:val="right"/>
              <w:spacing w:after="0"/>
              <w:rPr>
                <w:sz w:val="20"/>
                <w:szCs w:val="20"/>
                <w:color w:val="auto"/>
              </w:rPr>
            </w:pPr>
            <w:r>
              <w:rPr>
                <w:rFonts w:ascii="Arial" w:cs="Arial" w:eastAsia="Arial" w:hAnsi="Arial"/>
                <w:sz w:val="18"/>
                <w:szCs w:val="18"/>
                <w:color w:val="auto"/>
              </w:rPr>
              <w:t>4.4</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Red</w:t>
            </w:r>
          </w:p>
        </w:tc>
        <w:tc>
          <w:tcPr>
            <w:tcW w:w="628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2,029</w:t>
            </w: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0.7</w:t>
            </w:r>
          </w:p>
        </w:tc>
        <w:tc>
          <w:tcPr>
            <w:tcW w:w="150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2,978</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40" w:type="dxa"/>
            <w:vAlign w:val="bottom"/>
            <w:gridSpan w:val="2"/>
          </w:tcPr>
          <w:p>
            <w:pPr>
              <w:spacing w:after="0"/>
              <w:rPr>
                <w:sz w:val="20"/>
                <w:szCs w:val="20"/>
                <w:color w:val="auto"/>
              </w:rPr>
            </w:pPr>
            <w:r>
              <w:rPr>
                <w:rFonts w:ascii="Arial" w:cs="Arial" w:eastAsia="Arial" w:hAnsi="Arial"/>
                <w:sz w:val="18"/>
                <w:szCs w:val="18"/>
                <w:color w:val="auto"/>
              </w:rPr>
              <w:t>N/A(1)</w:t>
            </w:r>
          </w:p>
        </w:tc>
        <w:tc>
          <w:tcPr>
            <w:tcW w:w="500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gridSpan w:val="2"/>
          </w:tcPr>
          <w:p>
            <w:pPr>
              <w:jc w:val="right"/>
              <w:ind w:right="520"/>
              <w:spacing w:after="0"/>
              <w:rPr>
                <w:sz w:val="20"/>
                <w:szCs w:val="20"/>
                <w:color w:val="auto"/>
              </w:rPr>
            </w:pPr>
            <w:r>
              <w:rPr>
                <w:rFonts w:ascii="Arial" w:cs="Arial" w:eastAsia="Arial" w:hAnsi="Arial"/>
                <w:sz w:val="18"/>
                <w:szCs w:val="18"/>
                <w:color w:val="auto"/>
              </w:rPr>
              <w:t>617</w:t>
            </w:r>
          </w:p>
        </w:tc>
        <w:tc>
          <w:tcPr>
            <w:tcW w:w="700" w:type="dxa"/>
            <w:vAlign w:val="bottom"/>
          </w:tcPr>
          <w:p>
            <w:pPr>
              <w:jc w:val="right"/>
              <w:spacing w:after="0"/>
              <w:rPr>
                <w:sz w:val="20"/>
                <w:szCs w:val="20"/>
                <w:color w:val="auto"/>
              </w:rPr>
            </w:pPr>
            <w:r>
              <w:rPr>
                <w:rFonts w:ascii="Arial" w:cs="Arial" w:eastAsia="Arial" w:hAnsi="Arial"/>
                <w:sz w:val="18"/>
                <w:szCs w:val="18"/>
                <w:color w:val="auto"/>
              </w:rPr>
              <w:t>0.2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60" w:type="dxa"/>
            <w:vAlign w:val="bottom"/>
            <w:vMerge w:val="restart"/>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50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vMerge w:val="continue"/>
          </w:tcPr>
          <w:p>
            <w:pPr>
              <w:spacing w:after="0"/>
              <w:rPr>
                <w:sz w:val="18"/>
                <w:szCs w:val="18"/>
                <w:color w:val="auto"/>
              </w:rPr>
            </w:pPr>
          </w:p>
        </w:tc>
        <w:tc>
          <w:tcPr>
            <w:tcW w:w="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628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$ 285,327</w:t>
            </w: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100.0%</w:t>
            </w:r>
          </w:p>
        </w:tc>
        <w:tc>
          <w:tcPr>
            <w:tcW w:w="150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$ 295,239</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50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460" w:hanging="452"/>
        <w:spacing w:after="0"/>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Comprised of Saratoga CLO’s equity interests.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Portfolio composition by industry grouping at fair value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shows our portfolio composition by industry grouping at fair value at November 30, 2015 and February 28, 2015:</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20" w:type="dxa"/>
            <w:vAlign w:val="bottom"/>
            <w:gridSpan w:val="4"/>
          </w:tcPr>
          <w:p>
            <w:pPr>
              <w:jc w:val="right"/>
              <w:ind w:right="560"/>
              <w:spacing w:after="0"/>
              <w:rPr>
                <w:sz w:val="20"/>
                <w:szCs w:val="20"/>
                <w:color w:val="auto"/>
              </w:rPr>
            </w:pPr>
            <w:r>
              <w:rPr>
                <w:rFonts w:ascii="Arial" w:cs="Arial" w:eastAsia="Arial" w:hAnsi="Arial"/>
                <w:sz w:val="14"/>
                <w:szCs w:val="14"/>
                <w:b w:val="1"/>
                <w:bCs w:val="1"/>
                <w:color w:val="auto"/>
                <w:w w:val="98"/>
              </w:rPr>
              <w:t>At November 30, 2015</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00" w:type="dxa"/>
            <w:vAlign w:val="bottom"/>
            <w:gridSpan w:val="4"/>
          </w:tcPr>
          <w:p>
            <w:pPr>
              <w:jc w:val="right"/>
              <w:ind w:right="460"/>
              <w:spacing w:after="0"/>
              <w:rPr>
                <w:sz w:val="20"/>
                <w:szCs w:val="20"/>
                <w:color w:val="auto"/>
              </w:rPr>
            </w:pPr>
            <w:r>
              <w:rPr>
                <w:rFonts w:ascii="Arial" w:cs="Arial" w:eastAsia="Arial" w:hAnsi="Arial"/>
                <w:sz w:val="14"/>
                <w:szCs w:val="14"/>
                <w:b w:val="1"/>
                <w:bCs w:val="1"/>
                <w:color w:val="auto"/>
              </w:rPr>
              <w:t>At February 28, 2015</w:t>
            </w:r>
          </w:p>
        </w:tc>
      </w:tr>
      <w:tr>
        <w:trPr>
          <w:trHeight w:val="119"/>
        </w:trPr>
        <w:tc>
          <w:tcPr>
            <w:tcW w:w="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3260" w:type="dxa"/>
            <w:vAlign w:val="bottom"/>
          </w:tcPr>
          <w:p>
            <w:pPr>
              <w:spacing w:after="0"/>
              <w:rPr>
                <w:sz w:val="10"/>
                <w:szCs w:val="10"/>
                <w:color w:val="auto"/>
              </w:rPr>
            </w:pPr>
          </w:p>
        </w:tc>
        <w:tc>
          <w:tcPr>
            <w:tcW w:w="2620" w:type="dxa"/>
            <w:vAlign w:val="bottom"/>
          </w:tcPr>
          <w:p>
            <w:pPr>
              <w:spacing w:after="0"/>
              <w:rPr>
                <w:sz w:val="10"/>
                <w:szCs w:val="10"/>
                <w:color w:val="auto"/>
              </w:rPr>
            </w:pPr>
          </w:p>
        </w:tc>
        <w:tc>
          <w:tcPr>
            <w:tcW w:w="1160" w:type="dxa"/>
            <w:vAlign w:val="bottom"/>
            <w:tcBorders>
              <w:top w:val="single" w:sz="8" w:color="auto"/>
            </w:tcBorders>
            <w:gridSpan w:val="3"/>
          </w:tcPr>
          <w:p>
            <w:pPr>
              <w:ind w:left="20"/>
              <w:spacing w:after="0" w:line="119" w:lineRule="exact"/>
              <w:rPr>
                <w:sz w:val="20"/>
                <w:szCs w:val="20"/>
                <w:color w:val="auto"/>
              </w:rPr>
            </w:pPr>
            <w:r>
              <w:rPr>
                <w:rFonts w:ascii="Arial" w:cs="Arial" w:eastAsia="Arial" w:hAnsi="Arial"/>
                <w:sz w:val="13"/>
                <w:szCs w:val="13"/>
                <w:b w:val="1"/>
                <w:bCs w:val="1"/>
                <w:color w:val="auto"/>
              </w:rPr>
              <w:t>Investments</w:t>
            </w:r>
          </w:p>
        </w:tc>
        <w:tc>
          <w:tcPr>
            <w:tcW w:w="68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6"/>
              </w:rPr>
              <w:t>Percentage</w:t>
            </w:r>
          </w:p>
        </w:tc>
        <w:tc>
          <w:tcPr>
            <w:tcW w:w="3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4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Investments</w:t>
            </w:r>
          </w:p>
        </w:tc>
        <w:tc>
          <w:tcPr>
            <w:tcW w:w="70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6"/>
              </w:rPr>
              <w:t>Percentage</w:t>
            </w:r>
          </w:p>
        </w:tc>
        <w:tc>
          <w:tcPr>
            <w:tcW w:w="200" w:type="dxa"/>
            <w:vAlign w:val="bottom"/>
          </w:tcPr>
          <w:p>
            <w:pPr>
              <w:spacing w:after="0"/>
              <w:rPr>
                <w:sz w:val="10"/>
                <w:szCs w:val="10"/>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tcPr>
          <w:p>
            <w:pPr>
              <w:jc w:val="right"/>
              <w:ind w:right="720"/>
              <w:spacing w:after="0" w:line="149" w:lineRule="exact"/>
              <w:rPr>
                <w:sz w:val="20"/>
                <w:szCs w:val="20"/>
                <w:color w:val="auto"/>
              </w:rPr>
            </w:pPr>
            <w:r>
              <w:rPr>
                <w:rFonts w:ascii="Arial" w:cs="Arial" w:eastAsia="Arial" w:hAnsi="Arial"/>
                <w:sz w:val="14"/>
                <w:szCs w:val="14"/>
                <w:b w:val="1"/>
                <w:bCs w:val="1"/>
                <w:color w:val="auto"/>
              </w:rPr>
              <w:t>at</w:t>
            </w:r>
          </w:p>
        </w:tc>
        <w:tc>
          <w:tcPr>
            <w:tcW w:w="10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4"/>
              </w:rPr>
              <w:t>of Total</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6"/>
              </w:rPr>
              <w:t>at</w:t>
            </w:r>
          </w:p>
        </w:tc>
        <w:tc>
          <w:tcPr>
            <w:tcW w:w="9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of Total</w:t>
            </w:r>
          </w:p>
        </w:tc>
      </w:tr>
      <w:tr>
        <w:trPr>
          <w:trHeight w:val="17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1160" w:type="dxa"/>
            <w:vAlign w:val="bottom"/>
            <w:gridSpan w:val="3"/>
          </w:tcPr>
          <w:p>
            <w:pPr>
              <w:jc w:val="right"/>
              <w:ind w:right="460"/>
              <w:spacing w:after="0"/>
              <w:rPr>
                <w:sz w:val="20"/>
                <w:szCs w:val="20"/>
                <w:color w:val="auto"/>
              </w:rPr>
            </w:pPr>
            <w:r>
              <w:rPr>
                <w:rFonts w:ascii="Arial" w:cs="Arial" w:eastAsia="Arial" w:hAnsi="Arial"/>
                <w:sz w:val="14"/>
                <w:szCs w:val="14"/>
                <w:b w:val="1"/>
                <w:bCs w:val="1"/>
                <w:color w:val="auto"/>
              </w:rPr>
              <w:t>Fair Value</w:t>
            </w:r>
          </w:p>
        </w:tc>
        <w:tc>
          <w:tcPr>
            <w:tcW w:w="10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Portfolio</w:t>
            </w:r>
          </w:p>
        </w:tc>
        <w:tc>
          <w:tcPr>
            <w:tcW w:w="180" w:type="dxa"/>
            <w:vAlign w:val="bottom"/>
          </w:tcPr>
          <w:p>
            <w:pPr>
              <w:spacing w:after="0"/>
              <w:rPr>
                <w:sz w:val="14"/>
                <w:szCs w:val="14"/>
                <w:color w:val="auto"/>
              </w:rPr>
            </w:pPr>
          </w:p>
        </w:tc>
        <w:tc>
          <w:tcPr>
            <w:tcW w:w="114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95"/>
              </w:rPr>
              <w:t>Fair Value</w:t>
            </w:r>
          </w:p>
        </w:tc>
        <w:tc>
          <w:tcPr>
            <w:tcW w:w="9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Portfolio</w:t>
            </w: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2320" w:type="dxa"/>
            <w:vAlign w:val="bottom"/>
            <w:tcBorders>
              <w:top w:val="single" w:sz="8" w:color="auto"/>
            </w:tcBorders>
            <w:gridSpan w:val="6"/>
          </w:tcPr>
          <w:p>
            <w:pPr>
              <w:ind w:left="440"/>
              <w:spacing w:after="0" w:line="142" w:lineRule="exact"/>
              <w:rPr>
                <w:sz w:val="20"/>
                <w:szCs w:val="20"/>
                <w:color w:val="auto"/>
              </w:rPr>
            </w:pPr>
            <w:r>
              <w:rPr>
                <w:rFonts w:ascii="Arial" w:cs="Arial" w:eastAsia="Arial" w:hAnsi="Arial"/>
                <w:sz w:val="14"/>
                <w:szCs w:val="14"/>
                <w:b w:val="1"/>
                <w:bCs w:val="1"/>
                <w:color w:val="auto"/>
              </w:rPr>
              <w:t>($ in thousands)</w:t>
            </w:r>
          </w:p>
        </w:tc>
        <w:tc>
          <w:tcPr>
            <w:tcW w:w="7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4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Business Services</w:t>
            </w:r>
          </w:p>
        </w:tc>
        <w:tc>
          <w:tcPr>
            <w:tcW w:w="2760" w:type="dxa"/>
            <w:vAlign w:val="bottom"/>
            <w:gridSpan w:val="2"/>
            <w:shd w:val="clear" w:color="auto" w:fill="CCEEFF"/>
          </w:tcPr>
          <w:p>
            <w:pPr>
              <w:ind w:left="26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60,626</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25.2%</w:t>
            </w:r>
          </w:p>
        </w:tc>
        <w:tc>
          <w:tcPr>
            <w:tcW w:w="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52,128</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21.7%</w:t>
            </w:r>
          </w:p>
        </w:tc>
      </w:tr>
      <w:tr>
        <w:trPr>
          <w:trHeight w:val="216"/>
        </w:trPr>
        <w:tc>
          <w:tcPr>
            <w:tcW w:w="20" w:type="dxa"/>
            <w:vAlign w:val="bottom"/>
          </w:tcPr>
          <w:p>
            <w:pPr>
              <w:spacing w:after="0"/>
              <w:rPr>
                <w:sz w:val="18"/>
                <w:szCs w:val="18"/>
                <w:color w:val="auto"/>
              </w:rPr>
            </w:pPr>
          </w:p>
        </w:tc>
        <w:tc>
          <w:tcPr>
            <w:tcW w:w="4400" w:type="dxa"/>
            <w:vAlign w:val="bottom"/>
            <w:gridSpan w:val="2"/>
          </w:tcPr>
          <w:p>
            <w:pPr>
              <w:spacing w:after="0"/>
              <w:rPr>
                <w:sz w:val="20"/>
                <w:szCs w:val="20"/>
                <w:color w:val="auto"/>
              </w:rPr>
            </w:pPr>
            <w:r>
              <w:rPr>
                <w:rFonts w:ascii="Arial" w:cs="Arial" w:eastAsia="Arial" w:hAnsi="Arial"/>
                <w:sz w:val="18"/>
                <w:szCs w:val="18"/>
                <w:color w:val="auto"/>
              </w:rPr>
              <w:t>Consumer Services</w:t>
            </w:r>
          </w:p>
        </w:tc>
        <w:tc>
          <w:tcPr>
            <w:tcW w:w="2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8"/>
                <w:szCs w:val="18"/>
                <w:color w:val="auto"/>
              </w:rPr>
              <w:t>44,277</w:t>
            </w: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18.4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24,169</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10.0</w:t>
            </w:r>
          </w:p>
        </w:tc>
      </w:tr>
      <w:tr>
        <w:trPr>
          <w:trHeight w:val="216"/>
        </w:trPr>
        <w:tc>
          <w:tcPr>
            <w:tcW w:w="20" w:type="dxa"/>
            <w:vAlign w:val="bottom"/>
          </w:tcPr>
          <w:p>
            <w:pPr>
              <w:spacing w:after="0"/>
              <w:rPr>
                <w:sz w:val="18"/>
                <w:szCs w:val="18"/>
                <w:color w:val="auto"/>
              </w:rPr>
            </w:pPr>
          </w:p>
        </w:tc>
        <w:tc>
          <w:tcPr>
            <w:tcW w:w="4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Software as a Service</w:t>
            </w:r>
          </w:p>
        </w:tc>
        <w:tc>
          <w:tcPr>
            <w:tcW w:w="2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36,650</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15.2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53,525</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22.3</w:t>
            </w:r>
          </w:p>
        </w:tc>
      </w:tr>
      <w:tr>
        <w:trPr>
          <w:trHeight w:val="216"/>
        </w:trPr>
        <w:tc>
          <w:tcPr>
            <w:tcW w:w="20" w:type="dxa"/>
            <w:vAlign w:val="bottom"/>
          </w:tcPr>
          <w:p>
            <w:pPr>
              <w:spacing w:after="0"/>
              <w:rPr>
                <w:sz w:val="18"/>
                <w:szCs w:val="18"/>
                <w:color w:val="auto"/>
              </w:rPr>
            </w:pPr>
          </w:p>
        </w:tc>
        <w:tc>
          <w:tcPr>
            <w:tcW w:w="4400" w:type="dxa"/>
            <w:vAlign w:val="bottom"/>
            <w:gridSpan w:val="2"/>
          </w:tcPr>
          <w:p>
            <w:pPr>
              <w:spacing w:after="0"/>
              <w:rPr>
                <w:sz w:val="20"/>
                <w:szCs w:val="20"/>
                <w:color w:val="auto"/>
              </w:rPr>
            </w:pPr>
            <w:r>
              <w:rPr>
                <w:rFonts w:ascii="Arial" w:cs="Arial" w:eastAsia="Arial" w:hAnsi="Arial"/>
                <w:sz w:val="18"/>
                <w:szCs w:val="18"/>
                <w:color w:val="auto"/>
              </w:rPr>
              <w:t>Healthcare Services</w:t>
            </w:r>
          </w:p>
        </w:tc>
        <w:tc>
          <w:tcPr>
            <w:tcW w:w="2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8"/>
                <w:szCs w:val="18"/>
                <w:color w:val="auto"/>
              </w:rPr>
              <w:t>19,235</w:t>
            </w: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8.0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20,641</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8.6</w:t>
            </w:r>
          </w:p>
        </w:tc>
      </w:tr>
      <w:tr>
        <w:trPr>
          <w:trHeight w:val="216"/>
        </w:trPr>
        <w:tc>
          <w:tcPr>
            <w:tcW w:w="20" w:type="dxa"/>
            <w:vAlign w:val="bottom"/>
          </w:tcPr>
          <w:p>
            <w:pPr>
              <w:spacing w:after="0"/>
              <w:rPr>
                <w:sz w:val="18"/>
                <w:szCs w:val="18"/>
                <w:color w:val="auto"/>
              </w:rPr>
            </w:pPr>
          </w:p>
        </w:tc>
        <w:tc>
          <w:tcPr>
            <w:tcW w:w="4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Media</w:t>
            </w:r>
          </w:p>
        </w:tc>
        <w:tc>
          <w:tcPr>
            <w:tcW w:w="2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17,423</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15,026</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6.2</w:t>
            </w:r>
          </w:p>
        </w:tc>
      </w:tr>
      <w:tr>
        <w:trPr>
          <w:trHeight w:val="216"/>
        </w:trPr>
        <w:tc>
          <w:tcPr>
            <w:tcW w:w="20" w:type="dxa"/>
            <w:vAlign w:val="bottom"/>
          </w:tcPr>
          <w:p>
            <w:pPr>
              <w:spacing w:after="0"/>
              <w:rPr>
                <w:sz w:val="18"/>
                <w:szCs w:val="18"/>
                <w:color w:val="auto"/>
              </w:rPr>
            </w:pPr>
          </w:p>
        </w:tc>
        <w:tc>
          <w:tcPr>
            <w:tcW w:w="4400" w:type="dxa"/>
            <w:vAlign w:val="bottom"/>
            <w:gridSpan w:val="2"/>
          </w:tcPr>
          <w:p>
            <w:pPr>
              <w:spacing w:after="0"/>
              <w:rPr>
                <w:sz w:val="20"/>
                <w:szCs w:val="20"/>
                <w:color w:val="auto"/>
              </w:rPr>
            </w:pPr>
            <w:r>
              <w:rPr>
                <w:rFonts w:ascii="Arial" w:cs="Arial" w:eastAsia="Arial" w:hAnsi="Arial"/>
                <w:sz w:val="18"/>
                <w:szCs w:val="18"/>
                <w:color w:val="auto"/>
              </w:rPr>
              <w:t>Structured Finance (1)</w:t>
            </w:r>
          </w:p>
        </w:tc>
        <w:tc>
          <w:tcPr>
            <w:tcW w:w="2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8"/>
                <w:szCs w:val="18"/>
                <w:color w:val="auto"/>
              </w:rPr>
              <w:t>15,776</w:t>
            </w: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6.5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17,031</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7.1</w:t>
            </w:r>
          </w:p>
        </w:tc>
      </w:tr>
      <w:tr>
        <w:trPr>
          <w:trHeight w:val="216"/>
        </w:trPr>
        <w:tc>
          <w:tcPr>
            <w:tcW w:w="20" w:type="dxa"/>
            <w:vAlign w:val="bottom"/>
          </w:tcPr>
          <w:p>
            <w:pPr>
              <w:spacing w:after="0"/>
              <w:rPr>
                <w:sz w:val="18"/>
                <w:szCs w:val="18"/>
                <w:color w:val="auto"/>
              </w:rPr>
            </w:pPr>
          </w:p>
        </w:tc>
        <w:tc>
          <w:tcPr>
            <w:tcW w:w="4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Metals</w:t>
            </w:r>
          </w:p>
        </w:tc>
        <w:tc>
          <w:tcPr>
            <w:tcW w:w="2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11,765</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15,262</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6.3</w:t>
            </w:r>
          </w:p>
        </w:tc>
      </w:tr>
      <w:tr>
        <w:trPr>
          <w:trHeight w:val="216"/>
        </w:trPr>
        <w:tc>
          <w:tcPr>
            <w:tcW w:w="20" w:type="dxa"/>
            <w:vAlign w:val="bottom"/>
          </w:tcPr>
          <w:p>
            <w:pPr>
              <w:spacing w:after="0"/>
              <w:rPr>
                <w:sz w:val="18"/>
                <w:szCs w:val="18"/>
                <w:color w:val="auto"/>
              </w:rPr>
            </w:pPr>
          </w:p>
        </w:tc>
        <w:tc>
          <w:tcPr>
            <w:tcW w:w="4400" w:type="dxa"/>
            <w:vAlign w:val="bottom"/>
            <w:gridSpan w:val="2"/>
          </w:tcPr>
          <w:p>
            <w:pPr>
              <w:spacing w:after="0"/>
              <w:rPr>
                <w:sz w:val="20"/>
                <w:szCs w:val="20"/>
                <w:color w:val="auto"/>
              </w:rPr>
            </w:pPr>
            <w:r>
              <w:rPr>
                <w:rFonts w:ascii="Arial" w:cs="Arial" w:eastAsia="Arial" w:hAnsi="Arial"/>
                <w:sz w:val="18"/>
                <w:szCs w:val="18"/>
                <w:color w:val="auto"/>
              </w:rPr>
              <w:t>Automotive Aftermarket</w:t>
            </w:r>
          </w:p>
        </w:tc>
        <w:tc>
          <w:tcPr>
            <w:tcW w:w="2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8"/>
                <w:szCs w:val="18"/>
                <w:color w:val="auto"/>
              </w:rPr>
              <w:t>10,791</w:t>
            </w: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4.5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10,980</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4.6</w:t>
            </w:r>
          </w:p>
        </w:tc>
      </w:tr>
      <w:tr>
        <w:trPr>
          <w:trHeight w:val="216"/>
        </w:trPr>
        <w:tc>
          <w:tcPr>
            <w:tcW w:w="20" w:type="dxa"/>
            <w:vAlign w:val="bottom"/>
          </w:tcPr>
          <w:p>
            <w:pPr>
              <w:spacing w:after="0"/>
              <w:rPr>
                <w:sz w:val="18"/>
                <w:szCs w:val="18"/>
                <w:color w:val="auto"/>
              </w:rPr>
            </w:pPr>
          </w:p>
        </w:tc>
        <w:tc>
          <w:tcPr>
            <w:tcW w:w="4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Consumer Products</w:t>
            </w:r>
          </w:p>
        </w:tc>
        <w:tc>
          <w:tcPr>
            <w:tcW w:w="2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9,780</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9,239</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3.9</w:t>
            </w:r>
          </w:p>
        </w:tc>
      </w:tr>
      <w:tr>
        <w:trPr>
          <w:trHeight w:val="216"/>
        </w:trPr>
        <w:tc>
          <w:tcPr>
            <w:tcW w:w="20" w:type="dxa"/>
            <w:vAlign w:val="bottom"/>
          </w:tcPr>
          <w:p>
            <w:pPr>
              <w:spacing w:after="0"/>
              <w:rPr>
                <w:sz w:val="18"/>
                <w:szCs w:val="18"/>
                <w:color w:val="auto"/>
              </w:rPr>
            </w:pPr>
          </w:p>
        </w:tc>
        <w:tc>
          <w:tcPr>
            <w:tcW w:w="4400" w:type="dxa"/>
            <w:vAlign w:val="bottom"/>
            <w:gridSpan w:val="2"/>
          </w:tcPr>
          <w:p>
            <w:pPr>
              <w:spacing w:after="0"/>
              <w:rPr>
                <w:sz w:val="20"/>
                <w:szCs w:val="20"/>
                <w:color w:val="auto"/>
              </w:rPr>
            </w:pPr>
            <w:r>
              <w:rPr>
                <w:rFonts w:ascii="Arial" w:cs="Arial" w:eastAsia="Arial" w:hAnsi="Arial"/>
                <w:sz w:val="18"/>
                <w:szCs w:val="18"/>
                <w:color w:val="auto"/>
              </w:rPr>
              <w:t>Food and Beverage</w:t>
            </w:r>
          </w:p>
        </w:tc>
        <w:tc>
          <w:tcPr>
            <w:tcW w:w="2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8"/>
                <w:szCs w:val="18"/>
                <w:color w:val="auto"/>
              </w:rPr>
              <w:t>9,677</w:t>
            </w: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4.0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10,348</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4.3</w:t>
            </w:r>
          </w:p>
        </w:tc>
      </w:tr>
      <w:tr>
        <w:trPr>
          <w:trHeight w:val="216"/>
        </w:trPr>
        <w:tc>
          <w:tcPr>
            <w:tcW w:w="20" w:type="dxa"/>
            <w:vAlign w:val="bottom"/>
          </w:tcPr>
          <w:p>
            <w:pPr>
              <w:spacing w:after="0"/>
              <w:rPr>
                <w:sz w:val="18"/>
                <w:szCs w:val="18"/>
                <w:color w:val="auto"/>
              </w:rPr>
            </w:pPr>
          </w:p>
        </w:tc>
        <w:tc>
          <w:tcPr>
            <w:tcW w:w="4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Building Products</w:t>
            </w:r>
          </w:p>
        </w:tc>
        <w:tc>
          <w:tcPr>
            <w:tcW w:w="2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5,030</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3,436</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w:t>
            </w:r>
          </w:p>
        </w:tc>
      </w:tr>
      <w:tr>
        <w:trPr>
          <w:trHeight w:val="216"/>
        </w:trPr>
        <w:tc>
          <w:tcPr>
            <w:tcW w:w="20" w:type="dxa"/>
            <w:vAlign w:val="bottom"/>
          </w:tcPr>
          <w:p>
            <w:pPr>
              <w:spacing w:after="0"/>
              <w:rPr>
                <w:sz w:val="18"/>
                <w:szCs w:val="18"/>
                <w:color w:val="auto"/>
              </w:rPr>
            </w:pPr>
          </w:p>
        </w:tc>
        <w:tc>
          <w:tcPr>
            <w:tcW w:w="4400" w:type="dxa"/>
            <w:vAlign w:val="bottom"/>
            <w:gridSpan w:val="2"/>
          </w:tcPr>
          <w:p>
            <w:pPr>
              <w:spacing w:after="0"/>
              <w:rPr>
                <w:sz w:val="20"/>
                <w:szCs w:val="20"/>
                <w:color w:val="auto"/>
              </w:rPr>
            </w:pPr>
            <w:r>
              <w:rPr>
                <w:rFonts w:ascii="Arial" w:cs="Arial" w:eastAsia="Arial" w:hAnsi="Arial"/>
                <w:sz w:val="18"/>
                <w:szCs w:val="18"/>
                <w:color w:val="auto"/>
              </w:rPr>
              <w:t>Education</w:t>
            </w:r>
          </w:p>
        </w:tc>
        <w:tc>
          <w:tcPr>
            <w:tcW w:w="2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8"/>
                <w:szCs w:val="18"/>
                <w:color w:val="auto"/>
              </w:rPr>
              <w:t>8</w:t>
            </w: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0.0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101</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0.0</w:t>
            </w:r>
          </w:p>
        </w:tc>
      </w:tr>
      <w:tr>
        <w:trPr>
          <w:trHeight w:val="216"/>
        </w:trPr>
        <w:tc>
          <w:tcPr>
            <w:tcW w:w="20" w:type="dxa"/>
            <w:vAlign w:val="bottom"/>
          </w:tcPr>
          <w:p>
            <w:pPr>
              <w:spacing w:after="0"/>
              <w:rPr>
                <w:sz w:val="18"/>
                <w:szCs w:val="18"/>
                <w:color w:val="auto"/>
              </w:rPr>
            </w:pPr>
          </w:p>
        </w:tc>
        <w:tc>
          <w:tcPr>
            <w:tcW w:w="4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Electronics</w:t>
            </w:r>
          </w:p>
        </w:tc>
        <w:tc>
          <w:tcPr>
            <w:tcW w:w="2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6,667</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2.8</w:t>
            </w:r>
          </w:p>
        </w:tc>
      </w:tr>
      <w:tr>
        <w:trPr>
          <w:trHeight w:val="223"/>
        </w:trPr>
        <w:tc>
          <w:tcPr>
            <w:tcW w:w="20" w:type="dxa"/>
            <w:vAlign w:val="bottom"/>
          </w:tcPr>
          <w:p>
            <w:pPr>
              <w:spacing w:after="0"/>
              <w:rPr>
                <w:sz w:val="19"/>
                <w:szCs w:val="19"/>
                <w:color w:val="auto"/>
              </w:rPr>
            </w:pPr>
          </w:p>
        </w:tc>
        <w:tc>
          <w:tcPr>
            <w:tcW w:w="4400" w:type="dxa"/>
            <w:vAlign w:val="bottom"/>
            <w:gridSpan w:val="2"/>
          </w:tcPr>
          <w:p>
            <w:pPr>
              <w:spacing w:after="0"/>
              <w:rPr>
                <w:sz w:val="20"/>
                <w:szCs w:val="20"/>
                <w:color w:val="auto"/>
              </w:rPr>
            </w:pPr>
            <w:r>
              <w:rPr>
                <w:rFonts w:ascii="Arial" w:cs="Arial" w:eastAsia="Arial" w:hAnsi="Arial"/>
                <w:sz w:val="18"/>
                <w:szCs w:val="18"/>
                <w:color w:val="auto"/>
              </w:rPr>
              <w:t>Publishing</w:t>
            </w:r>
          </w:p>
        </w:tc>
        <w:tc>
          <w:tcPr>
            <w:tcW w:w="26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1,985</w:t>
            </w:r>
          </w:p>
        </w:tc>
        <w:tc>
          <w:tcPr>
            <w:tcW w:w="380" w:type="dxa"/>
            <w:vAlign w:val="bottom"/>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w:t>
            </w:r>
          </w:p>
        </w:tc>
        <w:tc>
          <w:tcPr>
            <w:tcW w:w="2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2760" w:type="dxa"/>
            <w:vAlign w:val="bottom"/>
            <w:gridSpan w:val="2"/>
            <w:shd w:val="clear" w:color="auto" w:fill="CCEEFF"/>
          </w:tcPr>
          <w:p>
            <w:pPr>
              <w:ind w:left="26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2"/>
              </w:rPr>
              <w:t>241,038</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100.0%</w:t>
            </w:r>
          </w:p>
        </w:tc>
        <w:tc>
          <w:tcPr>
            <w:tcW w:w="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2"/>
              </w:rPr>
              <w:t>240,538</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100.0%</w:t>
            </w: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326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r>
    </w:tbl>
    <w:p>
      <w:pPr>
        <w:spacing w:after="0" w:line="26" w:lineRule="exact"/>
        <w:rPr>
          <w:sz w:val="20"/>
          <w:szCs w:val="20"/>
          <w:color w:val="auto"/>
        </w:rPr>
      </w:pPr>
    </w:p>
    <w:p>
      <w:pPr>
        <w:ind w:left="5620" w:right="5620" w:hanging="5612"/>
        <w:spacing w:after="0" w:line="536" w:lineRule="auto"/>
        <w:tabs>
          <w:tab w:leader="none" w:pos="450" w:val="left"/>
        </w:tabs>
        <w:numPr>
          <w:ilvl w:val="0"/>
          <w:numId w:val="27"/>
        </w:numPr>
        <w:rPr>
          <w:rFonts w:ascii="Arial" w:cs="Arial" w:eastAsia="Arial" w:hAnsi="Arial"/>
          <w:sz w:val="16"/>
          <w:szCs w:val="16"/>
          <w:color w:val="auto"/>
        </w:rPr>
      </w:pPr>
      <w:r>
        <w:rPr>
          <w:rFonts w:ascii="Arial" w:cs="Arial" w:eastAsia="Arial" w:hAnsi="Arial"/>
          <w:sz w:val="16"/>
          <w:szCs w:val="16"/>
          <w:color w:val="auto"/>
        </w:rPr>
        <w:t>Comprised of our investment in the subordinated notes of Saratoga CLO. 44</w:t>
      </w:r>
    </w:p>
    <w:p>
      <w:pPr>
        <w:sectPr>
          <w:pgSz w:w="11900" w:h="16838" w:orient="portrait"/>
          <w:cols w:equalWidth="0" w:num="1">
            <w:col w:w="11420"/>
          </w:cols>
          <w:pgMar w:left="240" w:top="45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shows Saratoga CLO’s portfolio composition by industry grouping at fair value at November 30, 2015 and February 28, 2015:</w:t>
      </w:r>
    </w:p>
    <w:p>
      <w:pPr>
        <w:spacing w:after="0" w:line="267"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41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20" w:type="dxa"/>
            <w:vAlign w:val="bottom"/>
            <w:gridSpan w:val="4"/>
          </w:tcPr>
          <w:p>
            <w:pPr>
              <w:jc w:val="right"/>
              <w:ind w:right="900"/>
              <w:spacing w:after="0"/>
              <w:rPr>
                <w:sz w:val="20"/>
                <w:szCs w:val="20"/>
                <w:color w:val="auto"/>
              </w:rPr>
            </w:pPr>
            <w:r>
              <w:rPr>
                <w:rFonts w:ascii="Arial" w:cs="Arial" w:eastAsia="Arial" w:hAnsi="Arial"/>
                <w:sz w:val="14"/>
                <w:szCs w:val="14"/>
                <w:b w:val="1"/>
                <w:bCs w:val="1"/>
                <w:color w:val="auto"/>
              </w:rPr>
              <w:t>At November 30, 2015</w:t>
            </w:r>
          </w:p>
        </w:tc>
        <w:tc>
          <w:tcPr>
            <w:tcW w:w="140" w:type="dxa"/>
            <w:vAlign w:val="bottom"/>
          </w:tcPr>
          <w:p>
            <w:pPr>
              <w:spacing w:after="0"/>
              <w:rPr>
                <w:sz w:val="14"/>
                <w:szCs w:val="14"/>
                <w:color w:val="auto"/>
              </w:rPr>
            </w:pPr>
          </w:p>
        </w:tc>
        <w:tc>
          <w:tcPr>
            <w:tcW w:w="2020" w:type="dxa"/>
            <w:vAlign w:val="bottom"/>
            <w:gridSpan w:val="4"/>
          </w:tcPr>
          <w:p>
            <w:pPr>
              <w:ind w:left="180"/>
              <w:spacing w:after="0"/>
              <w:rPr>
                <w:sz w:val="20"/>
                <w:szCs w:val="20"/>
                <w:color w:val="auto"/>
              </w:rPr>
            </w:pPr>
            <w:r>
              <w:rPr>
                <w:rFonts w:ascii="Arial" w:cs="Arial" w:eastAsia="Arial" w:hAnsi="Arial"/>
                <w:sz w:val="14"/>
                <w:szCs w:val="14"/>
                <w:b w:val="1"/>
                <w:bCs w:val="1"/>
                <w:color w:val="auto"/>
              </w:rPr>
              <w:t>At February 28, 2015</w:t>
            </w:r>
          </w:p>
        </w:tc>
        <w:tc>
          <w:tcPr>
            <w:tcW w:w="0" w:type="dxa"/>
            <w:vAlign w:val="bottom"/>
          </w:tcPr>
          <w:p>
            <w:pPr>
              <w:spacing w:after="0"/>
              <w:rPr>
                <w:sz w:val="1"/>
                <w:szCs w:val="1"/>
                <w:color w:val="auto"/>
              </w:rPr>
            </w:pPr>
          </w:p>
        </w:tc>
      </w:tr>
      <w:tr>
        <w:trPr>
          <w:trHeight w:val="119"/>
        </w:trPr>
        <w:tc>
          <w:tcPr>
            <w:tcW w:w="414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1260" w:type="dxa"/>
            <w:vAlign w:val="bottom"/>
            <w:tcBorders>
              <w:top w:val="single" w:sz="8" w:color="auto"/>
            </w:tcBorders>
            <w:gridSpan w:val="3"/>
          </w:tcPr>
          <w:p>
            <w:pPr>
              <w:ind w:left="20"/>
              <w:spacing w:after="0" w:line="119" w:lineRule="exact"/>
              <w:rPr>
                <w:sz w:val="20"/>
                <w:szCs w:val="20"/>
                <w:color w:val="auto"/>
              </w:rPr>
            </w:pPr>
            <w:r>
              <w:rPr>
                <w:rFonts w:ascii="Arial" w:cs="Arial" w:eastAsia="Arial" w:hAnsi="Arial"/>
                <w:sz w:val="13"/>
                <w:szCs w:val="13"/>
                <w:b w:val="1"/>
                <w:bCs w:val="1"/>
                <w:color w:val="auto"/>
              </w:rPr>
              <w:t>Investments</w:t>
            </w:r>
          </w:p>
        </w:tc>
        <w:tc>
          <w:tcPr>
            <w:tcW w:w="70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6"/>
              </w:rPr>
              <w:t>Percentage</w:t>
            </w:r>
          </w:p>
        </w:tc>
        <w:tc>
          <w:tcPr>
            <w:tcW w:w="600" w:type="dxa"/>
            <w:vAlign w:val="bottom"/>
          </w:tcPr>
          <w:p>
            <w:pPr>
              <w:spacing w:after="0"/>
              <w:rPr>
                <w:sz w:val="10"/>
                <w:szCs w:val="10"/>
                <w:color w:val="auto"/>
              </w:rPr>
            </w:pPr>
          </w:p>
        </w:tc>
        <w:tc>
          <w:tcPr>
            <w:tcW w:w="126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Investments</w:t>
            </w:r>
          </w:p>
        </w:tc>
        <w:tc>
          <w:tcPr>
            <w:tcW w:w="70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6"/>
              </w:rPr>
              <w:t>Percentage</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14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tcPr>
          <w:p>
            <w:pPr>
              <w:jc w:val="right"/>
              <w:ind w:right="820"/>
              <w:spacing w:after="0" w:line="149" w:lineRule="exact"/>
              <w:rPr>
                <w:sz w:val="20"/>
                <w:szCs w:val="20"/>
                <w:color w:val="auto"/>
              </w:rPr>
            </w:pPr>
            <w:r>
              <w:rPr>
                <w:rFonts w:ascii="Arial" w:cs="Arial" w:eastAsia="Arial" w:hAnsi="Arial"/>
                <w:sz w:val="14"/>
                <w:szCs w:val="14"/>
                <w:b w:val="1"/>
                <w:bCs w:val="1"/>
                <w:color w:val="auto"/>
              </w:rPr>
              <w:t>at</w:t>
            </w:r>
          </w:p>
        </w:tc>
        <w:tc>
          <w:tcPr>
            <w:tcW w:w="130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90"/>
              </w:rPr>
              <w:t>of Total</w:t>
            </w:r>
          </w:p>
        </w:tc>
        <w:tc>
          <w:tcPr>
            <w:tcW w:w="140" w:type="dxa"/>
            <w:vAlign w:val="bottom"/>
          </w:tcPr>
          <w:p>
            <w:pPr>
              <w:spacing w:after="0"/>
              <w:rPr>
                <w:sz w:val="12"/>
                <w:szCs w:val="12"/>
                <w:color w:val="auto"/>
              </w:rPr>
            </w:pPr>
          </w:p>
        </w:tc>
        <w:tc>
          <w:tcPr>
            <w:tcW w:w="1120" w:type="dxa"/>
            <w:vAlign w:val="bottom"/>
            <w:gridSpan w:val="2"/>
          </w:tcPr>
          <w:p>
            <w:pPr>
              <w:ind w:left="180"/>
              <w:spacing w:after="0" w:line="149" w:lineRule="exact"/>
              <w:rPr>
                <w:sz w:val="20"/>
                <w:szCs w:val="20"/>
                <w:color w:val="auto"/>
              </w:rPr>
            </w:pPr>
            <w:r>
              <w:rPr>
                <w:rFonts w:ascii="Arial" w:cs="Arial" w:eastAsia="Arial" w:hAnsi="Arial"/>
                <w:sz w:val="14"/>
                <w:szCs w:val="14"/>
                <w:b w:val="1"/>
                <w:bCs w:val="1"/>
                <w:color w:val="auto"/>
              </w:rPr>
              <w:t>at</w:t>
            </w:r>
          </w:p>
        </w:tc>
        <w:tc>
          <w:tcPr>
            <w:tcW w:w="9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of Total</w:t>
            </w:r>
          </w:p>
        </w:tc>
        <w:tc>
          <w:tcPr>
            <w:tcW w:w="0" w:type="dxa"/>
            <w:vAlign w:val="bottom"/>
          </w:tcPr>
          <w:p>
            <w:pPr>
              <w:spacing w:after="0"/>
              <w:rPr>
                <w:sz w:val="1"/>
                <w:szCs w:val="1"/>
                <w:color w:val="auto"/>
              </w:rPr>
            </w:pPr>
          </w:p>
        </w:tc>
      </w:tr>
      <w:tr>
        <w:trPr>
          <w:trHeight w:val="171"/>
        </w:trPr>
        <w:tc>
          <w:tcPr>
            <w:tcW w:w="41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260" w:type="dxa"/>
            <w:vAlign w:val="bottom"/>
            <w:gridSpan w:val="3"/>
          </w:tcPr>
          <w:p>
            <w:pPr>
              <w:jc w:val="right"/>
              <w:ind w:right="560"/>
              <w:spacing w:after="0"/>
              <w:rPr>
                <w:sz w:val="20"/>
                <w:szCs w:val="20"/>
                <w:color w:val="auto"/>
              </w:rPr>
            </w:pPr>
            <w:r>
              <w:rPr>
                <w:rFonts w:ascii="Arial" w:cs="Arial" w:eastAsia="Arial" w:hAnsi="Arial"/>
                <w:sz w:val="14"/>
                <w:szCs w:val="14"/>
                <w:b w:val="1"/>
                <w:bCs w:val="1"/>
                <w:color w:val="auto"/>
              </w:rPr>
              <w:t>Fair Value</w:t>
            </w:r>
          </w:p>
        </w:tc>
        <w:tc>
          <w:tcPr>
            <w:tcW w:w="130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93"/>
              </w:rPr>
              <w:t>Portfolio</w:t>
            </w:r>
          </w:p>
        </w:tc>
        <w:tc>
          <w:tcPr>
            <w:tcW w:w="1260" w:type="dxa"/>
            <w:vAlign w:val="bottom"/>
            <w:gridSpan w:val="3"/>
          </w:tcPr>
          <w:p>
            <w:pPr>
              <w:ind w:left="60"/>
              <w:spacing w:after="0"/>
              <w:rPr>
                <w:sz w:val="20"/>
                <w:szCs w:val="20"/>
                <w:color w:val="auto"/>
              </w:rPr>
            </w:pPr>
            <w:r>
              <w:rPr>
                <w:rFonts w:ascii="Arial" w:cs="Arial" w:eastAsia="Arial" w:hAnsi="Arial"/>
                <w:sz w:val="14"/>
                <w:szCs w:val="14"/>
                <w:b w:val="1"/>
                <w:bCs w:val="1"/>
                <w:color w:val="auto"/>
              </w:rPr>
              <w:t>Fair Value</w:t>
            </w:r>
          </w:p>
        </w:tc>
        <w:tc>
          <w:tcPr>
            <w:tcW w:w="9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Portfolio</w:t>
            </w:r>
          </w:p>
        </w:tc>
        <w:tc>
          <w:tcPr>
            <w:tcW w:w="0" w:type="dxa"/>
            <w:vAlign w:val="bottom"/>
          </w:tcPr>
          <w:p>
            <w:pPr>
              <w:spacing w:after="0"/>
              <w:rPr>
                <w:sz w:val="1"/>
                <w:szCs w:val="1"/>
                <w:color w:val="auto"/>
              </w:rPr>
            </w:pPr>
          </w:p>
        </w:tc>
      </w:tr>
      <w:tr>
        <w:trPr>
          <w:trHeight w:val="142"/>
        </w:trPr>
        <w:tc>
          <w:tcPr>
            <w:tcW w:w="414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2560" w:type="dxa"/>
            <w:vAlign w:val="bottom"/>
            <w:tcBorders>
              <w:top w:val="single" w:sz="8" w:color="auto"/>
            </w:tcBorders>
            <w:gridSpan w:val="5"/>
          </w:tcPr>
          <w:p>
            <w:pPr>
              <w:ind w:left="520"/>
              <w:spacing w:after="0" w:line="142" w:lineRule="exact"/>
              <w:rPr>
                <w:sz w:val="20"/>
                <w:szCs w:val="20"/>
                <w:color w:val="auto"/>
              </w:rPr>
            </w:pPr>
            <w:r>
              <w:rPr>
                <w:rFonts w:ascii="Arial" w:cs="Arial" w:eastAsia="Arial" w:hAnsi="Arial"/>
                <w:sz w:val="14"/>
                <w:szCs w:val="14"/>
                <w:b w:val="1"/>
                <w:bCs w:val="1"/>
                <w:color w:val="auto"/>
              </w:rPr>
              <w:t>($ in thousands)</w:t>
            </w:r>
          </w:p>
        </w:tc>
        <w:tc>
          <w:tcPr>
            <w:tcW w:w="7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Services: Business</w:t>
            </w:r>
          </w:p>
        </w:tc>
        <w:tc>
          <w:tcPr>
            <w:tcW w:w="1780" w:type="dxa"/>
            <w:vAlign w:val="bottom"/>
            <w:gridSpan w:val="2"/>
            <w:shd w:val="clear" w:color="auto" w:fill="CCEEFF"/>
          </w:tcPr>
          <w:p>
            <w:pPr>
              <w:ind w:left="16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37,265</w:t>
            </w:r>
          </w:p>
        </w:tc>
        <w:tc>
          <w:tcPr>
            <w:tcW w:w="13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13.1%</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42,751</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Healthcare &amp; Pharmaceuticals</w:t>
            </w:r>
          </w:p>
        </w:tc>
        <w:tc>
          <w:tcPr>
            <w:tcW w:w="1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8"/>
                <w:szCs w:val="18"/>
                <w:color w:val="auto"/>
              </w:rPr>
              <w:t>28,085</w:t>
            </w:r>
          </w:p>
        </w:tc>
        <w:tc>
          <w:tcPr>
            <w:tcW w:w="700" w:type="dxa"/>
            <w:vAlign w:val="bottom"/>
          </w:tcPr>
          <w:p>
            <w:pPr>
              <w:jc w:val="right"/>
              <w:spacing w:after="0"/>
              <w:rPr>
                <w:sz w:val="20"/>
                <w:szCs w:val="20"/>
                <w:color w:val="auto"/>
              </w:rPr>
            </w:pPr>
            <w:r>
              <w:rPr>
                <w:rFonts w:ascii="Arial" w:cs="Arial" w:eastAsia="Arial" w:hAnsi="Arial"/>
                <w:sz w:val="18"/>
                <w:szCs w:val="18"/>
                <w:color w:val="auto"/>
              </w:rPr>
              <w:t>9.8</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8"/>
                <w:szCs w:val="18"/>
                <w:color w:val="auto"/>
              </w:rPr>
              <w:t>35,341</w:t>
            </w:r>
          </w:p>
        </w:tc>
        <w:tc>
          <w:tcPr>
            <w:tcW w:w="700" w:type="dxa"/>
            <w:vAlign w:val="bottom"/>
          </w:tcPr>
          <w:p>
            <w:pPr>
              <w:jc w:val="right"/>
              <w:spacing w:after="0"/>
              <w:rPr>
                <w:sz w:val="20"/>
                <w:szCs w:val="20"/>
                <w:color w:val="auto"/>
              </w:rPr>
            </w:pPr>
            <w:r>
              <w:rPr>
                <w:rFonts w:ascii="Arial" w:cs="Arial" w:eastAsia="Arial" w:hAnsi="Arial"/>
                <w:sz w:val="18"/>
                <w:szCs w:val="18"/>
                <w:color w:val="auto"/>
              </w:rPr>
              <w:t>11.9</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Chemicals/Plastics</w:t>
            </w:r>
          </w:p>
        </w:tc>
        <w:tc>
          <w:tcPr>
            <w:tcW w:w="1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24,395</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25,758</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Retailers (Except Food and Drugs)</w:t>
            </w:r>
          </w:p>
        </w:tc>
        <w:tc>
          <w:tcPr>
            <w:tcW w:w="1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8"/>
                <w:szCs w:val="18"/>
                <w:color w:val="auto"/>
              </w:rPr>
              <w:t>19,217</w:t>
            </w:r>
          </w:p>
        </w:tc>
        <w:tc>
          <w:tcPr>
            <w:tcW w:w="700" w:type="dxa"/>
            <w:vAlign w:val="bottom"/>
          </w:tcPr>
          <w:p>
            <w:pPr>
              <w:jc w:val="right"/>
              <w:spacing w:after="0"/>
              <w:rPr>
                <w:sz w:val="20"/>
                <w:szCs w:val="20"/>
                <w:color w:val="auto"/>
              </w:rPr>
            </w:pPr>
            <w:r>
              <w:rPr>
                <w:rFonts w:ascii="Arial" w:cs="Arial" w:eastAsia="Arial" w:hAnsi="Arial"/>
                <w:sz w:val="18"/>
                <w:szCs w:val="18"/>
                <w:color w:val="auto"/>
              </w:rPr>
              <w:t>6.7</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8"/>
                <w:szCs w:val="18"/>
                <w:color w:val="auto"/>
              </w:rPr>
              <w:t>22,026</w:t>
            </w:r>
          </w:p>
        </w:tc>
        <w:tc>
          <w:tcPr>
            <w:tcW w:w="700" w:type="dxa"/>
            <w:vAlign w:val="bottom"/>
          </w:tcPr>
          <w:p>
            <w:pPr>
              <w:jc w:val="right"/>
              <w:spacing w:after="0"/>
              <w:rPr>
                <w:sz w:val="20"/>
                <w:szCs w:val="20"/>
                <w:color w:val="auto"/>
              </w:rPr>
            </w:pPr>
            <w:r>
              <w:rPr>
                <w:rFonts w:ascii="Arial" w:cs="Arial" w:eastAsia="Arial" w:hAnsi="Arial"/>
                <w:sz w:val="18"/>
                <w:szCs w:val="18"/>
                <w:color w:val="auto"/>
              </w:rPr>
              <w:t>7.4</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Financial Intermediaries</w:t>
            </w:r>
          </w:p>
        </w:tc>
        <w:tc>
          <w:tcPr>
            <w:tcW w:w="1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14,882</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10,806</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Aerospace and Defense</w:t>
            </w:r>
          </w:p>
        </w:tc>
        <w:tc>
          <w:tcPr>
            <w:tcW w:w="1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8"/>
                <w:szCs w:val="18"/>
                <w:color w:val="auto"/>
              </w:rPr>
              <w:t>12,887</w:t>
            </w:r>
          </w:p>
        </w:tc>
        <w:tc>
          <w:tcPr>
            <w:tcW w:w="700" w:type="dxa"/>
            <w:vAlign w:val="bottom"/>
          </w:tcPr>
          <w:p>
            <w:pPr>
              <w:jc w:val="right"/>
              <w:spacing w:after="0"/>
              <w:rPr>
                <w:sz w:val="20"/>
                <w:szCs w:val="20"/>
                <w:color w:val="auto"/>
              </w:rPr>
            </w:pPr>
            <w:r>
              <w:rPr>
                <w:rFonts w:ascii="Arial" w:cs="Arial" w:eastAsia="Arial" w:hAnsi="Arial"/>
                <w:sz w:val="18"/>
                <w:szCs w:val="18"/>
                <w:color w:val="auto"/>
              </w:rPr>
              <w:t>4.5</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8"/>
                <w:szCs w:val="18"/>
                <w:color w:val="auto"/>
              </w:rPr>
              <w:t>7,287</w:t>
            </w:r>
          </w:p>
        </w:tc>
        <w:tc>
          <w:tcPr>
            <w:tcW w:w="700" w:type="dxa"/>
            <w:vAlign w:val="bottom"/>
          </w:tcPr>
          <w:p>
            <w:pPr>
              <w:jc w:val="right"/>
              <w:spacing w:after="0"/>
              <w:rPr>
                <w:sz w:val="20"/>
                <w:szCs w:val="20"/>
                <w:color w:val="auto"/>
              </w:rPr>
            </w:pPr>
            <w:r>
              <w:rPr>
                <w:rFonts w:ascii="Arial" w:cs="Arial" w:eastAsia="Arial" w:hAnsi="Arial"/>
                <w:sz w:val="18"/>
                <w:szCs w:val="18"/>
                <w:color w:val="auto"/>
              </w:rPr>
              <w:t>2.5</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Industrial Equipment</w:t>
            </w:r>
          </w:p>
        </w:tc>
        <w:tc>
          <w:tcPr>
            <w:tcW w:w="1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12,639</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15,290</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Conglomerate</w:t>
            </w:r>
          </w:p>
        </w:tc>
        <w:tc>
          <w:tcPr>
            <w:tcW w:w="1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8"/>
                <w:szCs w:val="18"/>
                <w:color w:val="auto"/>
              </w:rPr>
              <w:t>12,035</w:t>
            </w:r>
          </w:p>
        </w:tc>
        <w:tc>
          <w:tcPr>
            <w:tcW w:w="700" w:type="dxa"/>
            <w:vAlign w:val="bottom"/>
          </w:tcPr>
          <w:p>
            <w:pPr>
              <w:jc w:val="right"/>
              <w:spacing w:after="0"/>
              <w:rPr>
                <w:sz w:val="20"/>
                <w:szCs w:val="20"/>
                <w:color w:val="auto"/>
              </w:rPr>
            </w:pPr>
            <w:r>
              <w:rPr>
                <w:rFonts w:ascii="Arial" w:cs="Arial" w:eastAsia="Arial" w:hAnsi="Arial"/>
                <w:sz w:val="18"/>
                <w:szCs w:val="18"/>
                <w:color w:val="auto"/>
              </w:rPr>
              <w:t>4.2</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8"/>
                <w:szCs w:val="18"/>
                <w:color w:val="auto"/>
              </w:rPr>
              <w:t>19,928</w:t>
            </w:r>
          </w:p>
        </w:tc>
        <w:tc>
          <w:tcPr>
            <w:tcW w:w="700" w:type="dxa"/>
            <w:vAlign w:val="bottom"/>
          </w:tcPr>
          <w:p>
            <w:pPr>
              <w:jc w:val="right"/>
              <w:spacing w:after="0"/>
              <w:rPr>
                <w:sz w:val="20"/>
                <w:szCs w:val="20"/>
                <w:color w:val="auto"/>
              </w:rPr>
            </w:pPr>
            <w:r>
              <w:rPr>
                <w:rFonts w:ascii="Arial" w:cs="Arial" w:eastAsia="Arial" w:hAnsi="Arial"/>
                <w:sz w:val="18"/>
                <w:szCs w:val="18"/>
                <w:color w:val="auto"/>
              </w:rPr>
              <w:t>6.7</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High Tech Industries</w:t>
            </w:r>
          </w:p>
        </w:tc>
        <w:tc>
          <w:tcPr>
            <w:tcW w:w="1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11,887</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Telecommunications</w:t>
            </w:r>
          </w:p>
        </w:tc>
        <w:tc>
          <w:tcPr>
            <w:tcW w:w="1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8"/>
                <w:szCs w:val="18"/>
                <w:color w:val="auto"/>
              </w:rPr>
              <w:t>10,073</w:t>
            </w:r>
          </w:p>
        </w:tc>
        <w:tc>
          <w:tcPr>
            <w:tcW w:w="700" w:type="dxa"/>
            <w:vAlign w:val="bottom"/>
          </w:tcPr>
          <w:p>
            <w:pPr>
              <w:jc w:val="right"/>
              <w:spacing w:after="0"/>
              <w:rPr>
                <w:sz w:val="20"/>
                <w:szCs w:val="20"/>
                <w:color w:val="auto"/>
              </w:rPr>
            </w:pPr>
            <w:r>
              <w:rPr>
                <w:rFonts w:ascii="Arial" w:cs="Arial" w:eastAsia="Arial" w:hAnsi="Arial"/>
                <w:sz w:val="18"/>
                <w:szCs w:val="18"/>
                <w:color w:val="auto"/>
              </w:rPr>
              <w:t>3.5</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8"/>
                <w:szCs w:val="18"/>
                <w:color w:val="auto"/>
              </w:rPr>
              <w:t>6,675</w:t>
            </w:r>
          </w:p>
        </w:tc>
        <w:tc>
          <w:tcPr>
            <w:tcW w:w="700" w:type="dxa"/>
            <w:vAlign w:val="bottom"/>
          </w:tcPr>
          <w:p>
            <w:pPr>
              <w:jc w:val="right"/>
              <w:spacing w:after="0"/>
              <w:rPr>
                <w:sz w:val="20"/>
                <w:szCs w:val="20"/>
                <w:color w:val="auto"/>
              </w:rPr>
            </w:pPr>
            <w:r>
              <w:rPr>
                <w:rFonts w:ascii="Arial" w:cs="Arial" w:eastAsia="Arial" w:hAnsi="Arial"/>
                <w:sz w:val="18"/>
                <w:szCs w:val="18"/>
                <w:color w:val="auto"/>
              </w:rPr>
              <w:t>2.3</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Technology</w:t>
            </w:r>
          </w:p>
        </w:tc>
        <w:tc>
          <w:tcPr>
            <w:tcW w:w="1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8,060</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1,008</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Leisure Goods/Activities/Movies</w:t>
            </w:r>
          </w:p>
        </w:tc>
        <w:tc>
          <w:tcPr>
            <w:tcW w:w="1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8"/>
                <w:szCs w:val="18"/>
                <w:color w:val="auto"/>
              </w:rPr>
              <w:t>7,707</w:t>
            </w:r>
          </w:p>
        </w:tc>
        <w:tc>
          <w:tcPr>
            <w:tcW w:w="700" w:type="dxa"/>
            <w:vAlign w:val="bottom"/>
          </w:tcPr>
          <w:p>
            <w:pPr>
              <w:jc w:val="right"/>
              <w:spacing w:after="0"/>
              <w:rPr>
                <w:sz w:val="20"/>
                <w:szCs w:val="20"/>
                <w:color w:val="auto"/>
              </w:rPr>
            </w:pPr>
            <w:r>
              <w:rPr>
                <w:rFonts w:ascii="Arial" w:cs="Arial" w:eastAsia="Arial" w:hAnsi="Arial"/>
                <w:sz w:val="18"/>
                <w:szCs w:val="18"/>
                <w:color w:val="auto"/>
              </w:rPr>
              <w:t>2.7</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8"/>
                <w:szCs w:val="18"/>
                <w:color w:val="auto"/>
              </w:rPr>
              <w:t>12,629</w:t>
            </w:r>
          </w:p>
        </w:tc>
        <w:tc>
          <w:tcPr>
            <w:tcW w:w="700" w:type="dxa"/>
            <w:vAlign w:val="bottom"/>
          </w:tcPr>
          <w:p>
            <w:pPr>
              <w:jc w:val="right"/>
              <w:spacing w:after="0"/>
              <w:rPr>
                <w:sz w:val="20"/>
                <w:szCs w:val="20"/>
                <w:color w:val="auto"/>
              </w:rPr>
            </w:pPr>
            <w:r>
              <w:rPr>
                <w:rFonts w:ascii="Arial" w:cs="Arial" w:eastAsia="Arial" w:hAnsi="Arial"/>
                <w:sz w:val="18"/>
                <w:szCs w:val="18"/>
                <w:color w:val="auto"/>
              </w:rPr>
              <w:t>4.3</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Electronics/Electric</w:t>
            </w:r>
          </w:p>
        </w:tc>
        <w:tc>
          <w:tcPr>
            <w:tcW w:w="1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7,405</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12,904</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Banking, Finance, Insurance &amp; Real Estate</w:t>
            </w:r>
          </w:p>
        </w:tc>
        <w:tc>
          <w:tcPr>
            <w:tcW w:w="1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8"/>
                <w:szCs w:val="18"/>
                <w:color w:val="auto"/>
              </w:rPr>
              <w:t>6,410</w:t>
            </w:r>
          </w:p>
        </w:tc>
        <w:tc>
          <w:tcPr>
            <w:tcW w:w="700" w:type="dxa"/>
            <w:vAlign w:val="bottom"/>
          </w:tcPr>
          <w:p>
            <w:pPr>
              <w:jc w:val="right"/>
              <w:spacing w:after="0"/>
              <w:rPr>
                <w:sz w:val="20"/>
                <w:szCs w:val="20"/>
                <w:color w:val="auto"/>
              </w:rPr>
            </w:pPr>
            <w:r>
              <w:rPr>
                <w:rFonts w:ascii="Arial" w:cs="Arial" w:eastAsia="Arial" w:hAnsi="Arial"/>
                <w:sz w:val="18"/>
                <w:szCs w:val="18"/>
                <w:color w:val="auto"/>
              </w:rPr>
              <w:t>2.3</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Automotive</w:t>
            </w:r>
          </w:p>
        </w:tc>
        <w:tc>
          <w:tcPr>
            <w:tcW w:w="1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6,282</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6,650</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Utilities</w:t>
            </w:r>
          </w:p>
        </w:tc>
        <w:tc>
          <w:tcPr>
            <w:tcW w:w="1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8"/>
                <w:szCs w:val="18"/>
                <w:color w:val="auto"/>
              </w:rPr>
              <w:t>6,094</w:t>
            </w:r>
          </w:p>
        </w:tc>
        <w:tc>
          <w:tcPr>
            <w:tcW w:w="700" w:type="dxa"/>
            <w:vAlign w:val="bottom"/>
          </w:tcPr>
          <w:p>
            <w:pPr>
              <w:jc w:val="right"/>
              <w:spacing w:after="0"/>
              <w:rPr>
                <w:sz w:val="20"/>
                <w:szCs w:val="20"/>
                <w:color w:val="auto"/>
              </w:rPr>
            </w:pPr>
            <w:r>
              <w:rPr>
                <w:rFonts w:ascii="Arial" w:cs="Arial" w:eastAsia="Arial" w:hAnsi="Arial"/>
                <w:sz w:val="18"/>
                <w:szCs w:val="18"/>
                <w:color w:val="auto"/>
              </w:rPr>
              <w:t>2.1</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8"/>
                <w:szCs w:val="18"/>
                <w:color w:val="auto"/>
              </w:rPr>
              <w:t>6,281</w:t>
            </w:r>
          </w:p>
        </w:tc>
        <w:tc>
          <w:tcPr>
            <w:tcW w:w="700" w:type="dxa"/>
            <w:vAlign w:val="bottom"/>
          </w:tcPr>
          <w:p>
            <w:pPr>
              <w:jc w:val="right"/>
              <w:spacing w:after="0"/>
              <w:rPr>
                <w:sz w:val="20"/>
                <w:szCs w:val="20"/>
                <w:color w:val="auto"/>
              </w:rPr>
            </w:pPr>
            <w:r>
              <w:rPr>
                <w:rFonts w:ascii="Arial" w:cs="Arial" w:eastAsia="Arial" w:hAnsi="Arial"/>
                <w:sz w:val="18"/>
                <w:szCs w:val="18"/>
                <w:color w:val="auto"/>
              </w:rPr>
              <w:t>2.1</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Food Services</w:t>
            </w:r>
          </w:p>
        </w:tc>
        <w:tc>
          <w:tcPr>
            <w:tcW w:w="1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6,015</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5,886</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Food Products</w:t>
            </w:r>
          </w:p>
        </w:tc>
        <w:tc>
          <w:tcPr>
            <w:tcW w:w="1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8"/>
                <w:szCs w:val="18"/>
                <w:color w:val="auto"/>
              </w:rPr>
              <w:t>5,728</w:t>
            </w:r>
          </w:p>
        </w:tc>
        <w:tc>
          <w:tcPr>
            <w:tcW w:w="700" w:type="dxa"/>
            <w:vAlign w:val="bottom"/>
          </w:tcPr>
          <w:p>
            <w:pPr>
              <w:jc w:val="right"/>
              <w:spacing w:after="0"/>
              <w:rPr>
                <w:sz w:val="20"/>
                <w:szCs w:val="20"/>
                <w:color w:val="auto"/>
              </w:rPr>
            </w:pPr>
            <w:r>
              <w:rPr>
                <w:rFonts w:ascii="Arial" w:cs="Arial" w:eastAsia="Arial" w:hAnsi="Arial"/>
                <w:sz w:val="18"/>
                <w:szCs w:val="18"/>
                <w:color w:val="auto"/>
              </w:rPr>
              <w:t>2.0</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8"/>
                <w:szCs w:val="18"/>
                <w:color w:val="auto"/>
              </w:rPr>
              <w:t>5,856</w:t>
            </w:r>
          </w:p>
        </w:tc>
        <w:tc>
          <w:tcPr>
            <w:tcW w:w="700" w:type="dxa"/>
            <w:vAlign w:val="bottom"/>
          </w:tcPr>
          <w:p>
            <w:pPr>
              <w:jc w:val="right"/>
              <w:spacing w:after="0"/>
              <w:rPr>
                <w:sz w:val="20"/>
                <w:szCs w:val="20"/>
                <w:color w:val="auto"/>
              </w:rPr>
            </w:pPr>
            <w:r>
              <w:rPr>
                <w:rFonts w:ascii="Arial" w:cs="Arial" w:eastAsia="Arial" w:hAnsi="Arial"/>
                <w:sz w:val="18"/>
                <w:szCs w:val="18"/>
                <w:color w:val="auto"/>
              </w:rPr>
              <w:t>2.0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Lodging and Casinos</w:t>
            </w:r>
          </w:p>
        </w:tc>
        <w:tc>
          <w:tcPr>
            <w:tcW w:w="1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5,654</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5,826</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Publishing</w:t>
            </w:r>
          </w:p>
        </w:tc>
        <w:tc>
          <w:tcPr>
            <w:tcW w:w="1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8"/>
                <w:szCs w:val="18"/>
                <w:color w:val="auto"/>
              </w:rPr>
              <w:t>5,387</w:t>
            </w:r>
          </w:p>
        </w:tc>
        <w:tc>
          <w:tcPr>
            <w:tcW w:w="700" w:type="dxa"/>
            <w:vAlign w:val="bottom"/>
          </w:tcPr>
          <w:p>
            <w:pPr>
              <w:jc w:val="right"/>
              <w:spacing w:after="0"/>
              <w:rPr>
                <w:sz w:val="20"/>
                <w:szCs w:val="20"/>
                <w:color w:val="auto"/>
              </w:rPr>
            </w:pPr>
            <w:r>
              <w:rPr>
                <w:rFonts w:ascii="Arial" w:cs="Arial" w:eastAsia="Arial" w:hAnsi="Arial"/>
                <w:sz w:val="18"/>
                <w:szCs w:val="18"/>
                <w:color w:val="auto"/>
              </w:rPr>
              <w:t>1.9</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8"/>
                <w:szCs w:val="18"/>
                <w:color w:val="auto"/>
              </w:rPr>
              <w:t>5,627</w:t>
            </w:r>
          </w:p>
        </w:tc>
        <w:tc>
          <w:tcPr>
            <w:tcW w:w="700" w:type="dxa"/>
            <w:vAlign w:val="bottom"/>
          </w:tcPr>
          <w:p>
            <w:pPr>
              <w:jc w:val="right"/>
              <w:spacing w:after="0"/>
              <w:rPr>
                <w:sz w:val="20"/>
                <w:szCs w:val="20"/>
                <w:color w:val="auto"/>
              </w:rPr>
            </w:pPr>
            <w:r>
              <w:rPr>
                <w:rFonts w:ascii="Arial" w:cs="Arial" w:eastAsia="Arial" w:hAnsi="Arial"/>
                <w:sz w:val="18"/>
                <w:szCs w:val="18"/>
                <w:color w:val="auto"/>
              </w:rPr>
              <w:t>1.9</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Insurance</w:t>
            </w:r>
          </w:p>
        </w:tc>
        <w:tc>
          <w:tcPr>
            <w:tcW w:w="1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4,745</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5,425</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Containers/Glass Products</w:t>
            </w:r>
          </w:p>
        </w:tc>
        <w:tc>
          <w:tcPr>
            <w:tcW w:w="1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8"/>
                <w:szCs w:val="18"/>
                <w:color w:val="auto"/>
              </w:rPr>
              <w:t>4,252</w:t>
            </w:r>
          </w:p>
        </w:tc>
        <w:tc>
          <w:tcPr>
            <w:tcW w:w="700" w:type="dxa"/>
            <w:vAlign w:val="bottom"/>
          </w:tcPr>
          <w:p>
            <w:pPr>
              <w:jc w:val="right"/>
              <w:spacing w:after="0"/>
              <w:rPr>
                <w:sz w:val="20"/>
                <w:szCs w:val="20"/>
                <w:color w:val="auto"/>
              </w:rPr>
            </w:pPr>
            <w:r>
              <w:rPr>
                <w:rFonts w:ascii="Arial" w:cs="Arial" w:eastAsia="Arial" w:hAnsi="Arial"/>
                <w:sz w:val="18"/>
                <w:szCs w:val="18"/>
                <w:color w:val="auto"/>
              </w:rPr>
              <w:t>1.5</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8"/>
                <w:szCs w:val="18"/>
                <w:color w:val="auto"/>
              </w:rPr>
              <w:t>4,313</w:t>
            </w:r>
          </w:p>
        </w:tc>
        <w:tc>
          <w:tcPr>
            <w:tcW w:w="700" w:type="dxa"/>
            <w:vAlign w:val="bottom"/>
          </w:tcPr>
          <w:p>
            <w:pPr>
              <w:jc w:val="right"/>
              <w:spacing w:after="0"/>
              <w:rPr>
                <w:sz w:val="20"/>
                <w:szCs w:val="20"/>
                <w:color w:val="auto"/>
              </w:rPr>
            </w:pPr>
            <w:r>
              <w:rPr>
                <w:rFonts w:ascii="Arial" w:cs="Arial" w:eastAsia="Arial" w:hAnsi="Arial"/>
                <w:sz w:val="18"/>
                <w:szCs w:val="18"/>
                <w:color w:val="auto"/>
              </w:rPr>
              <w:t>1.5</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Cable and Satellite Television</w:t>
            </w:r>
          </w:p>
        </w:tc>
        <w:tc>
          <w:tcPr>
            <w:tcW w:w="1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3,588</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2,646</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Drugs</w:t>
            </w:r>
          </w:p>
        </w:tc>
        <w:tc>
          <w:tcPr>
            <w:tcW w:w="1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8"/>
                <w:szCs w:val="18"/>
                <w:color w:val="auto"/>
              </w:rPr>
              <w:t>3,483</w:t>
            </w:r>
          </w:p>
        </w:tc>
        <w:tc>
          <w:tcPr>
            <w:tcW w:w="700" w:type="dxa"/>
            <w:vAlign w:val="bottom"/>
          </w:tcPr>
          <w:p>
            <w:pPr>
              <w:jc w:val="right"/>
              <w:spacing w:after="0"/>
              <w:rPr>
                <w:sz w:val="20"/>
                <w:szCs w:val="20"/>
                <w:color w:val="auto"/>
              </w:rPr>
            </w:pPr>
            <w:r>
              <w:rPr>
                <w:rFonts w:ascii="Arial" w:cs="Arial" w:eastAsia="Arial" w:hAnsi="Arial"/>
                <w:sz w:val="18"/>
                <w:szCs w:val="18"/>
                <w:color w:val="auto"/>
              </w:rPr>
              <w:t>1.2</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8"/>
                <w:szCs w:val="18"/>
                <w:color w:val="auto"/>
              </w:rPr>
              <w:t>10,091</w:t>
            </w:r>
          </w:p>
        </w:tc>
        <w:tc>
          <w:tcPr>
            <w:tcW w:w="700" w:type="dxa"/>
            <w:vAlign w:val="bottom"/>
          </w:tcPr>
          <w:p>
            <w:pPr>
              <w:jc w:val="right"/>
              <w:spacing w:after="0"/>
              <w:rPr>
                <w:sz w:val="20"/>
                <w:szCs w:val="20"/>
                <w:color w:val="auto"/>
              </w:rPr>
            </w:pPr>
            <w:r>
              <w:rPr>
                <w:rFonts w:ascii="Arial" w:cs="Arial" w:eastAsia="Arial" w:hAnsi="Arial"/>
                <w:sz w:val="18"/>
                <w:szCs w:val="18"/>
                <w:color w:val="auto"/>
              </w:rPr>
              <w:t>3.4</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Media</w:t>
            </w:r>
          </w:p>
        </w:tc>
        <w:tc>
          <w:tcPr>
            <w:tcW w:w="1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3,317</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2,004</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Construction &amp; Building</w:t>
            </w:r>
          </w:p>
        </w:tc>
        <w:tc>
          <w:tcPr>
            <w:tcW w:w="1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8"/>
                <w:szCs w:val="18"/>
                <w:color w:val="auto"/>
              </w:rPr>
              <w:t>2,945</w:t>
            </w:r>
          </w:p>
        </w:tc>
        <w:tc>
          <w:tcPr>
            <w:tcW w:w="700" w:type="dxa"/>
            <w:vAlign w:val="bottom"/>
          </w:tcPr>
          <w:p>
            <w:pPr>
              <w:jc w:val="right"/>
              <w:spacing w:after="0"/>
              <w:rPr>
                <w:sz w:val="20"/>
                <w:szCs w:val="20"/>
                <w:color w:val="auto"/>
              </w:rPr>
            </w:pPr>
            <w:r>
              <w:rPr>
                <w:rFonts w:ascii="Arial" w:cs="Arial" w:eastAsia="Arial" w:hAnsi="Arial"/>
                <w:sz w:val="18"/>
                <w:szCs w:val="18"/>
                <w:color w:val="auto"/>
              </w:rPr>
              <w:t>1.0</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Food/Drug Retailers</w:t>
            </w:r>
          </w:p>
        </w:tc>
        <w:tc>
          <w:tcPr>
            <w:tcW w:w="1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2,810</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5,861</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Brokers/Dealers/Investment Houses</w:t>
            </w:r>
          </w:p>
        </w:tc>
        <w:tc>
          <w:tcPr>
            <w:tcW w:w="1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8"/>
                <w:szCs w:val="18"/>
                <w:color w:val="auto"/>
              </w:rPr>
              <w:t>2,703</w:t>
            </w:r>
          </w:p>
        </w:tc>
        <w:tc>
          <w:tcPr>
            <w:tcW w:w="700" w:type="dxa"/>
            <w:vAlign w:val="bottom"/>
          </w:tcPr>
          <w:p>
            <w:pPr>
              <w:jc w:val="right"/>
              <w:spacing w:after="0"/>
              <w:rPr>
                <w:sz w:val="20"/>
                <w:szCs w:val="20"/>
                <w:color w:val="auto"/>
              </w:rPr>
            </w:pPr>
            <w:r>
              <w:rPr>
                <w:rFonts w:ascii="Arial" w:cs="Arial" w:eastAsia="Arial" w:hAnsi="Arial"/>
                <w:sz w:val="18"/>
                <w:szCs w:val="18"/>
                <w:color w:val="auto"/>
              </w:rPr>
              <w:t>1.0</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8"/>
                <w:szCs w:val="18"/>
                <w:color w:val="auto"/>
              </w:rPr>
              <w:t>4,832</w:t>
            </w:r>
          </w:p>
        </w:tc>
        <w:tc>
          <w:tcPr>
            <w:tcW w:w="700" w:type="dxa"/>
            <w:vAlign w:val="bottom"/>
          </w:tcPr>
          <w:p>
            <w:pPr>
              <w:jc w:val="right"/>
              <w:spacing w:after="0"/>
              <w:rPr>
                <w:sz w:val="20"/>
                <w:szCs w:val="20"/>
                <w:color w:val="auto"/>
              </w:rPr>
            </w:pPr>
            <w:r>
              <w:rPr>
                <w:rFonts w:ascii="Arial" w:cs="Arial" w:eastAsia="Arial" w:hAnsi="Arial"/>
                <w:sz w:val="18"/>
                <w:szCs w:val="18"/>
                <w:color w:val="auto"/>
              </w:rPr>
              <w:t>1.6</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Nonferrous Metals/Minerals</w:t>
            </w:r>
          </w:p>
        </w:tc>
        <w:tc>
          <w:tcPr>
            <w:tcW w:w="1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1,600</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1,835</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Oil &amp; Gas</w:t>
            </w:r>
          </w:p>
        </w:tc>
        <w:tc>
          <w:tcPr>
            <w:tcW w:w="1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8"/>
                <w:szCs w:val="18"/>
                <w:color w:val="auto"/>
              </w:rPr>
              <w:t>1,456</w:t>
            </w:r>
          </w:p>
        </w:tc>
        <w:tc>
          <w:tcPr>
            <w:tcW w:w="700" w:type="dxa"/>
            <w:vAlign w:val="bottom"/>
          </w:tcPr>
          <w:p>
            <w:pPr>
              <w:jc w:val="right"/>
              <w:spacing w:after="0"/>
              <w:rPr>
                <w:sz w:val="20"/>
                <w:szCs w:val="20"/>
                <w:color w:val="auto"/>
              </w:rPr>
            </w:pPr>
            <w:r>
              <w:rPr>
                <w:rFonts w:ascii="Arial" w:cs="Arial" w:eastAsia="Arial" w:hAnsi="Arial"/>
                <w:sz w:val="18"/>
                <w:szCs w:val="18"/>
                <w:color w:val="auto"/>
              </w:rPr>
              <w:t>0.5</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8"/>
                <w:szCs w:val="18"/>
                <w:color w:val="auto"/>
              </w:rPr>
              <w:t>6,070</w:t>
            </w:r>
          </w:p>
        </w:tc>
        <w:tc>
          <w:tcPr>
            <w:tcW w:w="700" w:type="dxa"/>
            <w:vAlign w:val="bottom"/>
          </w:tcPr>
          <w:p>
            <w:pPr>
              <w:jc w:val="right"/>
              <w:spacing w:after="0"/>
              <w:rPr>
                <w:sz w:val="20"/>
                <w:szCs w:val="20"/>
                <w:color w:val="auto"/>
              </w:rPr>
            </w:pPr>
            <w:r>
              <w:rPr>
                <w:rFonts w:ascii="Arial" w:cs="Arial" w:eastAsia="Arial" w:hAnsi="Arial"/>
                <w:sz w:val="18"/>
                <w:szCs w:val="18"/>
                <w:color w:val="auto"/>
              </w:rPr>
              <w:t>2.1</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Telecommunications/Cellular</w:t>
            </w:r>
          </w:p>
        </w:tc>
        <w:tc>
          <w:tcPr>
            <w:tcW w:w="1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1,408</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2,431</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Broadcast Radio and Television</w:t>
            </w:r>
          </w:p>
        </w:tc>
        <w:tc>
          <w:tcPr>
            <w:tcW w:w="1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8"/>
                <w:szCs w:val="18"/>
                <w:color w:val="auto"/>
              </w:rPr>
              <w:t>1,325</w:t>
            </w:r>
          </w:p>
        </w:tc>
        <w:tc>
          <w:tcPr>
            <w:tcW w:w="700" w:type="dxa"/>
            <w:vAlign w:val="bottom"/>
          </w:tcPr>
          <w:p>
            <w:pPr>
              <w:jc w:val="right"/>
              <w:spacing w:after="0"/>
              <w:rPr>
                <w:sz w:val="20"/>
                <w:szCs w:val="20"/>
                <w:color w:val="auto"/>
              </w:rPr>
            </w:pPr>
            <w:r>
              <w:rPr>
                <w:rFonts w:ascii="Arial" w:cs="Arial" w:eastAsia="Arial" w:hAnsi="Arial"/>
                <w:sz w:val="18"/>
                <w:szCs w:val="18"/>
                <w:color w:val="auto"/>
              </w:rPr>
              <w:t>0.5</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8"/>
                <w:szCs w:val="18"/>
                <w:color w:val="auto"/>
              </w:rPr>
              <w:t>467</w:t>
            </w:r>
          </w:p>
        </w:tc>
        <w:tc>
          <w:tcPr>
            <w:tcW w:w="700" w:type="dxa"/>
            <w:vAlign w:val="bottom"/>
          </w:tcPr>
          <w:p>
            <w:pPr>
              <w:jc w:val="right"/>
              <w:spacing w:after="0"/>
              <w:rPr>
                <w:sz w:val="20"/>
                <w:szCs w:val="20"/>
                <w:color w:val="auto"/>
              </w:rPr>
            </w:pPr>
            <w:r>
              <w:rPr>
                <w:rFonts w:ascii="Arial" w:cs="Arial" w:eastAsia="Arial" w:hAnsi="Arial"/>
                <w:sz w:val="18"/>
                <w:szCs w:val="18"/>
                <w:color w:val="auto"/>
              </w:rPr>
              <w:t>0.2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Beverage, Food &amp; Tobacco</w:t>
            </w:r>
          </w:p>
        </w:tc>
        <w:tc>
          <w:tcPr>
            <w:tcW w:w="1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995</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Hotels, Gaming, and Leisure</w:t>
            </w:r>
          </w:p>
        </w:tc>
        <w:tc>
          <w:tcPr>
            <w:tcW w:w="1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8"/>
                <w:szCs w:val="18"/>
                <w:color w:val="auto"/>
              </w:rPr>
              <w:t>960</w:t>
            </w:r>
          </w:p>
        </w:tc>
        <w:tc>
          <w:tcPr>
            <w:tcW w:w="700" w:type="dxa"/>
            <w:vAlign w:val="bottom"/>
          </w:tcPr>
          <w:p>
            <w:pPr>
              <w:jc w:val="right"/>
              <w:spacing w:after="0"/>
              <w:rPr>
                <w:sz w:val="20"/>
                <w:szCs w:val="20"/>
                <w:color w:val="auto"/>
              </w:rPr>
            </w:pPr>
            <w:r>
              <w:rPr>
                <w:rFonts w:ascii="Arial" w:cs="Arial" w:eastAsia="Arial" w:hAnsi="Arial"/>
                <w:sz w:val="18"/>
                <w:szCs w:val="18"/>
                <w:color w:val="auto"/>
              </w:rPr>
              <w:t>0.3</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Environmental</w:t>
            </w:r>
          </w:p>
        </w:tc>
        <w:tc>
          <w:tcPr>
            <w:tcW w:w="1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886</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250</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Services: Consumer</w:t>
            </w:r>
          </w:p>
        </w:tc>
        <w:tc>
          <w:tcPr>
            <w:tcW w:w="1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8"/>
                <w:szCs w:val="18"/>
                <w:color w:val="auto"/>
              </w:rPr>
              <w:t>498</w:t>
            </w:r>
          </w:p>
        </w:tc>
        <w:tc>
          <w:tcPr>
            <w:tcW w:w="700" w:type="dxa"/>
            <w:vAlign w:val="bottom"/>
          </w:tcPr>
          <w:p>
            <w:pPr>
              <w:jc w:val="right"/>
              <w:spacing w:after="0"/>
              <w:rPr>
                <w:sz w:val="20"/>
                <w:szCs w:val="20"/>
                <w:color w:val="auto"/>
              </w:rPr>
            </w:pPr>
            <w:r>
              <w:rPr>
                <w:rFonts w:ascii="Arial" w:cs="Arial" w:eastAsia="Arial" w:hAnsi="Arial"/>
                <w:sz w:val="18"/>
                <w:szCs w:val="18"/>
                <w:color w:val="auto"/>
              </w:rPr>
              <w:t>0.2</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Building and Development</w:t>
            </w:r>
          </w:p>
        </w:tc>
        <w:tc>
          <w:tcPr>
            <w:tcW w:w="1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249</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485</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4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164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0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0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140" w:type="dxa"/>
            <w:vAlign w:val="bottom"/>
            <w:vMerge w:val="continue"/>
          </w:tcPr>
          <w:p>
            <w:pPr>
              <w:spacing w:after="0"/>
              <w:rPr>
                <w:sz w:val="19"/>
                <w:szCs w:val="19"/>
                <w:color w:val="auto"/>
              </w:rPr>
            </w:pPr>
          </w:p>
        </w:tc>
        <w:tc>
          <w:tcPr>
            <w:tcW w:w="1640" w:type="dxa"/>
            <w:vAlign w:val="bottom"/>
            <w:vMerge w:val="continue"/>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285,327</w:t>
            </w:r>
          </w:p>
        </w:tc>
        <w:tc>
          <w:tcPr>
            <w:tcW w:w="500" w:type="dxa"/>
            <w:vAlign w:val="bottom"/>
            <w:vMerge w:val="continue"/>
          </w:tcPr>
          <w:p>
            <w:pPr>
              <w:spacing w:after="0"/>
              <w:rPr>
                <w:sz w:val="19"/>
                <w:szCs w:val="19"/>
                <w:color w:val="auto"/>
              </w:rPr>
            </w:pPr>
          </w:p>
        </w:tc>
        <w:tc>
          <w:tcPr>
            <w:tcW w:w="1300" w:type="dxa"/>
            <w:vAlign w:val="bottom"/>
            <w:gridSpan w:val="2"/>
          </w:tcPr>
          <w:p>
            <w:pPr>
              <w:jc w:val="right"/>
              <w:ind w:right="460"/>
              <w:spacing w:after="0"/>
              <w:rPr>
                <w:sz w:val="20"/>
                <w:szCs w:val="20"/>
                <w:color w:val="auto"/>
              </w:rPr>
            </w:pPr>
            <w:r>
              <w:rPr>
                <w:rFonts w:ascii="Arial" w:cs="Arial" w:eastAsia="Arial" w:hAnsi="Arial"/>
                <w:sz w:val="18"/>
                <w:szCs w:val="18"/>
                <w:color w:val="auto"/>
              </w:rPr>
              <w:t>100.0%</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295,239</w:t>
            </w:r>
          </w:p>
        </w:tc>
        <w:tc>
          <w:tcPr>
            <w:tcW w:w="500" w:type="dxa"/>
            <w:vAlign w:val="bottom"/>
            <w:vMerge w:val="continue"/>
          </w:tcPr>
          <w:p>
            <w:pPr>
              <w:spacing w:after="0"/>
              <w:rPr>
                <w:sz w:val="19"/>
                <w:szCs w:val="19"/>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4140" w:type="dxa"/>
            <w:vAlign w:val="bottom"/>
          </w:tcPr>
          <w:p>
            <w:pPr>
              <w:spacing w:after="0" w:line="20" w:lineRule="exact"/>
              <w:rPr>
                <w:sz w:val="1"/>
                <w:szCs w:val="1"/>
                <w:color w:val="auto"/>
              </w:rPr>
            </w:pPr>
          </w:p>
        </w:tc>
        <w:tc>
          <w:tcPr>
            <w:tcW w:w="1640" w:type="dxa"/>
            <w:vAlign w:val="bottom"/>
            <w:vMerge w:val="restart"/>
          </w:tcPr>
          <w:p>
            <w:pPr>
              <w:jc w:val="right"/>
              <w:ind w:right="350"/>
              <w:spacing w:after="0"/>
              <w:rPr>
                <w:sz w:val="20"/>
                <w:szCs w:val="20"/>
                <w:color w:val="auto"/>
              </w:rPr>
            </w:pPr>
            <w:r>
              <w:rPr>
                <w:rFonts w:ascii="Arial" w:cs="Arial" w:eastAsia="Arial" w:hAnsi="Arial"/>
                <w:sz w:val="18"/>
                <w:szCs w:val="18"/>
                <w:color w:val="auto"/>
              </w:rPr>
              <w:t>45</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140" w:type="dxa"/>
            <w:vAlign w:val="bottom"/>
          </w:tcPr>
          <w:p>
            <w:pPr>
              <w:spacing w:after="0"/>
              <w:rPr>
                <w:sz w:val="24"/>
                <w:szCs w:val="24"/>
                <w:color w:val="auto"/>
              </w:rPr>
            </w:pPr>
          </w:p>
        </w:tc>
        <w:tc>
          <w:tcPr>
            <w:tcW w:w="164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240" w:top="459" w:right="6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Portfolio composition by geographic location at fair value</w:t>
      </w:r>
    </w:p>
    <w:p>
      <w:pPr>
        <w:spacing w:after="0" w:line="225"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The following table shows our portfolio composition by geographic location at fair value at November 30, 2015 and February 28, 2015. The geographic composition is determined by the location of the corporate headquarters of the portfolio company.</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2400" w:type="dxa"/>
            <w:vAlign w:val="bottom"/>
            <w:gridSpan w:val="4"/>
          </w:tcPr>
          <w:p>
            <w:pPr>
              <w:jc w:val="right"/>
              <w:ind w:right="720"/>
              <w:spacing w:after="0"/>
              <w:rPr>
                <w:sz w:val="20"/>
                <w:szCs w:val="20"/>
                <w:color w:val="auto"/>
              </w:rPr>
            </w:pPr>
            <w:r>
              <w:rPr>
                <w:rFonts w:ascii="Arial" w:cs="Arial" w:eastAsia="Arial" w:hAnsi="Arial"/>
                <w:sz w:val="14"/>
                <w:szCs w:val="14"/>
                <w:b w:val="1"/>
                <w:bCs w:val="1"/>
                <w:color w:val="auto"/>
              </w:rPr>
              <w:t>At November 30, 2015</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40" w:type="dxa"/>
            <w:vAlign w:val="bottom"/>
            <w:gridSpan w:val="4"/>
          </w:tcPr>
          <w:p>
            <w:pPr>
              <w:jc w:val="right"/>
              <w:ind w:right="540"/>
              <w:spacing w:after="0"/>
              <w:rPr>
                <w:sz w:val="20"/>
                <w:szCs w:val="20"/>
                <w:color w:val="auto"/>
              </w:rPr>
            </w:pPr>
            <w:r>
              <w:rPr>
                <w:rFonts w:ascii="Arial" w:cs="Arial" w:eastAsia="Arial" w:hAnsi="Arial"/>
                <w:sz w:val="14"/>
                <w:szCs w:val="14"/>
                <w:b w:val="1"/>
                <w:bCs w:val="1"/>
                <w:color w:val="auto"/>
              </w:rPr>
              <w:t>At February 28, 2015</w:t>
            </w:r>
          </w:p>
        </w:tc>
      </w:tr>
      <w:tr>
        <w:trPr>
          <w:trHeight w:val="119"/>
        </w:trPr>
        <w:tc>
          <w:tcPr>
            <w:tcW w:w="9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580" w:type="dxa"/>
            <w:vAlign w:val="bottom"/>
          </w:tcPr>
          <w:p>
            <w:pPr>
              <w:spacing w:after="0"/>
              <w:rPr>
                <w:sz w:val="10"/>
                <w:szCs w:val="10"/>
                <w:color w:val="auto"/>
              </w:rPr>
            </w:pPr>
          </w:p>
        </w:tc>
        <w:tc>
          <w:tcPr>
            <w:tcW w:w="1920" w:type="dxa"/>
            <w:vAlign w:val="bottom"/>
          </w:tcPr>
          <w:p>
            <w:pPr>
              <w:spacing w:after="0"/>
              <w:rPr>
                <w:sz w:val="10"/>
                <w:szCs w:val="10"/>
                <w:color w:val="auto"/>
              </w:rPr>
            </w:pPr>
          </w:p>
        </w:tc>
        <w:tc>
          <w:tcPr>
            <w:tcW w:w="1300" w:type="dxa"/>
            <w:vAlign w:val="bottom"/>
            <w:tcBorders>
              <w:top w:val="single" w:sz="8" w:color="auto"/>
            </w:tcBorders>
            <w:gridSpan w:val="2"/>
          </w:tcPr>
          <w:p>
            <w:pPr>
              <w:jc w:val="center"/>
              <w:ind w:right="560"/>
              <w:spacing w:after="0" w:line="119" w:lineRule="exact"/>
              <w:rPr>
                <w:sz w:val="20"/>
                <w:szCs w:val="20"/>
                <w:color w:val="auto"/>
              </w:rPr>
            </w:pPr>
            <w:r>
              <w:rPr>
                <w:rFonts w:ascii="Arial" w:cs="Arial" w:eastAsia="Arial" w:hAnsi="Arial"/>
                <w:sz w:val="13"/>
                <w:szCs w:val="13"/>
                <w:b w:val="1"/>
                <w:bCs w:val="1"/>
                <w:color w:val="auto"/>
                <w:w w:val="97"/>
              </w:rPr>
              <w:t>Investments</w:t>
            </w:r>
          </w:p>
        </w:tc>
        <w:tc>
          <w:tcPr>
            <w:tcW w:w="70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6"/>
              </w:rPr>
              <w:t>Percentage</w:t>
            </w:r>
          </w:p>
        </w:tc>
        <w:tc>
          <w:tcPr>
            <w:tcW w:w="4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32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Investments</w:t>
            </w:r>
          </w:p>
        </w:tc>
        <w:tc>
          <w:tcPr>
            <w:tcW w:w="68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6"/>
              </w:rPr>
              <w:t>Percentage</w:t>
            </w:r>
          </w:p>
        </w:tc>
        <w:tc>
          <w:tcPr>
            <w:tcW w:w="200" w:type="dxa"/>
            <w:vAlign w:val="bottom"/>
          </w:tcPr>
          <w:p>
            <w:pPr>
              <w:spacing w:after="0"/>
              <w:rPr>
                <w:sz w:val="10"/>
                <w:szCs w:val="10"/>
                <w:color w:val="auto"/>
              </w:rPr>
            </w:pPr>
          </w:p>
        </w:tc>
      </w:tr>
      <w:tr>
        <w:trPr>
          <w:trHeight w:val="149"/>
        </w:trPr>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30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6"/>
              </w:rPr>
              <w:t>at</w:t>
            </w:r>
          </w:p>
        </w:tc>
        <w:tc>
          <w:tcPr>
            <w:tcW w:w="11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0"/>
              </w:rPr>
              <w:t>of Total</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2"/>
          </w:tcPr>
          <w:p>
            <w:pPr>
              <w:jc w:val="center"/>
              <w:ind w:right="720"/>
              <w:spacing w:after="0" w:line="149" w:lineRule="exact"/>
              <w:rPr>
                <w:sz w:val="20"/>
                <w:szCs w:val="20"/>
                <w:color w:val="auto"/>
              </w:rPr>
            </w:pPr>
            <w:r>
              <w:rPr>
                <w:rFonts w:ascii="Arial" w:cs="Arial" w:eastAsia="Arial" w:hAnsi="Arial"/>
                <w:sz w:val="14"/>
                <w:szCs w:val="14"/>
                <w:b w:val="1"/>
                <w:bCs w:val="1"/>
                <w:color w:val="auto"/>
                <w:w w:val="96"/>
              </w:rPr>
              <w:t>at</w:t>
            </w:r>
          </w:p>
        </w:tc>
        <w:tc>
          <w:tcPr>
            <w:tcW w:w="8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of Total</w:t>
            </w:r>
          </w:p>
        </w:tc>
      </w:tr>
      <w:tr>
        <w:trPr>
          <w:trHeight w:val="171"/>
        </w:trPr>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30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5"/>
              </w:rPr>
              <w:t>Fair Value</w:t>
            </w:r>
          </w:p>
        </w:tc>
        <w:tc>
          <w:tcPr>
            <w:tcW w:w="11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3"/>
              </w:rPr>
              <w:t>Portfolio</w:t>
            </w:r>
          </w:p>
        </w:tc>
        <w:tc>
          <w:tcPr>
            <w:tcW w:w="240" w:type="dxa"/>
            <w:vAlign w:val="bottom"/>
          </w:tcPr>
          <w:p>
            <w:pPr>
              <w:spacing w:after="0"/>
              <w:rPr>
                <w:sz w:val="14"/>
                <w:szCs w:val="14"/>
                <w:color w:val="auto"/>
              </w:rPr>
            </w:pPr>
          </w:p>
        </w:tc>
        <w:tc>
          <w:tcPr>
            <w:tcW w:w="1320" w:type="dxa"/>
            <w:vAlign w:val="bottom"/>
            <w:gridSpan w:val="3"/>
          </w:tcPr>
          <w:p>
            <w:pPr>
              <w:jc w:val="center"/>
              <w:ind w:right="560"/>
              <w:spacing w:after="0"/>
              <w:rPr>
                <w:sz w:val="20"/>
                <w:szCs w:val="20"/>
                <w:color w:val="auto"/>
              </w:rPr>
            </w:pPr>
            <w:r>
              <w:rPr>
                <w:rFonts w:ascii="Arial" w:cs="Arial" w:eastAsia="Arial" w:hAnsi="Arial"/>
                <w:sz w:val="14"/>
                <w:szCs w:val="14"/>
                <w:b w:val="1"/>
                <w:bCs w:val="1"/>
                <w:color w:val="auto"/>
                <w:w w:val="95"/>
              </w:rPr>
              <w:t>Fair Value</w:t>
            </w:r>
          </w:p>
        </w:tc>
        <w:tc>
          <w:tcPr>
            <w:tcW w:w="8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Portfolio</w:t>
            </w:r>
          </w:p>
        </w:tc>
      </w:tr>
      <w:tr>
        <w:trPr>
          <w:trHeight w:val="142"/>
        </w:trPr>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500" w:type="dxa"/>
            <w:vAlign w:val="bottom"/>
            <w:tcBorders>
              <w:top w:val="single" w:sz="8" w:color="auto"/>
            </w:tcBorders>
            <w:gridSpan w:val="4"/>
          </w:tcPr>
          <w:p>
            <w:pPr>
              <w:ind w:left="520"/>
              <w:spacing w:after="0" w:line="142" w:lineRule="exact"/>
              <w:rPr>
                <w:sz w:val="20"/>
                <w:szCs w:val="20"/>
                <w:color w:val="auto"/>
              </w:rPr>
            </w:pPr>
            <w:r>
              <w:rPr>
                <w:rFonts w:ascii="Arial" w:cs="Arial" w:eastAsia="Arial" w:hAnsi="Arial"/>
                <w:sz w:val="14"/>
                <w:szCs w:val="14"/>
                <w:b w:val="1"/>
                <w:bCs w:val="1"/>
                <w:color w:val="auto"/>
                <w:w w:val="88"/>
              </w:rPr>
              <w:t>($ in thousands)</w:t>
            </w:r>
          </w:p>
        </w:tc>
        <w:tc>
          <w:tcPr>
            <w:tcW w:w="6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r>
      <w:tr>
        <w:trPr>
          <w:trHeight w:val="216"/>
        </w:trPr>
        <w:tc>
          <w:tcPr>
            <w:tcW w:w="920" w:type="dxa"/>
            <w:vAlign w:val="bottom"/>
          </w:tcPr>
          <w:p>
            <w:pPr>
              <w:spacing w:after="0"/>
              <w:rPr>
                <w:sz w:val="18"/>
                <w:szCs w:val="18"/>
                <w:color w:val="auto"/>
              </w:rPr>
            </w:pPr>
          </w:p>
        </w:tc>
        <w:tc>
          <w:tcPr>
            <w:tcW w:w="2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Southeast</w:t>
            </w:r>
          </w:p>
        </w:tc>
        <w:tc>
          <w:tcPr>
            <w:tcW w:w="322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$ 104,006</w:t>
            </w: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43.2%</w:t>
            </w:r>
          </w:p>
        </w:tc>
        <w:tc>
          <w:tcPr>
            <w:tcW w:w="4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92,069</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38.3%</w:t>
            </w:r>
          </w:p>
        </w:tc>
      </w:tr>
      <w:tr>
        <w:trPr>
          <w:trHeight w:val="216"/>
        </w:trPr>
        <w:tc>
          <w:tcPr>
            <w:tcW w:w="920" w:type="dxa"/>
            <w:vAlign w:val="bottom"/>
          </w:tcPr>
          <w:p>
            <w:pPr>
              <w:spacing w:after="0"/>
              <w:rPr>
                <w:sz w:val="18"/>
                <w:szCs w:val="18"/>
                <w:color w:val="auto"/>
              </w:rPr>
            </w:pPr>
          </w:p>
        </w:tc>
        <w:tc>
          <w:tcPr>
            <w:tcW w:w="2820" w:type="dxa"/>
            <w:vAlign w:val="bottom"/>
            <w:gridSpan w:val="2"/>
          </w:tcPr>
          <w:p>
            <w:pPr>
              <w:spacing w:after="0"/>
              <w:rPr>
                <w:sz w:val="20"/>
                <w:szCs w:val="20"/>
                <w:color w:val="auto"/>
              </w:rPr>
            </w:pPr>
            <w:r>
              <w:rPr>
                <w:rFonts w:ascii="Arial" w:cs="Arial" w:eastAsia="Arial" w:hAnsi="Arial"/>
                <w:sz w:val="18"/>
                <w:szCs w:val="18"/>
                <w:color w:val="auto"/>
              </w:rPr>
              <w:t>Midwest</w:t>
            </w:r>
          </w:p>
        </w:tc>
        <w:tc>
          <w:tcPr>
            <w:tcW w:w="3220" w:type="dxa"/>
            <w:vAlign w:val="bottom"/>
            <w:gridSpan w:val="3"/>
          </w:tcPr>
          <w:p>
            <w:pPr>
              <w:jc w:val="right"/>
              <w:ind w:right="560"/>
              <w:spacing w:after="0"/>
              <w:rPr>
                <w:sz w:val="20"/>
                <w:szCs w:val="20"/>
                <w:color w:val="auto"/>
              </w:rPr>
            </w:pPr>
            <w:r>
              <w:rPr>
                <w:rFonts w:ascii="Arial" w:cs="Arial" w:eastAsia="Arial" w:hAnsi="Arial"/>
                <w:sz w:val="18"/>
                <w:szCs w:val="18"/>
                <w:color w:val="auto"/>
              </w:rPr>
              <w:t>50,094</w:t>
            </w: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rPr>
              <w:t>20.8</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560"/>
              <w:spacing w:after="0"/>
              <w:rPr>
                <w:sz w:val="20"/>
                <w:szCs w:val="20"/>
                <w:color w:val="auto"/>
              </w:rPr>
            </w:pPr>
            <w:r>
              <w:rPr>
                <w:rFonts w:ascii="Arial" w:cs="Arial" w:eastAsia="Arial" w:hAnsi="Arial"/>
                <w:sz w:val="18"/>
                <w:szCs w:val="18"/>
                <w:color w:val="auto"/>
              </w:rPr>
              <w:t>55,767</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23.2</w:t>
            </w:r>
          </w:p>
        </w:tc>
      </w:tr>
      <w:tr>
        <w:trPr>
          <w:trHeight w:val="216"/>
        </w:trPr>
        <w:tc>
          <w:tcPr>
            <w:tcW w:w="920" w:type="dxa"/>
            <w:vAlign w:val="bottom"/>
          </w:tcPr>
          <w:p>
            <w:pPr>
              <w:spacing w:after="0"/>
              <w:rPr>
                <w:sz w:val="18"/>
                <w:szCs w:val="18"/>
                <w:color w:val="auto"/>
              </w:rPr>
            </w:pPr>
          </w:p>
        </w:tc>
        <w:tc>
          <w:tcPr>
            <w:tcW w:w="2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Northeast</w:t>
            </w:r>
          </w:p>
        </w:tc>
        <w:tc>
          <w:tcPr>
            <w:tcW w:w="322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43,240</w:t>
            </w: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17.9</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34,412</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14.3</w:t>
            </w:r>
          </w:p>
        </w:tc>
      </w:tr>
      <w:tr>
        <w:trPr>
          <w:trHeight w:val="216"/>
        </w:trPr>
        <w:tc>
          <w:tcPr>
            <w:tcW w:w="920" w:type="dxa"/>
            <w:vAlign w:val="bottom"/>
          </w:tcPr>
          <w:p>
            <w:pPr>
              <w:spacing w:after="0"/>
              <w:rPr>
                <w:sz w:val="18"/>
                <w:szCs w:val="18"/>
                <w:color w:val="auto"/>
              </w:rPr>
            </w:pPr>
          </w:p>
        </w:tc>
        <w:tc>
          <w:tcPr>
            <w:tcW w:w="2820" w:type="dxa"/>
            <w:vAlign w:val="bottom"/>
            <w:gridSpan w:val="2"/>
          </w:tcPr>
          <w:p>
            <w:pPr>
              <w:spacing w:after="0"/>
              <w:rPr>
                <w:sz w:val="20"/>
                <w:szCs w:val="20"/>
                <w:color w:val="auto"/>
              </w:rPr>
            </w:pPr>
            <w:r>
              <w:rPr>
                <w:rFonts w:ascii="Arial" w:cs="Arial" w:eastAsia="Arial" w:hAnsi="Arial"/>
                <w:sz w:val="18"/>
                <w:szCs w:val="18"/>
                <w:color w:val="auto"/>
              </w:rPr>
              <w:t>West</w:t>
            </w:r>
          </w:p>
        </w:tc>
        <w:tc>
          <w:tcPr>
            <w:tcW w:w="3220" w:type="dxa"/>
            <w:vAlign w:val="bottom"/>
            <w:gridSpan w:val="3"/>
          </w:tcPr>
          <w:p>
            <w:pPr>
              <w:jc w:val="right"/>
              <w:ind w:right="560"/>
              <w:spacing w:after="0"/>
              <w:rPr>
                <w:sz w:val="20"/>
                <w:szCs w:val="20"/>
                <w:color w:val="auto"/>
              </w:rPr>
            </w:pPr>
            <w:r>
              <w:rPr>
                <w:rFonts w:ascii="Arial" w:cs="Arial" w:eastAsia="Arial" w:hAnsi="Arial"/>
                <w:sz w:val="18"/>
                <w:szCs w:val="18"/>
                <w:color w:val="auto"/>
              </w:rPr>
              <w:t>26,922</w:t>
            </w: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rPr>
              <w:t>11.2</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560"/>
              <w:spacing w:after="0"/>
              <w:rPr>
                <w:sz w:val="20"/>
                <w:szCs w:val="20"/>
                <w:color w:val="auto"/>
              </w:rPr>
            </w:pPr>
            <w:r>
              <w:rPr>
                <w:rFonts w:ascii="Arial" w:cs="Arial" w:eastAsia="Arial" w:hAnsi="Arial"/>
                <w:sz w:val="18"/>
                <w:szCs w:val="18"/>
                <w:color w:val="auto"/>
              </w:rPr>
              <w:t>40,259</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16.7</w:t>
            </w:r>
          </w:p>
        </w:tc>
      </w:tr>
      <w:tr>
        <w:trPr>
          <w:trHeight w:val="216"/>
        </w:trPr>
        <w:tc>
          <w:tcPr>
            <w:tcW w:w="920" w:type="dxa"/>
            <w:vAlign w:val="bottom"/>
          </w:tcPr>
          <w:p>
            <w:pPr>
              <w:spacing w:after="0"/>
              <w:rPr>
                <w:sz w:val="18"/>
                <w:szCs w:val="18"/>
                <w:color w:val="auto"/>
              </w:rPr>
            </w:pPr>
          </w:p>
        </w:tc>
        <w:tc>
          <w:tcPr>
            <w:tcW w:w="2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Other(1)</w:t>
            </w:r>
          </w:p>
        </w:tc>
        <w:tc>
          <w:tcPr>
            <w:tcW w:w="322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15,776</w:t>
            </w: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6.5</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17,031</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200" w:type="dxa"/>
            <w:vAlign w:val="bottom"/>
            <w:shd w:val="clear" w:color="auto" w:fill="CCEEFF"/>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2820" w:type="dxa"/>
            <w:vAlign w:val="bottom"/>
            <w:gridSpan w:val="2"/>
          </w:tcPr>
          <w:p>
            <w:pPr>
              <w:spacing w:after="0"/>
              <w:rPr>
                <w:sz w:val="20"/>
                <w:szCs w:val="20"/>
                <w:color w:val="auto"/>
              </w:rPr>
            </w:pPr>
            <w:r>
              <w:rPr>
                <w:rFonts w:ascii="Arial" w:cs="Arial" w:eastAsia="Arial" w:hAnsi="Arial"/>
                <w:sz w:val="18"/>
                <w:szCs w:val="18"/>
                <w:color w:val="auto"/>
              </w:rPr>
              <w:t>International</w:t>
            </w:r>
          </w:p>
        </w:tc>
        <w:tc>
          <w:tcPr>
            <w:tcW w:w="1920" w:type="dxa"/>
            <w:vAlign w:val="bottom"/>
          </w:tcPr>
          <w:p>
            <w:pPr>
              <w:spacing w:after="0"/>
              <w:rPr>
                <w:sz w:val="18"/>
                <w:szCs w:val="18"/>
                <w:color w:val="auto"/>
              </w:rPr>
            </w:pPr>
          </w:p>
        </w:tc>
        <w:tc>
          <w:tcPr>
            <w:tcW w:w="1300" w:type="dxa"/>
            <w:vAlign w:val="bottom"/>
            <w:gridSpan w:val="2"/>
          </w:tcPr>
          <w:p>
            <w:pPr>
              <w:jc w:val="right"/>
              <w:ind w:right="560"/>
              <w:spacing w:after="0"/>
              <w:rPr>
                <w:sz w:val="20"/>
                <w:szCs w:val="20"/>
                <w:color w:val="auto"/>
              </w:rPr>
            </w:pPr>
            <w:r>
              <w:rPr>
                <w:rFonts w:ascii="Arial" w:cs="Arial" w:eastAsia="Arial" w:hAnsi="Arial"/>
                <w:sz w:val="18"/>
                <w:szCs w:val="18"/>
                <w:color w:val="auto"/>
              </w:rPr>
              <w:t>1,000</w:t>
            </w: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rPr>
              <w:t>0.4</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560"/>
              <w:spacing w:after="0"/>
              <w:rPr>
                <w:sz w:val="20"/>
                <w:szCs w:val="20"/>
                <w:color w:val="auto"/>
              </w:rPr>
            </w:pPr>
            <w:r>
              <w:rPr>
                <w:rFonts w:ascii="Arial" w:cs="Arial" w:eastAsia="Arial" w:hAnsi="Arial"/>
                <w:sz w:val="18"/>
                <w:szCs w:val="18"/>
                <w:color w:val="auto"/>
              </w:rPr>
              <w:t>1,000</w:t>
            </w:r>
          </w:p>
        </w:tc>
        <w:tc>
          <w:tcPr>
            <w:tcW w:w="680" w:type="dxa"/>
            <w:vAlign w:val="bottom"/>
          </w:tcPr>
          <w:p>
            <w:pPr>
              <w:jc w:val="right"/>
              <w:spacing w:after="0"/>
              <w:rPr>
                <w:sz w:val="20"/>
                <w:szCs w:val="20"/>
                <w:color w:val="auto"/>
              </w:rPr>
            </w:pPr>
            <w:r>
              <w:rPr>
                <w:rFonts w:ascii="Arial" w:cs="Arial" w:eastAsia="Arial" w:hAnsi="Arial"/>
                <w:sz w:val="18"/>
                <w:szCs w:val="18"/>
                <w:color w:val="auto"/>
              </w:rPr>
              <w:t>0.4</w:t>
            </w:r>
          </w:p>
        </w:tc>
        <w:tc>
          <w:tcPr>
            <w:tcW w:w="200" w:type="dxa"/>
            <w:vAlign w:val="bottom"/>
          </w:tcPr>
          <w:p>
            <w:pPr>
              <w:spacing w:after="0"/>
              <w:rPr>
                <w:sz w:val="18"/>
                <w:szCs w:val="18"/>
                <w:color w:val="auto"/>
              </w:rPr>
            </w:pPr>
          </w:p>
        </w:tc>
      </w:tr>
      <w:tr>
        <w:trPr>
          <w:trHeight w:val="27"/>
        </w:trPr>
        <w:tc>
          <w:tcPr>
            <w:tcW w:w="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5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r>
      <w:tr>
        <w:trPr>
          <w:trHeight w:val="216"/>
        </w:trPr>
        <w:tc>
          <w:tcPr>
            <w:tcW w:w="920" w:type="dxa"/>
            <w:vAlign w:val="bottom"/>
          </w:tcPr>
          <w:p>
            <w:pPr>
              <w:spacing w:after="0"/>
              <w:rPr>
                <w:sz w:val="18"/>
                <w:szCs w:val="18"/>
                <w:color w:val="auto"/>
              </w:rPr>
            </w:pPr>
          </w:p>
        </w:tc>
        <w:tc>
          <w:tcPr>
            <w:tcW w:w="2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322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$ 241,038</w:t>
            </w: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100.0%</w:t>
            </w:r>
          </w:p>
        </w:tc>
        <w:tc>
          <w:tcPr>
            <w:tcW w:w="4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89"/>
              </w:rPr>
              <w:t>240,538</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100.0%</w:t>
            </w:r>
          </w:p>
        </w:tc>
      </w:tr>
      <w:tr>
        <w:trPr>
          <w:trHeight w:val="20"/>
        </w:trPr>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29"/>
        </w:trPr>
        <w:tc>
          <w:tcPr>
            <w:tcW w:w="92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258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r>
    </w:tbl>
    <w:p>
      <w:pPr>
        <w:spacing w:after="0" w:line="26" w:lineRule="exact"/>
        <w:rPr>
          <w:sz w:val="20"/>
          <w:szCs w:val="20"/>
          <w:color w:val="auto"/>
        </w:rPr>
      </w:pPr>
    </w:p>
    <w:p>
      <w:pPr>
        <w:ind w:left="460" w:hanging="452"/>
        <w:spacing w:after="0"/>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Comprised of our investment in the subordinated notes of Saratoga CLO.</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Operating results for the three and nine months ended November 30, 2015 and November 30, 2014 are as follows:</w:t>
      </w:r>
    </w:p>
    <w:p>
      <w:pPr>
        <w:spacing w:after="0" w:line="244"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380" w:type="dxa"/>
            <w:vAlign w:val="bottom"/>
            <w:gridSpan w:val="6"/>
          </w:tcPr>
          <w:p>
            <w:pPr>
              <w:jc w:val="right"/>
              <w:ind w:right="500"/>
              <w:spacing w:after="0"/>
              <w:rPr>
                <w:sz w:val="20"/>
                <w:szCs w:val="20"/>
                <w:color w:val="auto"/>
              </w:rPr>
            </w:pPr>
            <w:r>
              <w:rPr>
                <w:rFonts w:ascii="Arial" w:cs="Arial" w:eastAsia="Arial" w:hAnsi="Arial"/>
                <w:sz w:val="14"/>
                <w:szCs w:val="14"/>
                <w:b w:val="1"/>
                <w:bCs w:val="1"/>
                <w:color w:val="auto"/>
              </w:rPr>
              <w:t>For the three months ended</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200" w:type="dxa"/>
            <w:vAlign w:val="bottom"/>
          </w:tcPr>
          <w:p>
            <w:pPr>
              <w:spacing w:after="0"/>
              <w:rPr>
                <w:sz w:val="10"/>
                <w:szCs w:val="10"/>
                <w:color w:val="auto"/>
              </w:rPr>
            </w:pPr>
          </w:p>
        </w:tc>
        <w:tc>
          <w:tcPr>
            <w:tcW w:w="1880" w:type="dxa"/>
            <w:vAlign w:val="bottom"/>
          </w:tcPr>
          <w:p>
            <w:pPr>
              <w:spacing w:after="0"/>
              <w:rPr>
                <w:sz w:val="10"/>
                <w:szCs w:val="10"/>
                <w:color w:val="auto"/>
              </w:rPr>
            </w:pPr>
          </w:p>
        </w:tc>
        <w:tc>
          <w:tcPr>
            <w:tcW w:w="920" w:type="dxa"/>
            <w:vAlign w:val="bottom"/>
            <w:tcBorders>
              <w:top w:val="single" w:sz="8" w:color="auto"/>
            </w:tcBorders>
            <w:gridSpan w:val="4"/>
          </w:tcPr>
          <w:p>
            <w:pPr>
              <w:jc w:val="right"/>
              <w:ind w:right="80"/>
              <w:spacing w:after="0" w:line="119" w:lineRule="exact"/>
              <w:rPr>
                <w:sz w:val="20"/>
                <w:szCs w:val="20"/>
                <w:color w:val="auto"/>
              </w:rPr>
            </w:pPr>
            <w:r>
              <w:rPr>
                <w:rFonts w:ascii="Arial" w:cs="Arial" w:eastAsia="Arial" w:hAnsi="Arial"/>
                <w:sz w:val="13"/>
                <w:szCs w:val="13"/>
                <w:b w:val="1"/>
                <w:bCs w:val="1"/>
                <w:color w:val="auto"/>
                <w:w w:val="96"/>
              </w:rPr>
              <w:t>November 30,</w:t>
            </w:r>
          </w:p>
        </w:tc>
        <w:tc>
          <w:tcPr>
            <w:tcW w:w="1540" w:type="dxa"/>
            <w:vAlign w:val="bottom"/>
            <w:tcBorders>
              <w:top w:val="single" w:sz="8" w:color="auto"/>
            </w:tcBorders>
            <w:gridSpan w:val="3"/>
          </w:tcPr>
          <w:p>
            <w:pPr>
              <w:ind w:left="680"/>
              <w:spacing w:after="0" w:line="119" w:lineRule="exact"/>
              <w:rPr>
                <w:sz w:val="20"/>
                <w:szCs w:val="20"/>
                <w:color w:val="auto"/>
              </w:rPr>
            </w:pPr>
            <w:r>
              <w:rPr>
                <w:rFonts w:ascii="Arial" w:cs="Arial" w:eastAsia="Arial" w:hAnsi="Arial"/>
                <w:sz w:val="13"/>
                <w:szCs w:val="13"/>
                <w:b w:val="1"/>
                <w:bCs w:val="1"/>
                <w:color w:val="auto"/>
                <w:w w:val="98"/>
              </w:rPr>
              <w:t>November 30,</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2015</w:t>
            </w:r>
          </w:p>
        </w:tc>
        <w:tc>
          <w:tcPr>
            <w:tcW w:w="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20" w:type="dxa"/>
            <w:vAlign w:val="bottom"/>
            <w:gridSpan w:val="4"/>
          </w:tcPr>
          <w:p>
            <w:pPr>
              <w:ind w:left="540"/>
              <w:spacing w:after="0" w:line="142" w:lineRule="exact"/>
              <w:rPr>
                <w:sz w:val="20"/>
                <w:szCs w:val="20"/>
                <w:color w:val="auto"/>
              </w:rPr>
            </w:pPr>
            <w:r>
              <w:rPr>
                <w:rFonts w:ascii="Arial" w:cs="Arial" w:eastAsia="Arial" w:hAnsi="Arial"/>
                <w:sz w:val="14"/>
                <w:szCs w:val="14"/>
                <w:b w:val="1"/>
                <w:bCs w:val="1"/>
                <w:color w:val="auto"/>
                <w:w w:val="97"/>
              </w:rPr>
              <w:t>($ in thousands)</w:t>
            </w: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Total investment income</w:t>
            </w:r>
          </w:p>
        </w:tc>
        <w:tc>
          <w:tcPr>
            <w:tcW w:w="2080" w:type="dxa"/>
            <w:vAlign w:val="bottom"/>
            <w:gridSpan w:val="3"/>
            <w:shd w:val="clear" w:color="auto" w:fill="CCEEFF"/>
          </w:tcPr>
          <w:p>
            <w:pPr>
              <w:jc w:val="right"/>
              <w:ind w:right="49"/>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6,936</w:t>
            </w:r>
          </w:p>
        </w:tc>
        <w:tc>
          <w:tcPr>
            <w:tcW w:w="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7,305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Total expenses, net</w:t>
            </w:r>
          </w:p>
        </w:tc>
        <w:tc>
          <w:tcPr>
            <w:tcW w:w="188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4,786</w:t>
            </w:r>
          </w:p>
        </w:tc>
        <w:tc>
          <w:tcPr>
            <w:tcW w:w="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4,676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Net investment income</w:t>
            </w:r>
          </w:p>
        </w:tc>
        <w:tc>
          <w:tcPr>
            <w:tcW w:w="1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2,150</w:t>
            </w:r>
          </w:p>
        </w:tc>
        <w:tc>
          <w:tcPr>
            <w:tcW w:w="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Net realized gains</w:t>
            </w:r>
          </w:p>
        </w:tc>
        <w:tc>
          <w:tcPr>
            <w:tcW w:w="1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448</w:t>
            </w: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2,761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w w:val="90"/>
              </w:rPr>
              <w:t>Net unrealized appreciation/(depreciation) on investments</w:t>
            </w:r>
          </w:p>
        </w:tc>
        <w:tc>
          <w:tcPr>
            <w:tcW w:w="1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823</w:t>
            </w:r>
          </w:p>
        </w:tc>
        <w:tc>
          <w:tcPr>
            <w:tcW w:w="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(2,005)</w:t>
            </w:r>
          </w:p>
        </w:tc>
        <w:tc>
          <w:tcPr>
            <w:tcW w:w="0" w:type="dxa"/>
            <w:vAlign w:val="bottom"/>
          </w:tcPr>
          <w:p>
            <w:pPr>
              <w:spacing w:after="0"/>
              <w:rPr>
                <w:sz w:val="1"/>
                <w:szCs w:val="1"/>
                <w:color w:val="auto"/>
              </w:rPr>
            </w:pPr>
          </w:p>
        </w:tc>
      </w:tr>
      <w:tr>
        <w:trPr>
          <w:trHeight w:val="223"/>
        </w:trPr>
        <w:tc>
          <w:tcPr>
            <w:tcW w:w="4220" w:type="dxa"/>
            <w:vAlign w:val="bottom"/>
            <w:gridSpan w:val="2"/>
          </w:tcPr>
          <w:p>
            <w:pPr>
              <w:spacing w:after="0"/>
              <w:rPr>
                <w:sz w:val="20"/>
                <w:szCs w:val="20"/>
                <w:color w:val="auto"/>
              </w:rPr>
            </w:pPr>
            <w:r>
              <w:rPr>
                <w:rFonts w:ascii="Arial" w:cs="Arial" w:eastAsia="Arial" w:hAnsi="Arial"/>
                <w:sz w:val="18"/>
                <w:szCs w:val="18"/>
                <w:color w:val="auto"/>
              </w:rPr>
              <w:t>Net increase in net assets resulting from operations</w:t>
            </w:r>
          </w:p>
        </w:tc>
        <w:tc>
          <w:tcPr>
            <w:tcW w:w="1880" w:type="dxa"/>
            <w:vAlign w:val="bottom"/>
          </w:tcPr>
          <w:p>
            <w:pPr>
              <w:spacing w:after="0"/>
              <w:rPr>
                <w:sz w:val="19"/>
                <w:szCs w:val="19"/>
                <w:color w:val="auto"/>
              </w:rPr>
            </w:pPr>
          </w:p>
        </w:tc>
        <w:tc>
          <w:tcPr>
            <w:tcW w:w="200" w:type="dxa"/>
            <w:vAlign w:val="bottom"/>
            <w:tcBorders>
              <w:top w:val="single" w:sz="8" w:color="auto"/>
              <w:bottom w:val="single" w:sz="8" w:color="auto"/>
            </w:tcBorders>
            <w:gridSpan w:val="2"/>
          </w:tcPr>
          <w:p>
            <w:pPr>
              <w:jc w:val="right"/>
              <w:ind w:right="49"/>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3,421</w:t>
            </w:r>
          </w:p>
        </w:tc>
        <w:tc>
          <w:tcPr>
            <w:tcW w:w="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3,385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8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2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380" w:type="dxa"/>
            <w:vAlign w:val="bottom"/>
            <w:gridSpan w:val="6"/>
          </w:tcPr>
          <w:p>
            <w:pPr>
              <w:jc w:val="right"/>
              <w:ind w:right="500"/>
              <w:spacing w:after="0"/>
              <w:rPr>
                <w:sz w:val="20"/>
                <w:szCs w:val="20"/>
                <w:color w:val="auto"/>
              </w:rPr>
            </w:pPr>
            <w:r>
              <w:rPr>
                <w:rFonts w:ascii="Arial" w:cs="Arial" w:eastAsia="Arial" w:hAnsi="Arial"/>
                <w:sz w:val="14"/>
                <w:szCs w:val="14"/>
                <w:b w:val="1"/>
                <w:bCs w:val="1"/>
                <w:color w:val="auto"/>
              </w:rPr>
              <w:t>For the nine months ended</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200" w:type="dxa"/>
            <w:vAlign w:val="bottom"/>
          </w:tcPr>
          <w:p>
            <w:pPr>
              <w:spacing w:after="0"/>
              <w:rPr>
                <w:sz w:val="10"/>
                <w:szCs w:val="10"/>
                <w:color w:val="auto"/>
              </w:rPr>
            </w:pPr>
          </w:p>
        </w:tc>
        <w:tc>
          <w:tcPr>
            <w:tcW w:w="18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60" w:type="dxa"/>
            <w:vAlign w:val="bottom"/>
            <w:tcBorders>
              <w:top w:val="single" w:sz="8" w:color="auto"/>
            </w:tcBorders>
            <w:gridSpan w:val="3"/>
          </w:tcPr>
          <w:p>
            <w:pPr>
              <w:jc w:val="right"/>
              <w:ind w:right="20"/>
              <w:spacing w:after="0" w:line="119" w:lineRule="exact"/>
              <w:rPr>
                <w:sz w:val="20"/>
                <w:szCs w:val="20"/>
                <w:color w:val="auto"/>
              </w:rPr>
            </w:pPr>
            <w:r>
              <w:rPr>
                <w:rFonts w:ascii="Arial" w:cs="Arial" w:eastAsia="Arial" w:hAnsi="Arial"/>
                <w:sz w:val="13"/>
                <w:szCs w:val="13"/>
                <w:b w:val="1"/>
                <w:bCs w:val="1"/>
                <w:color w:val="auto"/>
                <w:w w:val="96"/>
              </w:rPr>
              <w:t>November 30,</w:t>
            </w:r>
          </w:p>
        </w:tc>
        <w:tc>
          <w:tcPr>
            <w:tcW w:w="1540" w:type="dxa"/>
            <w:vAlign w:val="bottom"/>
            <w:tcBorders>
              <w:top w:val="single" w:sz="8" w:color="auto"/>
            </w:tcBorders>
            <w:gridSpan w:val="3"/>
          </w:tcPr>
          <w:p>
            <w:pPr>
              <w:ind w:left="680"/>
              <w:spacing w:after="0" w:line="119" w:lineRule="exact"/>
              <w:rPr>
                <w:sz w:val="20"/>
                <w:szCs w:val="20"/>
                <w:color w:val="auto"/>
              </w:rPr>
            </w:pPr>
            <w:r>
              <w:rPr>
                <w:rFonts w:ascii="Arial" w:cs="Arial" w:eastAsia="Arial" w:hAnsi="Arial"/>
                <w:sz w:val="13"/>
                <w:szCs w:val="13"/>
                <w:b w:val="1"/>
                <w:bCs w:val="1"/>
                <w:color w:val="auto"/>
                <w:w w:val="98"/>
              </w:rPr>
              <w:t>November 30,</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rPr>
              <w:t>2015</w:t>
            </w:r>
          </w:p>
        </w:tc>
        <w:tc>
          <w:tcPr>
            <w:tcW w:w="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20" w:type="dxa"/>
            <w:vAlign w:val="bottom"/>
            <w:gridSpan w:val="4"/>
          </w:tcPr>
          <w:p>
            <w:pPr>
              <w:ind w:left="560"/>
              <w:spacing w:after="0" w:line="142" w:lineRule="exact"/>
              <w:rPr>
                <w:sz w:val="20"/>
                <w:szCs w:val="20"/>
                <w:color w:val="auto"/>
              </w:rPr>
            </w:pPr>
            <w:r>
              <w:rPr>
                <w:rFonts w:ascii="Arial" w:cs="Arial" w:eastAsia="Arial" w:hAnsi="Arial"/>
                <w:sz w:val="14"/>
                <w:szCs w:val="14"/>
                <w:b w:val="1"/>
                <w:bCs w:val="1"/>
                <w:color w:val="auto"/>
                <w:w w:val="96"/>
              </w:rPr>
              <w:t>($ in thousands)</w:t>
            </w: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Total investment income</w:t>
            </w:r>
          </w:p>
        </w:tc>
        <w:tc>
          <w:tcPr>
            <w:tcW w:w="20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22,255</w:t>
            </w:r>
          </w:p>
        </w:tc>
        <w:tc>
          <w:tcPr>
            <w:tcW w:w="90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19,924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Total expenses, net</w:t>
            </w:r>
          </w:p>
        </w:tc>
        <w:tc>
          <w:tcPr>
            <w:tcW w:w="18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14,676</w:t>
            </w:r>
          </w:p>
        </w:tc>
        <w:tc>
          <w:tcPr>
            <w:tcW w:w="6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13,139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Net investment income</w:t>
            </w:r>
          </w:p>
        </w:tc>
        <w:tc>
          <w:tcPr>
            <w:tcW w:w="1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7,579</w:t>
            </w: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6,785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Net realized gains</w:t>
            </w:r>
          </w:p>
        </w:tc>
        <w:tc>
          <w:tcPr>
            <w:tcW w:w="1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4,231</w:t>
            </w: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3,203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w w:val="90"/>
              </w:rPr>
              <w:t>Net unrealized appreciation/(depreciation) on investments</w:t>
            </w:r>
          </w:p>
        </w:tc>
        <w:tc>
          <w:tcPr>
            <w:tcW w:w="1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239</w:t>
            </w: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(1,686)</w:t>
            </w:r>
          </w:p>
        </w:tc>
        <w:tc>
          <w:tcPr>
            <w:tcW w:w="0" w:type="dxa"/>
            <w:vAlign w:val="bottom"/>
          </w:tcPr>
          <w:p>
            <w:pPr>
              <w:spacing w:after="0"/>
              <w:rPr>
                <w:sz w:val="1"/>
                <w:szCs w:val="1"/>
                <w:color w:val="auto"/>
              </w:rPr>
            </w:pPr>
          </w:p>
        </w:tc>
      </w:tr>
      <w:tr>
        <w:trPr>
          <w:trHeight w:val="223"/>
        </w:trPr>
        <w:tc>
          <w:tcPr>
            <w:tcW w:w="4220" w:type="dxa"/>
            <w:vAlign w:val="bottom"/>
            <w:gridSpan w:val="2"/>
          </w:tcPr>
          <w:p>
            <w:pPr>
              <w:spacing w:after="0"/>
              <w:rPr>
                <w:sz w:val="20"/>
                <w:szCs w:val="20"/>
                <w:color w:val="auto"/>
              </w:rPr>
            </w:pPr>
            <w:r>
              <w:rPr>
                <w:rFonts w:ascii="Arial" w:cs="Arial" w:eastAsia="Arial" w:hAnsi="Arial"/>
                <w:sz w:val="18"/>
                <w:szCs w:val="18"/>
                <w:color w:val="auto"/>
              </w:rPr>
              <w:t>Net increase in net assets resulting from operations</w:t>
            </w:r>
          </w:p>
        </w:tc>
        <w:tc>
          <w:tcPr>
            <w:tcW w:w="1940" w:type="dxa"/>
            <w:vAlign w:val="bottom"/>
            <w:gridSpan w:val="2"/>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12,049</w:t>
            </w:r>
          </w:p>
        </w:tc>
        <w:tc>
          <w:tcPr>
            <w:tcW w:w="68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8,302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1880" w:type="dxa"/>
            <w:vAlign w:val="bottom"/>
            <w:vMerge w:val="restart"/>
          </w:tcPr>
          <w:p>
            <w:pPr>
              <w:jc w:val="right"/>
              <w:ind w:right="1590"/>
              <w:spacing w:after="0"/>
              <w:rPr>
                <w:sz w:val="20"/>
                <w:szCs w:val="20"/>
                <w:color w:val="auto"/>
              </w:rPr>
            </w:pPr>
            <w:r>
              <w:rPr>
                <w:rFonts w:ascii="Arial" w:cs="Arial" w:eastAsia="Arial" w:hAnsi="Arial"/>
                <w:sz w:val="18"/>
                <w:szCs w:val="18"/>
                <w:color w:val="auto"/>
                <w:w w:val="89"/>
              </w:rPr>
              <w:t>46</w:t>
            </w: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1880" w:type="dxa"/>
            <w:vAlign w:val="bottom"/>
            <w:vMerge w:val="continue"/>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Investment income</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composition of our investment income for the three and nine months ended November 30, 2015 and November 30, 2014 are as follows:</w:t>
      </w:r>
    </w:p>
    <w:p>
      <w:pPr>
        <w:spacing w:after="0" w:line="255"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5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380" w:type="dxa"/>
            <w:vAlign w:val="bottom"/>
            <w:gridSpan w:val="6"/>
          </w:tcPr>
          <w:p>
            <w:pPr>
              <w:ind w:left="180"/>
              <w:spacing w:after="0"/>
              <w:rPr>
                <w:sz w:val="20"/>
                <w:szCs w:val="20"/>
                <w:color w:val="auto"/>
              </w:rPr>
            </w:pPr>
            <w:r>
              <w:rPr>
                <w:rFonts w:ascii="Arial" w:cs="Arial" w:eastAsia="Arial" w:hAnsi="Arial"/>
                <w:sz w:val="14"/>
                <w:szCs w:val="14"/>
                <w:b w:val="1"/>
                <w:bCs w:val="1"/>
                <w:color w:val="auto"/>
              </w:rPr>
              <w:t>For the three months ended</w:t>
            </w:r>
          </w:p>
        </w:tc>
      </w:tr>
      <w:tr>
        <w:trPr>
          <w:trHeight w:val="119"/>
        </w:trPr>
        <w:tc>
          <w:tcPr>
            <w:tcW w:w="5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940" w:type="dxa"/>
            <w:vAlign w:val="bottom"/>
            <w:tcBorders>
              <w:top w:val="single" w:sz="8" w:color="auto"/>
            </w:tcBorders>
            <w:gridSpan w:val="5"/>
          </w:tcPr>
          <w:p>
            <w:pPr>
              <w:spacing w:after="0" w:line="119" w:lineRule="exact"/>
              <w:rPr>
                <w:sz w:val="20"/>
                <w:szCs w:val="20"/>
                <w:color w:val="auto"/>
              </w:rPr>
            </w:pPr>
            <w:r>
              <w:rPr>
                <w:rFonts w:ascii="Arial" w:cs="Arial" w:eastAsia="Arial" w:hAnsi="Arial"/>
                <w:sz w:val="13"/>
                <w:szCs w:val="13"/>
                <w:b w:val="1"/>
                <w:bCs w:val="1"/>
                <w:color w:val="auto"/>
              </w:rPr>
              <w:t>November 30,</w:t>
            </w:r>
          </w:p>
        </w:tc>
        <w:tc>
          <w:tcPr>
            <w:tcW w:w="1560" w:type="dxa"/>
            <w:vAlign w:val="bottom"/>
            <w:tcBorders>
              <w:top w:val="single" w:sz="8" w:color="auto"/>
            </w:tcBorders>
            <w:gridSpan w:val="3"/>
          </w:tcPr>
          <w:p>
            <w:pPr>
              <w:jc w:val="center"/>
              <w:ind w:left="602"/>
              <w:spacing w:after="0" w:line="119" w:lineRule="exact"/>
              <w:rPr>
                <w:sz w:val="20"/>
                <w:szCs w:val="20"/>
                <w:color w:val="auto"/>
              </w:rPr>
            </w:pPr>
            <w:r>
              <w:rPr>
                <w:rFonts w:ascii="Arial" w:cs="Arial" w:eastAsia="Arial" w:hAnsi="Arial"/>
                <w:sz w:val="13"/>
                <w:szCs w:val="13"/>
                <w:b w:val="1"/>
                <w:bCs w:val="1"/>
                <w:color w:val="auto"/>
                <w:w w:val="98"/>
              </w:rPr>
              <w:t>November 30,</w:t>
            </w:r>
          </w:p>
        </w:tc>
        <w:tc>
          <w:tcPr>
            <w:tcW w:w="100" w:type="dxa"/>
            <w:vAlign w:val="bottom"/>
          </w:tcPr>
          <w:p>
            <w:pPr>
              <w:spacing w:after="0"/>
              <w:rPr>
                <w:sz w:val="10"/>
                <w:szCs w:val="10"/>
                <w:color w:val="auto"/>
              </w:rPr>
            </w:pPr>
          </w:p>
        </w:tc>
      </w:tr>
      <w:tr>
        <w:trPr>
          <w:trHeight w:val="171"/>
        </w:trPr>
        <w:tc>
          <w:tcPr>
            <w:tcW w:w="5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8"/>
              <w:spacing w:after="0"/>
              <w:rPr>
                <w:sz w:val="20"/>
                <w:szCs w:val="20"/>
                <w:color w:val="auto"/>
              </w:rPr>
            </w:pPr>
            <w:r>
              <w:rPr>
                <w:rFonts w:ascii="Arial" w:cs="Arial" w:eastAsia="Arial" w:hAnsi="Arial"/>
                <w:sz w:val="14"/>
                <w:szCs w:val="14"/>
                <w:b w:val="1"/>
                <w:bCs w:val="1"/>
                <w:color w:val="auto"/>
              </w:rPr>
              <w:t>2015</w:t>
            </w: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center"/>
              <w:ind w:right="134"/>
              <w:spacing w:after="0"/>
              <w:rPr>
                <w:sz w:val="20"/>
                <w:szCs w:val="20"/>
                <w:color w:val="auto"/>
              </w:rPr>
            </w:pPr>
            <w:r>
              <w:rPr>
                <w:rFonts w:ascii="Arial" w:cs="Arial" w:eastAsia="Arial" w:hAnsi="Arial"/>
                <w:sz w:val="14"/>
                <w:szCs w:val="14"/>
                <w:b w:val="1"/>
                <w:bCs w:val="1"/>
                <w:color w:val="auto"/>
                <w:w w:val="89"/>
              </w:rPr>
              <w:t>2014</w:t>
            </w:r>
          </w:p>
        </w:tc>
        <w:tc>
          <w:tcPr>
            <w:tcW w:w="100" w:type="dxa"/>
            <w:vAlign w:val="bottom"/>
          </w:tcPr>
          <w:p>
            <w:pPr>
              <w:spacing w:after="0"/>
              <w:rPr>
                <w:sz w:val="14"/>
                <w:szCs w:val="14"/>
                <w:color w:val="auto"/>
              </w:rPr>
            </w:pPr>
          </w:p>
        </w:tc>
      </w:tr>
      <w:tr>
        <w:trPr>
          <w:trHeight w:val="142"/>
        </w:trPr>
        <w:tc>
          <w:tcPr>
            <w:tcW w:w="5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20" w:type="dxa"/>
            <w:vAlign w:val="bottom"/>
            <w:gridSpan w:val="4"/>
          </w:tcPr>
          <w:p>
            <w:pPr>
              <w:jc w:val="right"/>
              <w:ind w:right="25"/>
              <w:spacing w:after="0" w:line="142" w:lineRule="exact"/>
              <w:rPr>
                <w:sz w:val="20"/>
                <w:szCs w:val="20"/>
                <w:color w:val="auto"/>
              </w:rPr>
            </w:pPr>
            <w:r>
              <w:rPr>
                <w:rFonts w:ascii="Arial" w:cs="Arial" w:eastAsia="Arial" w:hAnsi="Arial"/>
                <w:sz w:val="14"/>
                <w:szCs w:val="14"/>
                <w:b w:val="1"/>
                <w:bCs w:val="1"/>
                <w:color w:val="auto"/>
              </w:rPr>
              <w:t>($ in thousands)</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Interest from investments</w:t>
            </w:r>
          </w:p>
        </w:tc>
        <w:tc>
          <w:tcPr>
            <w:tcW w:w="1200" w:type="dxa"/>
            <w:vAlign w:val="bottom"/>
            <w:gridSpan w:val="4"/>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6,227</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6,054</w:t>
            </w:r>
          </w:p>
        </w:tc>
        <w:tc>
          <w:tcPr>
            <w:tcW w:w="100" w:type="dxa"/>
            <w:vAlign w:val="bottom"/>
            <w:shd w:val="clear" w:color="auto" w:fill="CCEEFF"/>
          </w:tcPr>
          <w:p>
            <w:pPr>
              <w:spacing w:after="0"/>
              <w:rPr>
                <w:sz w:val="18"/>
                <w:szCs w:val="18"/>
                <w:color w:val="auto"/>
              </w:rPr>
            </w:pP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rPr>
              <w:t>Management fees from Saratoga CLO</w:t>
            </w: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369</w:t>
            </w: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383</w:t>
            </w:r>
          </w:p>
        </w:tc>
        <w:tc>
          <w:tcPr>
            <w:tcW w:w="100" w:type="dxa"/>
            <w:vAlign w:val="bottom"/>
          </w:tcPr>
          <w:p>
            <w:pPr>
              <w:spacing w:after="0"/>
              <w:rPr>
                <w:sz w:val="18"/>
                <w:szCs w:val="18"/>
                <w:color w:val="auto"/>
              </w:rPr>
            </w:pPr>
          </w:p>
        </w:tc>
      </w:t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Interest from cash and cash equivalents and other income</w:t>
            </w:r>
          </w:p>
        </w:tc>
        <w:tc>
          <w:tcPr>
            <w:tcW w:w="98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340</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868</w:t>
            </w:r>
          </w:p>
        </w:tc>
        <w:tc>
          <w:tcPr>
            <w:tcW w:w="100" w:type="dxa"/>
            <w:vAlign w:val="bottom"/>
            <w:shd w:val="clear" w:color="auto" w:fill="CCEEFF"/>
          </w:tcPr>
          <w:p>
            <w:pPr>
              <w:spacing w:after="0"/>
              <w:rPr>
                <w:sz w:val="18"/>
                <w:szCs w:val="18"/>
                <w:color w:val="auto"/>
              </w:rPr>
            </w:pPr>
          </w:p>
        </w:tc>
      </w:tr>
      <w:tr>
        <w:trPr>
          <w:trHeight w:val="223"/>
        </w:trPr>
        <w:tc>
          <w:tcPr>
            <w:tcW w:w="5100" w:type="dxa"/>
            <w:vAlign w:val="bottom"/>
          </w:tcPr>
          <w:p>
            <w:pPr>
              <w:spacing w:after="0"/>
              <w:rPr>
                <w:sz w:val="20"/>
                <w:szCs w:val="20"/>
                <w:color w:val="auto"/>
              </w:rPr>
            </w:pPr>
            <w:r>
              <w:rPr>
                <w:rFonts w:ascii="Arial" w:cs="Arial" w:eastAsia="Arial" w:hAnsi="Arial"/>
                <w:sz w:val="18"/>
                <w:szCs w:val="18"/>
                <w:color w:val="auto"/>
              </w:rPr>
              <w:t>Total investment income</w:t>
            </w:r>
          </w:p>
        </w:tc>
        <w:tc>
          <w:tcPr>
            <w:tcW w:w="980" w:type="dxa"/>
            <w:vAlign w:val="bottom"/>
          </w:tcPr>
          <w:p>
            <w:pPr>
              <w:spacing w:after="0"/>
              <w:rPr>
                <w:sz w:val="19"/>
                <w:szCs w:val="19"/>
                <w:color w:val="auto"/>
              </w:rPr>
            </w:pPr>
          </w:p>
        </w:tc>
        <w:tc>
          <w:tcPr>
            <w:tcW w:w="22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6,936</w:t>
            </w: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7,305</w:t>
            </w:r>
          </w:p>
        </w:tc>
        <w:tc>
          <w:tcPr>
            <w:tcW w:w="100" w:type="dxa"/>
            <w:vAlign w:val="bottom"/>
          </w:tcPr>
          <w:p>
            <w:pPr>
              <w:spacing w:after="0"/>
              <w:rPr>
                <w:sz w:val="19"/>
                <w:szCs w:val="19"/>
                <w:color w:val="auto"/>
              </w:rPr>
            </w:pPr>
          </w:p>
        </w:tc>
      </w:tr>
      <w:tr>
        <w:trPr>
          <w:trHeight w:val="20"/>
        </w:trPr>
        <w:tc>
          <w:tcPr>
            <w:tcW w:w="5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8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86"/>
        </w:trPr>
        <w:tc>
          <w:tcPr>
            <w:tcW w:w="5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380" w:type="dxa"/>
            <w:vAlign w:val="bottom"/>
            <w:gridSpan w:val="6"/>
          </w:tcPr>
          <w:p>
            <w:pPr>
              <w:ind w:left="240"/>
              <w:spacing w:after="0"/>
              <w:rPr>
                <w:sz w:val="20"/>
                <w:szCs w:val="20"/>
                <w:color w:val="auto"/>
              </w:rPr>
            </w:pPr>
            <w:r>
              <w:rPr>
                <w:rFonts w:ascii="Arial" w:cs="Arial" w:eastAsia="Arial" w:hAnsi="Arial"/>
                <w:sz w:val="14"/>
                <w:szCs w:val="14"/>
                <w:b w:val="1"/>
                <w:bCs w:val="1"/>
                <w:color w:val="auto"/>
              </w:rPr>
              <w:t>For the nine months ended</w:t>
            </w:r>
          </w:p>
        </w:tc>
      </w:tr>
      <w:tr>
        <w:trPr>
          <w:trHeight w:val="119"/>
        </w:trPr>
        <w:tc>
          <w:tcPr>
            <w:tcW w:w="5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60" w:type="dxa"/>
            <w:vAlign w:val="bottom"/>
            <w:tcBorders>
              <w:top w:val="single" w:sz="8" w:color="auto"/>
            </w:tcBorders>
            <w:gridSpan w:val="3"/>
          </w:tcPr>
          <w:p>
            <w:pPr>
              <w:jc w:val="right"/>
              <w:ind w:right="20"/>
              <w:spacing w:after="0" w:line="119" w:lineRule="exact"/>
              <w:rPr>
                <w:sz w:val="20"/>
                <w:szCs w:val="20"/>
                <w:color w:val="auto"/>
              </w:rPr>
            </w:pPr>
            <w:r>
              <w:rPr>
                <w:rFonts w:ascii="Arial" w:cs="Arial" w:eastAsia="Arial" w:hAnsi="Arial"/>
                <w:sz w:val="13"/>
                <w:szCs w:val="13"/>
                <w:b w:val="1"/>
                <w:bCs w:val="1"/>
                <w:color w:val="auto"/>
                <w:w w:val="96"/>
              </w:rPr>
              <w:t>November 30,</w:t>
            </w:r>
          </w:p>
        </w:tc>
        <w:tc>
          <w:tcPr>
            <w:tcW w:w="1560" w:type="dxa"/>
            <w:vAlign w:val="bottom"/>
            <w:tcBorders>
              <w:top w:val="single" w:sz="8" w:color="auto"/>
            </w:tcBorders>
            <w:gridSpan w:val="3"/>
          </w:tcPr>
          <w:p>
            <w:pPr>
              <w:jc w:val="center"/>
              <w:ind w:left="602"/>
              <w:spacing w:after="0" w:line="119" w:lineRule="exact"/>
              <w:rPr>
                <w:sz w:val="20"/>
                <w:szCs w:val="20"/>
                <w:color w:val="auto"/>
              </w:rPr>
            </w:pPr>
            <w:r>
              <w:rPr>
                <w:rFonts w:ascii="Arial" w:cs="Arial" w:eastAsia="Arial" w:hAnsi="Arial"/>
                <w:sz w:val="13"/>
                <w:szCs w:val="13"/>
                <w:b w:val="1"/>
                <w:bCs w:val="1"/>
                <w:color w:val="auto"/>
                <w:w w:val="98"/>
              </w:rPr>
              <w:t>November 30,</w:t>
            </w:r>
          </w:p>
        </w:tc>
        <w:tc>
          <w:tcPr>
            <w:tcW w:w="100" w:type="dxa"/>
            <w:vAlign w:val="bottom"/>
          </w:tcPr>
          <w:p>
            <w:pPr>
              <w:spacing w:after="0"/>
              <w:rPr>
                <w:sz w:val="10"/>
                <w:szCs w:val="10"/>
                <w:color w:val="auto"/>
              </w:rPr>
            </w:pPr>
          </w:p>
        </w:tc>
      </w:tr>
      <w:tr>
        <w:trPr>
          <w:trHeight w:val="171"/>
        </w:trPr>
        <w:tc>
          <w:tcPr>
            <w:tcW w:w="5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38"/>
              <w:spacing w:after="0"/>
              <w:rPr>
                <w:sz w:val="20"/>
                <w:szCs w:val="20"/>
                <w:color w:val="auto"/>
              </w:rPr>
            </w:pPr>
            <w:r>
              <w:rPr>
                <w:rFonts w:ascii="Arial" w:cs="Arial" w:eastAsia="Arial" w:hAnsi="Arial"/>
                <w:sz w:val="14"/>
                <w:szCs w:val="14"/>
                <w:b w:val="1"/>
                <w:bCs w:val="1"/>
                <w:color w:val="auto"/>
              </w:rPr>
              <w:t>2015</w:t>
            </w: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center"/>
              <w:ind w:right="134"/>
              <w:spacing w:after="0"/>
              <w:rPr>
                <w:sz w:val="20"/>
                <w:szCs w:val="20"/>
                <w:color w:val="auto"/>
              </w:rPr>
            </w:pPr>
            <w:r>
              <w:rPr>
                <w:rFonts w:ascii="Arial" w:cs="Arial" w:eastAsia="Arial" w:hAnsi="Arial"/>
                <w:sz w:val="14"/>
                <w:szCs w:val="14"/>
                <w:b w:val="1"/>
                <w:bCs w:val="1"/>
                <w:color w:val="auto"/>
                <w:w w:val="89"/>
              </w:rPr>
              <w:t>2014</w:t>
            </w:r>
          </w:p>
        </w:tc>
        <w:tc>
          <w:tcPr>
            <w:tcW w:w="100" w:type="dxa"/>
            <w:vAlign w:val="bottom"/>
          </w:tcPr>
          <w:p>
            <w:pPr>
              <w:spacing w:after="0"/>
              <w:rPr>
                <w:sz w:val="14"/>
                <w:szCs w:val="14"/>
                <w:color w:val="auto"/>
              </w:rPr>
            </w:pPr>
          </w:p>
        </w:tc>
      </w:tr>
      <w:tr>
        <w:trPr>
          <w:trHeight w:val="142"/>
        </w:trPr>
        <w:tc>
          <w:tcPr>
            <w:tcW w:w="5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20" w:type="dxa"/>
            <w:vAlign w:val="bottom"/>
            <w:gridSpan w:val="4"/>
          </w:tcPr>
          <w:p>
            <w:pPr>
              <w:jc w:val="right"/>
              <w:spacing w:after="0" w:line="142" w:lineRule="exact"/>
              <w:rPr>
                <w:sz w:val="20"/>
                <w:szCs w:val="20"/>
                <w:color w:val="auto"/>
              </w:rPr>
            </w:pPr>
            <w:r>
              <w:rPr>
                <w:rFonts w:ascii="Arial" w:cs="Arial" w:eastAsia="Arial" w:hAnsi="Arial"/>
                <w:sz w:val="14"/>
                <w:szCs w:val="14"/>
                <w:b w:val="1"/>
                <w:bCs w:val="1"/>
                <w:color w:val="auto"/>
              </w:rPr>
              <w:t>($ in thousands)</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Interest from investments</w:t>
            </w:r>
          </w:p>
        </w:tc>
        <w:tc>
          <w:tcPr>
            <w:tcW w:w="12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19,978</w:t>
            </w:r>
          </w:p>
        </w:tc>
        <w:tc>
          <w:tcPr>
            <w:tcW w:w="90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17,693</w:t>
            </w:r>
          </w:p>
        </w:tc>
        <w:tc>
          <w:tcPr>
            <w:tcW w:w="100" w:type="dxa"/>
            <w:vAlign w:val="bottom"/>
            <w:shd w:val="clear" w:color="auto" w:fill="CCEEFF"/>
          </w:tcPr>
          <w:p>
            <w:pPr>
              <w:spacing w:after="0"/>
              <w:rPr>
                <w:sz w:val="18"/>
                <w:szCs w:val="18"/>
                <w:color w:val="auto"/>
              </w:rPr>
            </w:pP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rPr>
              <w:t>Management fees from Saratoga CLO</w:t>
            </w: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1,121</w:t>
            </w: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1,150</w:t>
            </w:r>
          </w:p>
        </w:tc>
        <w:tc>
          <w:tcPr>
            <w:tcW w:w="100" w:type="dxa"/>
            <w:vAlign w:val="bottom"/>
          </w:tcPr>
          <w:p>
            <w:pPr>
              <w:spacing w:after="0"/>
              <w:rPr>
                <w:sz w:val="18"/>
                <w:szCs w:val="18"/>
                <w:color w:val="auto"/>
              </w:rPr>
            </w:pPr>
          </w:p>
        </w:tc>
      </w:t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Interest from cash and cash equivalents and other income</w:t>
            </w:r>
          </w:p>
        </w:tc>
        <w:tc>
          <w:tcPr>
            <w:tcW w:w="9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1,156</w:t>
            </w:r>
          </w:p>
        </w:tc>
        <w:tc>
          <w:tcPr>
            <w:tcW w:w="7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1,081</w:t>
            </w:r>
          </w:p>
        </w:tc>
        <w:tc>
          <w:tcPr>
            <w:tcW w:w="100" w:type="dxa"/>
            <w:vAlign w:val="bottom"/>
            <w:shd w:val="clear" w:color="auto" w:fill="CCEEFF"/>
          </w:tcPr>
          <w:p>
            <w:pPr>
              <w:spacing w:after="0"/>
              <w:rPr>
                <w:sz w:val="18"/>
                <w:szCs w:val="18"/>
                <w:color w:val="auto"/>
              </w:rPr>
            </w:pPr>
          </w:p>
        </w:tc>
      </w:tr>
      <w:tr>
        <w:trPr>
          <w:trHeight w:val="223"/>
        </w:trPr>
        <w:tc>
          <w:tcPr>
            <w:tcW w:w="5100" w:type="dxa"/>
            <w:vAlign w:val="bottom"/>
          </w:tcPr>
          <w:p>
            <w:pPr>
              <w:spacing w:after="0"/>
              <w:rPr>
                <w:sz w:val="20"/>
                <w:szCs w:val="20"/>
                <w:color w:val="auto"/>
              </w:rPr>
            </w:pPr>
            <w:r>
              <w:rPr>
                <w:rFonts w:ascii="Arial" w:cs="Arial" w:eastAsia="Arial" w:hAnsi="Arial"/>
                <w:sz w:val="18"/>
                <w:szCs w:val="18"/>
                <w:color w:val="auto"/>
              </w:rPr>
              <w:t>Total investment income</w:t>
            </w:r>
          </w:p>
        </w:tc>
        <w:tc>
          <w:tcPr>
            <w:tcW w:w="1040" w:type="dxa"/>
            <w:vAlign w:val="bottom"/>
            <w:gridSpan w:val="2"/>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22,255</w:t>
            </w:r>
          </w:p>
        </w:tc>
        <w:tc>
          <w:tcPr>
            <w:tcW w:w="700" w:type="dxa"/>
            <w:vAlign w:val="bottom"/>
          </w:tcPr>
          <w:p>
            <w:pPr>
              <w:spacing w:after="0"/>
              <w:rPr>
                <w:sz w:val="19"/>
                <w:szCs w:val="19"/>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19,924</w:t>
            </w:r>
          </w:p>
        </w:tc>
        <w:tc>
          <w:tcPr>
            <w:tcW w:w="100" w:type="dxa"/>
            <w:vAlign w:val="bottom"/>
          </w:tcPr>
          <w:p>
            <w:pPr>
              <w:spacing w:after="0"/>
              <w:rPr>
                <w:sz w:val="19"/>
                <w:szCs w:val="19"/>
                <w:color w:val="auto"/>
              </w:rPr>
            </w:pPr>
          </w:p>
        </w:tc>
      </w:tr>
      <w:tr>
        <w:trPr>
          <w:trHeight w:val="20"/>
        </w:trPr>
        <w:tc>
          <w:tcPr>
            <w:tcW w:w="5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right="100" w:firstLine="456"/>
        <w:spacing w:after="0" w:line="279" w:lineRule="auto"/>
        <w:rPr>
          <w:sz w:val="20"/>
          <w:szCs w:val="20"/>
          <w:color w:val="auto"/>
        </w:rPr>
      </w:pPr>
      <w:r>
        <w:rPr>
          <w:rFonts w:ascii="Arial" w:cs="Arial" w:eastAsia="Arial" w:hAnsi="Arial"/>
          <w:sz w:val="17"/>
          <w:szCs w:val="17"/>
          <w:color w:val="auto"/>
        </w:rPr>
        <w:t>For the three months ended November 30, 2015, total investment income decreased $0.4 million, or 5.1% compared to the three months ended November 30, 2014. Interest income from investments increased $0.2 million, or 2.9%, to $6.2 million for the three months ended November 30, 2015 from $6.0 million for the three months ended November 30, 2014. This decreased total investment income primarily reflects the receipt of an increased number of dividends for the three months ended November 30, 2014 leading to a $0.5 million reduction in other income.</w:t>
      </w:r>
    </w:p>
    <w:p>
      <w:pPr>
        <w:spacing w:after="0" w:line="17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For the nine months ended November 30, 2015, total investment income increased $2.3 million, or 11.7% compared to the nine months ended November 30, 2014. Interest income from investments increased $2.3 million, or 12.9%, to $20.0 million for the nine months ended November 30, 2015 from $17.7 million for the nine months ended November 30, 2014. This increased interest income is primarily due to higher average assets during the nine months ended November 30, 2015.</w:t>
      </w:r>
    </w:p>
    <w:p>
      <w:pPr>
        <w:spacing w:after="0" w:line="187" w:lineRule="exact"/>
        <w:rPr>
          <w:sz w:val="20"/>
          <w:szCs w:val="20"/>
          <w:color w:val="auto"/>
        </w:rPr>
      </w:pPr>
    </w:p>
    <w:p>
      <w:pPr>
        <w:ind w:right="440" w:firstLine="456"/>
        <w:spacing w:after="0" w:line="277" w:lineRule="auto"/>
        <w:rPr>
          <w:sz w:val="20"/>
          <w:szCs w:val="20"/>
          <w:color w:val="auto"/>
        </w:rPr>
      </w:pPr>
      <w:r>
        <w:rPr>
          <w:rFonts w:ascii="Arial" w:cs="Arial" w:eastAsia="Arial" w:hAnsi="Arial"/>
          <w:sz w:val="18"/>
          <w:szCs w:val="18"/>
          <w:color w:val="auto"/>
        </w:rPr>
        <w:t>For the three and nine months ended November 30, 2015 and November 30, 2014, total PIK income was $0.04 million and $1.0 million, and $0.3 million and $0.9 million, respectively.</w:t>
      </w:r>
    </w:p>
    <w:p>
      <w:pPr>
        <w:spacing w:after="0" w:line="170" w:lineRule="exact"/>
        <w:rPr>
          <w:sz w:val="20"/>
          <w:szCs w:val="20"/>
          <w:color w:val="auto"/>
        </w:rPr>
      </w:pPr>
    </w:p>
    <w:p>
      <w:pPr>
        <w:ind w:right="100" w:firstLine="456"/>
        <w:spacing w:after="0" w:line="302" w:lineRule="auto"/>
        <w:rPr>
          <w:sz w:val="20"/>
          <w:szCs w:val="20"/>
          <w:color w:val="auto"/>
        </w:rPr>
      </w:pPr>
      <w:r>
        <w:rPr>
          <w:rFonts w:ascii="Arial" w:cs="Arial" w:eastAsia="Arial" w:hAnsi="Arial"/>
          <w:sz w:val="16"/>
          <w:szCs w:val="16"/>
          <w:color w:val="auto"/>
        </w:rPr>
        <w:t>The Saratoga CLO was refinanced in October 2013. As a result, proceeds from principal payments in the loan portfolio of Saratoga CLO must now be used to pay down its outstanding notes. The management fee income and investment income that we receive from Saratoga CLO has remained relatively unchanged at $0.4 million for the three months ended November 30, 2015 and 2014. The management fee income and investment income that we receive from Saratoga CLO was $1.1 million and $1.2 million, respectively, for the nine months ended November 30, 2015 and 2014.</w:t>
      </w:r>
    </w:p>
    <w:p>
      <w:pPr>
        <w:spacing w:after="0" w:line="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00"/>
          </w:cols>
          <w:pgMar w:left="240" w:top="459" w:right="25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composition of our operating expenses for the three and nine months ended November 30, 2015 and November 30, 2014 are as follows:</w:t>
      </w: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44"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360" w:type="dxa"/>
            <w:vAlign w:val="bottom"/>
            <w:gridSpan w:val="6"/>
          </w:tcPr>
          <w:p>
            <w:pPr>
              <w:jc w:val="center"/>
              <w:ind w:right="300"/>
              <w:spacing w:after="0"/>
              <w:rPr>
                <w:sz w:val="20"/>
                <w:szCs w:val="20"/>
                <w:color w:val="auto"/>
              </w:rPr>
            </w:pPr>
            <w:r>
              <w:rPr>
                <w:rFonts w:ascii="Arial" w:cs="Arial" w:eastAsia="Arial" w:hAnsi="Arial"/>
                <w:sz w:val="14"/>
                <w:szCs w:val="14"/>
                <w:b w:val="1"/>
                <w:bCs w:val="1"/>
                <w:color w:val="auto"/>
                <w:w w:val="91"/>
              </w:rPr>
              <w:t>For the three months ended</w:t>
            </w:r>
          </w:p>
        </w:tc>
      </w:tr>
      <w:tr>
        <w:trPr>
          <w:trHeight w:val="119"/>
        </w:trPr>
        <w:tc>
          <w:tcPr>
            <w:tcW w:w="20" w:type="dxa"/>
            <w:vAlign w:val="bottom"/>
          </w:tcPr>
          <w:p>
            <w:pPr>
              <w:spacing w:after="0"/>
              <w:rPr>
                <w:sz w:val="10"/>
                <w:szCs w:val="10"/>
                <w:color w:val="auto"/>
              </w:rPr>
            </w:pPr>
          </w:p>
        </w:tc>
        <w:tc>
          <w:tcPr>
            <w:tcW w:w="6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2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November 30,</w:t>
            </w:r>
          </w:p>
        </w:tc>
        <w:tc>
          <w:tcPr>
            <w:tcW w:w="1200" w:type="dxa"/>
            <w:vAlign w:val="bottom"/>
            <w:tcBorders>
              <w:top w:val="single" w:sz="8" w:color="auto"/>
            </w:tcBorders>
            <w:gridSpan w:val="3"/>
          </w:tcPr>
          <w:p>
            <w:pPr>
              <w:jc w:val="center"/>
              <w:ind w:left="239"/>
              <w:spacing w:after="0" w:line="119" w:lineRule="exact"/>
              <w:rPr>
                <w:sz w:val="20"/>
                <w:szCs w:val="20"/>
                <w:color w:val="auto"/>
              </w:rPr>
            </w:pPr>
            <w:r>
              <w:rPr>
                <w:rFonts w:ascii="Arial" w:cs="Arial" w:eastAsia="Arial" w:hAnsi="Arial"/>
                <w:sz w:val="13"/>
                <w:szCs w:val="13"/>
                <w:b w:val="1"/>
                <w:bCs w:val="1"/>
                <w:color w:val="auto"/>
                <w:w w:val="98"/>
              </w:rPr>
              <w:t>November 30,</w:t>
            </w:r>
          </w:p>
        </w:tc>
        <w:tc>
          <w:tcPr>
            <w:tcW w:w="100" w:type="dxa"/>
            <w:vAlign w:val="bottom"/>
          </w:tcPr>
          <w:p>
            <w:pPr>
              <w:spacing w:after="0"/>
              <w:rPr>
                <w:sz w:val="10"/>
                <w:szCs w:val="10"/>
                <w:color w:val="auto"/>
              </w:rPr>
            </w:pPr>
          </w:p>
        </w:tc>
      </w:tr>
      <w:tr>
        <w:trPr>
          <w:trHeight w:val="171"/>
        </w:trPr>
        <w:tc>
          <w:tcPr>
            <w:tcW w:w="20" w:type="dxa"/>
            <w:vAlign w:val="bottom"/>
          </w:tcPr>
          <w:p>
            <w:pPr>
              <w:spacing w:after="0"/>
              <w:rPr>
                <w:sz w:val="14"/>
                <w:szCs w:val="14"/>
                <w:color w:val="auto"/>
              </w:rPr>
            </w:pPr>
          </w:p>
        </w:tc>
        <w:tc>
          <w:tcPr>
            <w:tcW w:w="6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2015</w:t>
            </w:r>
          </w:p>
        </w:tc>
        <w:tc>
          <w:tcPr>
            <w:tcW w:w="3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center"/>
              <w:ind w:right="132"/>
              <w:spacing w:after="0"/>
              <w:rPr>
                <w:sz w:val="20"/>
                <w:szCs w:val="20"/>
                <w:color w:val="auto"/>
              </w:rPr>
            </w:pPr>
            <w:r>
              <w:rPr>
                <w:rFonts w:ascii="Arial" w:cs="Arial" w:eastAsia="Arial" w:hAnsi="Arial"/>
                <w:sz w:val="14"/>
                <w:szCs w:val="14"/>
                <w:b w:val="1"/>
                <w:bCs w:val="1"/>
                <w:color w:val="auto"/>
                <w:w w:val="89"/>
              </w:rPr>
              <w:t>2014</w:t>
            </w:r>
          </w:p>
        </w:tc>
        <w:tc>
          <w:tcPr>
            <w:tcW w:w="10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6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0" w:type="dxa"/>
            <w:vAlign w:val="bottom"/>
            <w:gridSpan w:val="4"/>
          </w:tcPr>
          <w:p>
            <w:pPr>
              <w:jc w:val="center"/>
              <w:ind w:left="374"/>
              <w:spacing w:after="0" w:line="142" w:lineRule="exact"/>
              <w:rPr>
                <w:sz w:val="20"/>
                <w:szCs w:val="20"/>
                <w:color w:val="auto"/>
              </w:rPr>
            </w:pPr>
            <w:r>
              <w:rPr>
                <w:rFonts w:ascii="Arial" w:cs="Arial" w:eastAsia="Arial" w:hAnsi="Arial"/>
                <w:sz w:val="14"/>
                <w:szCs w:val="14"/>
                <w:b w:val="1"/>
                <w:bCs w:val="1"/>
                <w:color w:val="auto"/>
                <w:w w:val="90"/>
              </w:rPr>
              <w:t>($ in thousands)</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Interest and debt financing expenses</w:t>
            </w:r>
          </w:p>
        </w:tc>
        <w:tc>
          <w:tcPr>
            <w:tcW w:w="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2,129</w:t>
            </w:r>
          </w:p>
        </w:tc>
        <w:tc>
          <w:tcPr>
            <w:tcW w:w="3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1,869</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20" w:type="dxa"/>
            <w:vAlign w:val="bottom"/>
          </w:tcPr>
          <w:p>
            <w:pPr>
              <w:spacing w:after="0"/>
              <w:rPr>
                <w:sz w:val="20"/>
                <w:szCs w:val="20"/>
                <w:color w:val="auto"/>
              </w:rPr>
            </w:pPr>
            <w:r>
              <w:rPr>
                <w:rFonts w:ascii="Arial" w:cs="Arial" w:eastAsia="Arial" w:hAnsi="Arial"/>
                <w:sz w:val="18"/>
                <w:szCs w:val="18"/>
                <w:color w:val="auto"/>
              </w:rPr>
              <w:t>Base management fees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1,092</w:t>
            </w: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1,087</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Professional fees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w:t>
            </w: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20" w:type="dxa"/>
            <w:vAlign w:val="bottom"/>
          </w:tcPr>
          <w:p>
            <w:pPr>
              <w:spacing w:after="0"/>
              <w:rPr>
                <w:sz w:val="20"/>
                <w:szCs w:val="20"/>
                <w:color w:val="auto"/>
              </w:rPr>
            </w:pPr>
            <w:r>
              <w:rPr>
                <w:rFonts w:ascii="Arial" w:cs="Arial" w:eastAsia="Arial" w:hAnsi="Arial"/>
                <w:sz w:val="18"/>
                <w:szCs w:val="18"/>
                <w:color w:val="auto"/>
              </w:rPr>
              <w:t>Incentive management fees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404</w:t>
            </w: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933</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Administrator expenses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w:t>
            </w: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20" w:type="dxa"/>
            <w:vAlign w:val="bottom"/>
          </w:tcPr>
          <w:p>
            <w:pPr>
              <w:spacing w:after="0"/>
              <w:rPr>
                <w:sz w:val="20"/>
                <w:szCs w:val="20"/>
                <w:color w:val="auto"/>
              </w:rPr>
            </w:pPr>
            <w:r>
              <w:rPr>
                <w:rFonts w:ascii="Arial" w:cs="Arial" w:eastAsia="Arial" w:hAnsi="Arial"/>
                <w:sz w:val="18"/>
                <w:szCs w:val="18"/>
                <w:color w:val="auto"/>
              </w:rPr>
              <w:t>Insurance</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85</w:t>
            </w: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84</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Directors fees and expenses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120" w:type="dxa"/>
            <w:vAlign w:val="bottom"/>
          </w:tcPr>
          <w:p>
            <w:pPr>
              <w:spacing w:after="0"/>
              <w:rPr>
                <w:sz w:val="20"/>
                <w:szCs w:val="20"/>
                <w:color w:val="auto"/>
              </w:rPr>
            </w:pPr>
            <w:r>
              <w:rPr>
                <w:rFonts w:ascii="Arial" w:cs="Arial" w:eastAsia="Arial" w:hAnsi="Arial"/>
                <w:sz w:val="18"/>
                <w:szCs w:val="18"/>
                <w:color w:val="auto"/>
              </w:rPr>
              <w:t>General &amp; administrative</w:t>
            </w:r>
          </w:p>
        </w:tc>
        <w:tc>
          <w:tcPr>
            <w:tcW w:w="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352</w:t>
            </w:r>
          </w:p>
        </w:tc>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Total expenses</w:t>
            </w:r>
          </w:p>
        </w:tc>
        <w:tc>
          <w:tcPr>
            <w:tcW w:w="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4,786</w:t>
            </w:r>
          </w:p>
        </w:tc>
        <w:tc>
          <w:tcPr>
            <w:tcW w:w="3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4,676</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86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6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360" w:type="dxa"/>
            <w:vAlign w:val="bottom"/>
            <w:gridSpan w:val="6"/>
          </w:tcPr>
          <w:p>
            <w:pPr>
              <w:jc w:val="center"/>
              <w:ind w:right="280"/>
              <w:spacing w:after="0"/>
              <w:rPr>
                <w:sz w:val="20"/>
                <w:szCs w:val="20"/>
                <w:color w:val="auto"/>
              </w:rPr>
            </w:pPr>
            <w:r>
              <w:rPr>
                <w:rFonts w:ascii="Arial" w:cs="Arial" w:eastAsia="Arial" w:hAnsi="Arial"/>
                <w:sz w:val="14"/>
                <w:szCs w:val="14"/>
                <w:b w:val="1"/>
                <w:bCs w:val="1"/>
                <w:color w:val="auto"/>
                <w:w w:val="91"/>
              </w:rPr>
              <w:t>For the nine months ended</w:t>
            </w:r>
          </w:p>
        </w:tc>
      </w:tr>
      <w:tr>
        <w:trPr>
          <w:trHeight w:val="119"/>
        </w:trPr>
        <w:tc>
          <w:tcPr>
            <w:tcW w:w="20" w:type="dxa"/>
            <w:vAlign w:val="bottom"/>
          </w:tcPr>
          <w:p>
            <w:pPr>
              <w:spacing w:after="0"/>
              <w:rPr>
                <w:sz w:val="10"/>
                <w:szCs w:val="10"/>
                <w:color w:val="auto"/>
              </w:rPr>
            </w:pPr>
          </w:p>
        </w:tc>
        <w:tc>
          <w:tcPr>
            <w:tcW w:w="6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2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November 30,</w:t>
            </w:r>
          </w:p>
        </w:tc>
        <w:tc>
          <w:tcPr>
            <w:tcW w:w="1200" w:type="dxa"/>
            <w:vAlign w:val="bottom"/>
            <w:tcBorders>
              <w:top w:val="single" w:sz="8" w:color="auto"/>
            </w:tcBorders>
            <w:gridSpan w:val="3"/>
          </w:tcPr>
          <w:p>
            <w:pPr>
              <w:jc w:val="center"/>
              <w:ind w:left="239"/>
              <w:spacing w:after="0" w:line="119" w:lineRule="exact"/>
              <w:rPr>
                <w:sz w:val="20"/>
                <w:szCs w:val="20"/>
                <w:color w:val="auto"/>
              </w:rPr>
            </w:pPr>
            <w:r>
              <w:rPr>
                <w:rFonts w:ascii="Arial" w:cs="Arial" w:eastAsia="Arial" w:hAnsi="Arial"/>
                <w:sz w:val="13"/>
                <w:szCs w:val="13"/>
                <w:b w:val="1"/>
                <w:bCs w:val="1"/>
                <w:color w:val="auto"/>
                <w:w w:val="98"/>
              </w:rPr>
              <w:t>November 30,</w:t>
            </w:r>
          </w:p>
        </w:tc>
        <w:tc>
          <w:tcPr>
            <w:tcW w:w="100" w:type="dxa"/>
            <w:vAlign w:val="bottom"/>
          </w:tcPr>
          <w:p>
            <w:pPr>
              <w:spacing w:after="0"/>
              <w:rPr>
                <w:sz w:val="10"/>
                <w:szCs w:val="10"/>
                <w:color w:val="auto"/>
              </w:rPr>
            </w:pPr>
          </w:p>
        </w:tc>
      </w:tr>
      <w:tr>
        <w:trPr>
          <w:trHeight w:val="171"/>
        </w:trPr>
        <w:tc>
          <w:tcPr>
            <w:tcW w:w="20" w:type="dxa"/>
            <w:vAlign w:val="bottom"/>
          </w:tcPr>
          <w:p>
            <w:pPr>
              <w:spacing w:after="0"/>
              <w:rPr>
                <w:sz w:val="14"/>
                <w:szCs w:val="14"/>
                <w:color w:val="auto"/>
              </w:rPr>
            </w:pPr>
          </w:p>
        </w:tc>
        <w:tc>
          <w:tcPr>
            <w:tcW w:w="6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2015</w:t>
            </w:r>
          </w:p>
        </w:tc>
        <w:tc>
          <w:tcPr>
            <w:tcW w:w="3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center"/>
              <w:ind w:right="132"/>
              <w:spacing w:after="0"/>
              <w:rPr>
                <w:sz w:val="20"/>
                <w:szCs w:val="20"/>
                <w:color w:val="auto"/>
              </w:rPr>
            </w:pPr>
            <w:r>
              <w:rPr>
                <w:rFonts w:ascii="Arial" w:cs="Arial" w:eastAsia="Arial" w:hAnsi="Arial"/>
                <w:sz w:val="14"/>
                <w:szCs w:val="14"/>
                <w:b w:val="1"/>
                <w:bCs w:val="1"/>
                <w:color w:val="auto"/>
                <w:w w:val="89"/>
              </w:rPr>
              <w:t>2014</w:t>
            </w:r>
          </w:p>
        </w:tc>
        <w:tc>
          <w:tcPr>
            <w:tcW w:w="10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6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0" w:type="dxa"/>
            <w:vAlign w:val="bottom"/>
            <w:gridSpan w:val="4"/>
          </w:tcPr>
          <w:p>
            <w:pPr>
              <w:jc w:val="center"/>
              <w:ind w:left="374"/>
              <w:spacing w:after="0" w:line="142" w:lineRule="exact"/>
              <w:rPr>
                <w:sz w:val="20"/>
                <w:szCs w:val="20"/>
                <w:color w:val="auto"/>
              </w:rPr>
            </w:pPr>
            <w:r>
              <w:rPr>
                <w:rFonts w:ascii="Arial" w:cs="Arial" w:eastAsia="Arial" w:hAnsi="Arial"/>
                <w:sz w:val="14"/>
                <w:szCs w:val="14"/>
                <w:b w:val="1"/>
                <w:bCs w:val="1"/>
                <w:color w:val="auto"/>
                <w:w w:val="90"/>
              </w:rPr>
              <w:t>($ in thousands)</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Interest and debt financing expenses</w:t>
            </w:r>
          </w:p>
        </w:tc>
        <w:tc>
          <w:tcPr>
            <w:tcW w:w="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6,241</w:t>
            </w:r>
          </w:p>
        </w:tc>
        <w:tc>
          <w:tcPr>
            <w:tcW w:w="3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5,466</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20" w:type="dxa"/>
            <w:vAlign w:val="bottom"/>
          </w:tcPr>
          <w:p>
            <w:pPr>
              <w:spacing w:after="0"/>
              <w:rPr>
                <w:sz w:val="20"/>
                <w:szCs w:val="20"/>
                <w:color w:val="auto"/>
              </w:rPr>
            </w:pPr>
            <w:r>
              <w:rPr>
                <w:rFonts w:ascii="Arial" w:cs="Arial" w:eastAsia="Arial" w:hAnsi="Arial"/>
                <w:sz w:val="18"/>
                <w:szCs w:val="18"/>
                <w:color w:val="auto"/>
              </w:rPr>
              <w:t>Base management fees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3,366</w:t>
            </w: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3,093</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Professional fees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1,030</w:t>
            </w: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937</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20" w:type="dxa"/>
            <w:vAlign w:val="bottom"/>
          </w:tcPr>
          <w:p>
            <w:pPr>
              <w:spacing w:after="0"/>
              <w:rPr>
                <w:sz w:val="20"/>
                <w:szCs w:val="20"/>
                <w:color w:val="auto"/>
              </w:rPr>
            </w:pPr>
            <w:r>
              <w:rPr>
                <w:rFonts w:ascii="Arial" w:cs="Arial" w:eastAsia="Arial" w:hAnsi="Arial"/>
                <w:sz w:val="18"/>
                <w:szCs w:val="18"/>
                <w:color w:val="auto"/>
              </w:rPr>
              <w:t>Incentive management fees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2,161</w:t>
            </w: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2,080</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Administrator expenses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w:t>
            </w: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20" w:type="dxa"/>
            <w:vAlign w:val="bottom"/>
          </w:tcPr>
          <w:p>
            <w:pPr>
              <w:spacing w:after="0"/>
              <w:rPr>
                <w:sz w:val="20"/>
                <w:szCs w:val="20"/>
                <w:color w:val="auto"/>
              </w:rPr>
            </w:pPr>
            <w:r>
              <w:rPr>
                <w:rFonts w:ascii="Arial" w:cs="Arial" w:eastAsia="Arial" w:hAnsi="Arial"/>
                <w:sz w:val="18"/>
                <w:szCs w:val="18"/>
                <w:color w:val="auto"/>
              </w:rPr>
              <w:t>Insurance</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260</w:t>
            </w: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252</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Directors fees and expenses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20" w:type="dxa"/>
            <w:vAlign w:val="bottom"/>
          </w:tcPr>
          <w:p>
            <w:pPr>
              <w:spacing w:after="0"/>
              <w:rPr>
                <w:sz w:val="20"/>
                <w:szCs w:val="20"/>
                <w:color w:val="auto"/>
              </w:rPr>
            </w:pPr>
            <w:r>
              <w:rPr>
                <w:rFonts w:ascii="Arial" w:cs="Arial" w:eastAsia="Arial" w:hAnsi="Arial"/>
                <w:sz w:val="18"/>
                <w:szCs w:val="18"/>
                <w:color w:val="auto"/>
              </w:rPr>
              <w:t>General &amp; administrative</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738</w:t>
            </w: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401</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Excise tax expense (credit)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(123)</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r>
      <w:tr>
        <w:trPr>
          <w:trHeight w:val="223"/>
        </w:trPr>
        <w:tc>
          <w:tcPr>
            <w:tcW w:w="6140" w:type="dxa"/>
            <w:vAlign w:val="bottom"/>
            <w:gridSpan w:val="2"/>
          </w:tcPr>
          <w:p>
            <w:pPr>
              <w:spacing w:after="0"/>
              <w:rPr>
                <w:sz w:val="20"/>
                <w:szCs w:val="20"/>
                <w:color w:val="auto"/>
              </w:rPr>
            </w:pPr>
            <w:r>
              <w:rPr>
                <w:rFonts w:ascii="Arial" w:cs="Arial" w:eastAsia="Arial" w:hAnsi="Arial"/>
                <w:sz w:val="18"/>
                <w:szCs w:val="18"/>
                <w:color w:val="auto"/>
              </w:rPr>
              <w:t>Total expenses</w:t>
            </w: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14,676</w:t>
            </w:r>
          </w:p>
        </w:tc>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13,139</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For the three months ended November 30, 2015, total operating expenses increased $0.1 million, or 2.3% compared to the three months ended November 30, 2014. For the nine months ended November 30, 2015, total operating expenses increased $1.5 million, or 11.7% compared to the nine months ended November 30, 2014.</w:t>
      </w:r>
    </w:p>
    <w:p>
      <w:pPr>
        <w:spacing w:after="0" w:line="181"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For the three and nine months ended November 30, 2015 and November 30, 2014, the increase in interest and debt financing expenses is primarily attributable to an increase in overall outstanding debt and weighted average interest as compared to the prior years, with increased levels of notes outstanding offset by decreased levels of the Credit Facility outstanding. The Credit Facility decreased from $4.9 million outstanding at November 30, 2014 to $0.0 million at November 30, 2015, while our SBA debentures remained the same at $79.0 million. However, the notes increased from $48.3 million outstanding to $61.4 million outstanding for these same periods. In addition, for the three months ended November 30, 2015, the weighted average interest rate on our outstanding indebtedness was 5.07% compared to 4.59% for the three months ended November 30, 2014 and, for the nine months ended November 30, 2015, the weighted average interest rate on our outstanding indebtedness was 5.01% compared to 4.91%. Therefore the increase for the three and nine months ended November 30, 2015 was primarily driven by the increase in outstanding notes that have a higher interest rate than other debt.</w:t>
      </w:r>
    </w:p>
    <w:p>
      <w:pPr>
        <w:spacing w:after="0" w:line="166" w:lineRule="exact"/>
        <w:rPr>
          <w:sz w:val="20"/>
          <w:szCs w:val="20"/>
          <w:color w:val="auto"/>
        </w:rPr>
      </w:pPr>
    </w:p>
    <w:p>
      <w:pPr>
        <w:ind w:right="100" w:firstLine="456"/>
        <w:spacing w:after="0" w:line="279" w:lineRule="auto"/>
        <w:rPr>
          <w:sz w:val="20"/>
          <w:szCs w:val="20"/>
          <w:color w:val="auto"/>
        </w:rPr>
      </w:pPr>
      <w:r>
        <w:rPr>
          <w:rFonts w:ascii="Arial" w:cs="Arial" w:eastAsia="Arial" w:hAnsi="Arial"/>
          <w:sz w:val="17"/>
          <w:szCs w:val="17"/>
          <w:color w:val="auto"/>
        </w:rPr>
        <w:t>For the three months ended November 30, 2015, base management fees were relatively unchanged at $1.1 million compared to the three months ended November 30, 2014. For the nine months ended November 30, 2015, base management fees increased $0.3 million, or 8.8% compared to the nine months ended November 30, 2014. The increase in base management fees results from the increase in the average value of our total assets, less cash and cash equivalents, from $246.6 million as of November 30, 2014 to $250.1 million as of November 30, 2015.</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459"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For the three and nine months ended November 30, 2015, professional fees increased $0.1 million, or 54.0%, and $0.1 million, or 10.0%, respectively, compared to the three and nine months ended November 30, 2014.</w:t>
      </w:r>
    </w:p>
    <w:p>
      <w:pPr>
        <w:spacing w:after="0" w:line="170" w:lineRule="exact"/>
        <w:rPr>
          <w:sz w:val="20"/>
          <w:szCs w:val="20"/>
          <w:color w:val="auto"/>
        </w:rPr>
      </w:pPr>
    </w:p>
    <w:p>
      <w:pPr>
        <w:ind w:right="360" w:firstLine="456"/>
        <w:spacing w:after="0" w:line="259" w:lineRule="auto"/>
        <w:rPr>
          <w:sz w:val="20"/>
          <w:szCs w:val="20"/>
          <w:color w:val="auto"/>
        </w:rPr>
      </w:pPr>
      <w:r>
        <w:rPr>
          <w:rFonts w:ascii="Arial" w:cs="Arial" w:eastAsia="Arial" w:hAnsi="Arial"/>
          <w:sz w:val="18"/>
          <w:szCs w:val="18"/>
          <w:color w:val="auto"/>
        </w:rPr>
        <w:t>For the three months ended November 30, 2015, incentive management fees decreased $0.5 million, or 56.7% compared to the three months ended November 30, 2014. The decrease in incentive management fees is primarily attributable to lower net investment income for the three months ended November 30, 2015. For the nine months ended November 30, 2015, incentive management fees increased $0.1 million, or 3.9% compared to the nine months ended November 30, 2014.</w:t>
      </w:r>
    </w:p>
    <w:p>
      <w:pPr>
        <w:spacing w:after="0" w:line="187" w:lineRule="exact"/>
        <w:rPr>
          <w:sz w:val="20"/>
          <w:szCs w:val="20"/>
          <w:color w:val="auto"/>
        </w:rPr>
      </w:pPr>
    </w:p>
    <w:p>
      <w:pPr>
        <w:ind w:right="100" w:firstLine="456"/>
        <w:spacing w:after="0" w:line="293" w:lineRule="auto"/>
        <w:rPr>
          <w:sz w:val="20"/>
          <w:szCs w:val="20"/>
          <w:color w:val="auto"/>
        </w:rPr>
      </w:pPr>
      <w:r>
        <w:rPr>
          <w:rFonts w:ascii="Arial" w:cs="Arial" w:eastAsia="Arial" w:hAnsi="Arial"/>
          <w:sz w:val="16"/>
          <w:szCs w:val="16"/>
          <w:color w:val="auto"/>
        </w:rPr>
        <w:t>As discussed above, the increase in interest and debt financing expenses for three and nine months ended November 30, 2015 as compared to the three and nine months ended November 30, 2014 is primarily attributable to an increase in the amount of outstanding notes and deferred financing costs. For the three and nine months ended November 30, 2015 and November 30, 2014, the weighted average interest rate on the outstanding borrowings under the Credit Facility was 6.00% and 7.50%, respectively. For three months ended November 30, 2015 and November 30, 2014, the weighted average interest rate on the outstanding borrowings of the SBA debentures was 3.25% and 2.51%, respectively. For nine months ended November 30, 2015 and November 30, 2014, the weighted average interest rate on the outstanding borrowings of the SBA debentures was 3.21% and 2.76%, respectively.</w:t>
      </w:r>
    </w:p>
    <w:p>
      <w:pPr>
        <w:spacing w:after="0" w:line="27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Net realized gains/(losses) on sales of investments</w:t>
      </w:r>
    </w:p>
    <w:p>
      <w:pPr>
        <w:spacing w:after="0" w:line="117" w:lineRule="exact"/>
        <w:rPr>
          <w:sz w:val="20"/>
          <w:szCs w:val="20"/>
          <w:color w:val="auto"/>
        </w:rPr>
      </w:pPr>
    </w:p>
    <w:p>
      <w:pPr>
        <w:ind w:right="60" w:firstLine="456"/>
        <w:spacing w:after="0" w:line="312" w:lineRule="auto"/>
        <w:rPr>
          <w:sz w:val="20"/>
          <w:szCs w:val="20"/>
          <w:color w:val="auto"/>
        </w:rPr>
      </w:pPr>
      <w:r>
        <w:rPr>
          <w:rFonts w:ascii="Arial" w:cs="Arial" w:eastAsia="Arial" w:hAnsi="Arial"/>
          <w:sz w:val="16"/>
          <w:szCs w:val="16"/>
          <w:color w:val="auto"/>
        </w:rPr>
        <w:t>For the three months ended November 30, 2015, the Company had $27.9 million of sales, repayments, exits or restructurings resulting in $0.4 million of net realized gains. For the nine months ended November 30, 2015, the Company had $62.7 million of sales, repayments, exits or restructurings resulting in $4.2 million of net realized gains. The most significant realized gains and losses during the nine months ended November 30, 2015 were as follows:</w:t>
      </w: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Nine Months ended November 30, 2015</w:t>
      </w:r>
    </w:p>
    <w:p>
      <w:pPr>
        <w:spacing w:after="0" w:line="23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0" w:type="dxa"/>
            <w:vAlign w:val="bottom"/>
            <w:vMerge w:val="restart"/>
          </w:tcPr>
          <w:p>
            <w:pPr>
              <w:jc w:val="right"/>
              <w:ind w:right="79"/>
              <w:spacing w:after="0"/>
              <w:rPr>
                <w:sz w:val="20"/>
                <w:szCs w:val="20"/>
                <w:color w:val="auto"/>
              </w:rPr>
            </w:pPr>
            <w:r>
              <w:rPr>
                <w:rFonts w:ascii="Arial" w:cs="Arial" w:eastAsia="Arial" w:hAnsi="Arial"/>
                <w:sz w:val="14"/>
                <w:szCs w:val="14"/>
                <w:b w:val="1"/>
                <w:bCs w:val="1"/>
                <w:color w:val="auto"/>
              </w:rPr>
              <w:t>Gross</w:t>
            </w:r>
          </w:p>
        </w:tc>
        <w:tc>
          <w:tcPr>
            <w:tcW w:w="1100" w:type="dxa"/>
            <w:vAlign w:val="bottom"/>
          </w:tcPr>
          <w:p>
            <w:pPr>
              <w:spacing w:after="0"/>
              <w:rPr>
                <w:sz w:val="14"/>
                <w:szCs w:val="14"/>
                <w:color w:val="auto"/>
              </w:rPr>
            </w:pPr>
          </w:p>
        </w:tc>
        <w:tc>
          <w:tcPr>
            <w:tcW w:w="6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7"/>
              </w:rPr>
              <w:t>Net</w:t>
            </w:r>
          </w:p>
        </w:tc>
        <w:tc>
          <w:tcPr>
            <w:tcW w:w="0" w:type="dxa"/>
            <w:vAlign w:val="bottom"/>
          </w:tcPr>
          <w:p>
            <w:pPr>
              <w:spacing w:after="0"/>
              <w:rPr>
                <w:sz w:val="1"/>
                <w:szCs w:val="1"/>
                <w:color w:val="auto"/>
              </w:rPr>
            </w:pPr>
          </w:p>
        </w:tc>
      </w:tr>
      <w:tr>
        <w:trPr>
          <w:trHeight w:val="149"/>
        </w:trPr>
        <w:tc>
          <w:tcPr>
            <w:tcW w:w="43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Issuer</w:t>
            </w:r>
          </w:p>
        </w:tc>
        <w:tc>
          <w:tcPr>
            <w:tcW w:w="2880" w:type="dxa"/>
            <w:vAlign w:val="bottom"/>
            <w:gridSpan w:val="2"/>
            <w:vMerge w:val="restart"/>
          </w:tcPr>
          <w:p>
            <w:pPr>
              <w:ind w:left="940"/>
              <w:spacing w:after="0"/>
              <w:rPr>
                <w:sz w:val="20"/>
                <w:szCs w:val="20"/>
                <w:color w:val="auto"/>
              </w:rPr>
            </w:pPr>
            <w:r>
              <w:rPr>
                <w:rFonts w:ascii="Arial" w:cs="Arial" w:eastAsia="Arial" w:hAnsi="Arial"/>
                <w:sz w:val="14"/>
                <w:szCs w:val="14"/>
                <w:b w:val="1"/>
                <w:bCs w:val="1"/>
                <w:color w:val="auto"/>
              </w:rPr>
              <w:t>Asset Type</w:t>
            </w:r>
          </w:p>
        </w:tc>
        <w:tc>
          <w:tcPr>
            <w:tcW w:w="600" w:type="dxa"/>
            <w:vAlign w:val="bottom"/>
            <w:vMerge w:val="continue"/>
          </w:tcPr>
          <w:p>
            <w:pPr>
              <w:spacing w:after="0"/>
              <w:rPr>
                <w:sz w:val="12"/>
                <w:szCs w:val="12"/>
                <w:color w:val="auto"/>
              </w:rPr>
            </w:pPr>
          </w:p>
        </w:tc>
        <w:tc>
          <w:tcPr>
            <w:tcW w:w="11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Cost</w:t>
            </w:r>
          </w:p>
        </w:tc>
        <w:tc>
          <w:tcPr>
            <w:tcW w:w="68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1"/>
              </w:rPr>
              <w:t>Realized</w:t>
            </w:r>
          </w:p>
        </w:tc>
        <w:tc>
          <w:tcPr>
            <w:tcW w:w="0" w:type="dxa"/>
            <w:vAlign w:val="bottom"/>
          </w:tcPr>
          <w:p>
            <w:pPr>
              <w:spacing w:after="0"/>
              <w:rPr>
                <w:sz w:val="1"/>
                <w:szCs w:val="1"/>
                <w:color w:val="auto"/>
              </w:rPr>
            </w:pPr>
          </w:p>
        </w:tc>
      </w:tr>
      <w:tr>
        <w:trPr>
          <w:trHeight w:val="171"/>
        </w:trPr>
        <w:tc>
          <w:tcPr>
            <w:tcW w:w="4320" w:type="dxa"/>
            <w:vAlign w:val="bottom"/>
            <w:gridSpan w:val="2"/>
            <w:vMerge w:val="continue"/>
          </w:tcPr>
          <w:p>
            <w:pPr>
              <w:spacing w:after="0"/>
              <w:rPr>
                <w:sz w:val="14"/>
                <w:szCs w:val="14"/>
                <w:color w:val="auto"/>
              </w:rPr>
            </w:pPr>
          </w:p>
        </w:tc>
        <w:tc>
          <w:tcPr>
            <w:tcW w:w="2880" w:type="dxa"/>
            <w:vAlign w:val="bottom"/>
            <w:gridSpan w:val="2"/>
            <w:vMerge w:val="continue"/>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b w:val="1"/>
                <w:bCs w:val="1"/>
                <w:color w:val="auto"/>
                <w:w w:val="82"/>
              </w:rPr>
              <w:t>Proceeds</w:t>
            </w:r>
          </w:p>
        </w:tc>
        <w:tc>
          <w:tcPr>
            <w:tcW w:w="1100" w:type="dxa"/>
            <w:vAlign w:val="bottom"/>
            <w:vMerge w:val="continue"/>
          </w:tcPr>
          <w:p>
            <w:pPr>
              <w:spacing w:after="0"/>
              <w:rPr>
                <w:sz w:val="14"/>
                <w:szCs w:val="14"/>
                <w:color w:val="auto"/>
              </w:rPr>
            </w:pPr>
          </w:p>
        </w:tc>
        <w:tc>
          <w:tcPr>
            <w:tcW w:w="6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6"/>
              </w:rPr>
              <w:t>Gain</w:t>
            </w:r>
          </w:p>
        </w:tc>
        <w:tc>
          <w:tcPr>
            <w:tcW w:w="0" w:type="dxa"/>
            <w:vAlign w:val="bottom"/>
          </w:tcPr>
          <w:p>
            <w:pPr>
              <w:spacing w:after="0"/>
              <w:rPr>
                <w:sz w:val="1"/>
                <w:szCs w:val="1"/>
                <w:color w:val="auto"/>
              </w:rPr>
            </w:pPr>
          </w:p>
        </w:tc>
      </w:tr>
      <w:tr>
        <w:trPr>
          <w:trHeight w:val="142"/>
        </w:trPr>
        <w:tc>
          <w:tcPr>
            <w:tcW w:w="380" w:type="dxa"/>
            <w:vAlign w:val="bottom"/>
            <w:tcBorders>
              <w:top w:val="single" w:sz="8" w:color="auto"/>
            </w:tcBorders>
          </w:tcPr>
          <w:p>
            <w:pPr>
              <w:spacing w:after="0"/>
              <w:rPr>
                <w:sz w:val="12"/>
                <w:szCs w:val="12"/>
                <w:color w:val="auto"/>
              </w:rPr>
            </w:pPr>
          </w:p>
        </w:tc>
        <w:tc>
          <w:tcPr>
            <w:tcW w:w="3940" w:type="dxa"/>
            <w:vAlign w:val="bottom"/>
          </w:tcPr>
          <w:p>
            <w:pPr>
              <w:spacing w:after="0"/>
              <w:rPr>
                <w:sz w:val="12"/>
                <w:szCs w:val="12"/>
                <w:color w:val="auto"/>
              </w:rPr>
            </w:pPr>
          </w:p>
        </w:tc>
        <w:tc>
          <w:tcPr>
            <w:tcW w:w="2540" w:type="dxa"/>
            <w:vAlign w:val="bottom"/>
            <w:tcBorders>
              <w:top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2"/>
              </w:rPr>
              <w:t>($ in thousands)</w:t>
            </w:r>
          </w:p>
        </w:tc>
        <w:tc>
          <w:tcPr>
            <w:tcW w:w="5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Network Communications, Inc.</w:t>
            </w:r>
          </w:p>
        </w:tc>
        <w:tc>
          <w:tcPr>
            <w:tcW w:w="2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Common Stock</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3,206</w:t>
            </w:r>
          </w:p>
        </w:tc>
        <w:tc>
          <w:tcPr>
            <w:tcW w:w="11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3,206</w:t>
            </w:r>
          </w:p>
        </w:tc>
        <w:tc>
          <w:tcPr>
            <w:tcW w:w="0" w:type="dxa"/>
            <w:vAlign w:val="bottom"/>
          </w:tcPr>
          <w:p>
            <w:pPr>
              <w:spacing w:after="0"/>
              <w:rPr>
                <w:sz w:val="1"/>
                <w:szCs w:val="1"/>
                <w:color w:val="auto"/>
              </w:rPr>
            </w:pPr>
          </w:p>
        </w:tc>
      </w:tr>
      <w:tr>
        <w:trPr>
          <w:trHeight w:val="230"/>
        </w:trPr>
        <w:tc>
          <w:tcPr>
            <w:tcW w:w="4320" w:type="dxa"/>
            <w:vAlign w:val="bottom"/>
            <w:gridSpan w:val="2"/>
          </w:tcPr>
          <w:p>
            <w:pPr>
              <w:spacing w:after="0"/>
              <w:rPr>
                <w:sz w:val="20"/>
                <w:szCs w:val="20"/>
                <w:color w:val="auto"/>
              </w:rPr>
            </w:pPr>
            <w:r>
              <w:rPr>
                <w:rFonts w:ascii="Arial" w:cs="Arial" w:eastAsia="Arial" w:hAnsi="Arial"/>
                <w:sz w:val="18"/>
                <w:szCs w:val="18"/>
                <w:color w:val="auto"/>
              </w:rPr>
              <w:t>Community Investors, Inc.</w:t>
            </w:r>
          </w:p>
        </w:tc>
        <w:tc>
          <w:tcPr>
            <w:tcW w:w="2880" w:type="dxa"/>
            <w:vAlign w:val="bottom"/>
            <w:gridSpan w:val="2"/>
          </w:tcPr>
          <w:p>
            <w:pPr>
              <w:spacing w:after="0"/>
              <w:rPr>
                <w:sz w:val="20"/>
                <w:szCs w:val="20"/>
                <w:color w:val="auto"/>
              </w:rPr>
            </w:pPr>
            <w:r>
              <w:rPr>
                <w:rFonts w:ascii="Arial" w:cs="Arial" w:eastAsia="Arial" w:hAnsi="Arial"/>
                <w:sz w:val="18"/>
                <w:szCs w:val="18"/>
                <w:color w:val="auto"/>
              </w:rPr>
              <w:t>Preferred Stock - A Shares 10%</w:t>
            </w:r>
          </w:p>
        </w:tc>
        <w:tc>
          <w:tcPr>
            <w:tcW w:w="600" w:type="dxa"/>
            <w:vAlign w:val="bottom"/>
          </w:tcPr>
          <w:p>
            <w:pPr>
              <w:jc w:val="right"/>
              <w:spacing w:after="0"/>
              <w:rPr>
                <w:sz w:val="20"/>
                <w:szCs w:val="20"/>
                <w:color w:val="auto"/>
              </w:rPr>
            </w:pPr>
            <w:r>
              <w:rPr>
                <w:rFonts w:ascii="Arial" w:cs="Arial" w:eastAsia="Arial" w:hAnsi="Arial"/>
                <w:sz w:val="18"/>
                <w:szCs w:val="18"/>
                <w:color w:val="auto"/>
              </w:rPr>
              <w:t>464</w:t>
            </w:r>
          </w:p>
        </w:tc>
        <w:tc>
          <w:tcPr>
            <w:tcW w:w="1100" w:type="dxa"/>
            <w:vAlign w:val="bottom"/>
          </w:tcPr>
          <w:p>
            <w:pPr>
              <w:ind w:left="440"/>
              <w:spacing w:after="0"/>
              <w:rPr>
                <w:sz w:val="20"/>
                <w:szCs w:val="20"/>
                <w:color w:val="auto"/>
              </w:rPr>
            </w:pPr>
            <w:r>
              <w:rPr>
                <w:rFonts w:ascii="Arial" w:cs="Arial" w:eastAsia="Arial" w:hAnsi="Arial"/>
                <w:sz w:val="18"/>
                <w:szCs w:val="18"/>
                <w:color w:val="auto"/>
              </w:rPr>
              <w:t>135</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329</w:t>
            </w:r>
          </w:p>
        </w:tc>
        <w:tc>
          <w:tcPr>
            <w:tcW w:w="0" w:type="dxa"/>
            <w:vAlign w:val="bottom"/>
          </w:tcPr>
          <w:p>
            <w:pPr>
              <w:spacing w:after="0"/>
              <w:rPr>
                <w:sz w:val="1"/>
                <w:szCs w:val="1"/>
                <w:color w:val="auto"/>
              </w:rPr>
            </w:pPr>
          </w:p>
        </w:tc>
      </w:tr>
    </w:tbl>
    <w:p>
      <w:pPr>
        <w:spacing w:after="0" w:line="201"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The $3.2 million of realized gain on our investments in Network Communications, Inc. is due to the sale of the company to a third party and reflects the realization value pursuant to that transaction.</w:t>
      </w:r>
    </w:p>
    <w:p>
      <w:pPr>
        <w:spacing w:after="0" w:line="170" w:lineRule="exact"/>
        <w:rPr>
          <w:sz w:val="20"/>
          <w:szCs w:val="20"/>
          <w:color w:val="auto"/>
        </w:rPr>
      </w:pPr>
    </w:p>
    <w:p>
      <w:pPr>
        <w:ind w:right="60" w:firstLine="456"/>
        <w:spacing w:after="0" w:line="312" w:lineRule="auto"/>
        <w:rPr>
          <w:sz w:val="20"/>
          <w:szCs w:val="20"/>
          <w:color w:val="auto"/>
        </w:rPr>
      </w:pPr>
      <w:r>
        <w:rPr>
          <w:rFonts w:ascii="Arial" w:cs="Arial" w:eastAsia="Arial" w:hAnsi="Arial"/>
          <w:sz w:val="16"/>
          <w:szCs w:val="16"/>
          <w:color w:val="auto"/>
        </w:rPr>
        <w:t>For the three months ended November 30, 2014, the Company had $26.8 million of sales, repayments, exits or restructurings resulting in $2.8 million of net realized gains. For the nine months ended November 30, 2014, the Company had $51.2 million of sales, repayments, exits or restructurings resulting in $3.2 million of net realized gains. There were no significant realized gains and losses during the nine months ended November 30, 2014.</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45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Net unrealized appreciation/(depreciation) on investments</w:t>
      </w:r>
    </w:p>
    <w:p>
      <w:pPr>
        <w:spacing w:after="0" w:line="117" w:lineRule="exact"/>
        <w:rPr>
          <w:sz w:val="20"/>
          <w:szCs w:val="20"/>
          <w:color w:val="auto"/>
        </w:rPr>
      </w:pPr>
    </w:p>
    <w:p>
      <w:pPr>
        <w:ind w:right="20" w:firstLine="456"/>
        <w:spacing w:after="0" w:line="279" w:lineRule="auto"/>
        <w:rPr>
          <w:sz w:val="20"/>
          <w:szCs w:val="20"/>
          <w:color w:val="auto"/>
        </w:rPr>
      </w:pPr>
      <w:r>
        <w:rPr>
          <w:rFonts w:ascii="Arial" w:cs="Arial" w:eastAsia="Arial" w:hAnsi="Arial"/>
          <w:sz w:val="17"/>
          <w:szCs w:val="17"/>
          <w:color w:val="auto"/>
        </w:rPr>
        <w:t>For the three months ended November 30, 2015, our investments had net unrealized appreciation of $0.8 million versus net unrealized depreciation of $2.0 million for the three months ended November 30, 2014. For the nine months ended November 30, 2015, our investments had net unrealized appreciation of $0.2 million versus net unrealized depreciation of $1.7 million for the nine months ended November 30, 2014. The most significant cumulative changes in unrealized appreciation and depreciation for the nine months ended November 30, 2015, were the following:</w:t>
      </w:r>
    </w:p>
    <w:p>
      <w:pPr>
        <w:spacing w:after="0" w:line="27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Nine Months ended November 30, 2015</w:t>
      </w:r>
    </w:p>
    <w:p>
      <w:pPr>
        <w:spacing w:after="0" w:line="23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580" w:type="dxa"/>
            <w:vAlign w:val="bottom"/>
          </w:tcPr>
          <w:p>
            <w:pPr>
              <w:jc w:val="center"/>
              <w:ind w:left="61"/>
              <w:spacing w:after="0"/>
              <w:rPr>
                <w:sz w:val="20"/>
                <w:szCs w:val="20"/>
                <w:color w:val="auto"/>
              </w:rPr>
            </w:pPr>
            <w:r>
              <w:rPr>
                <w:rFonts w:ascii="Arial" w:cs="Arial" w:eastAsia="Arial" w:hAnsi="Arial"/>
                <w:sz w:val="14"/>
                <w:szCs w:val="14"/>
                <w:b w:val="1"/>
                <w:bCs w:val="1"/>
                <w:color w:val="auto"/>
                <w:w w:val="95"/>
              </w:rPr>
              <w:t>Total</w:t>
            </w:r>
          </w:p>
        </w:tc>
        <w:tc>
          <w:tcPr>
            <w:tcW w:w="1200" w:type="dxa"/>
            <w:vAlign w:val="bottom"/>
            <w:gridSpan w:val="2"/>
          </w:tcPr>
          <w:p>
            <w:pPr>
              <w:jc w:val="center"/>
              <w:ind w:left="20"/>
              <w:spacing w:after="0"/>
              <w:rPr>
                <w:sz w:val="20"/>
                <w:szCs w:val="20"/>
                <w:color w:val="auto"/>
              </w:rPr>
            </w:pPr>
            <w:r>
              <w:rPr>
                <w:rFonts w:ascii="Arial" w:cs="Arial" w:eastAsia="Arial" w:hAnsi="Arial"/>
                <w:sz w:val="14"/>
                <w:szCs w:val="14"/>
                <w:b w:val="1"/>
                <w:bCs w:val="1"/>
                <w:color w:val="auto"/>
                <w:w w:val="98"/>
              </w:rPr>
              <w:t>YTD Change</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0" w:type="dxa"/>
            <w:vAlign w:val="bottom"/>
            <w:vMerge w:val="restart"/>
          </w:tcPr>
          <w:p>
            <w:pPr>
              <w:jc w:val="right"/>
              <w:ind w:right="97"/>
              <w:spacing w:after="0"/>
              <w:rPr>
                <w:sz w:val="20"/>
                <w:szCs w:val="20"/>
                <w:color w:val="auto"/>
              </w:rPr>
            </w:pPr>
            <w:r>
              <w:rPr>
                <w:rFonts w:ascii="Arial" w:cs="Arial" w:eastAsia="Arial" w:hAnsi="Arial"/>
                <w:sz w:val="14"/>
                <w:szCs w:val="14"/>
                <w:b w:val="1"/>
                <w:bCs w:val="1"/>
                <w:color w:val="auto"/>
              </w:rPr>
              <w:t>Fair</w:t>
            </w:r>
          </w:p>
        </w:tc>
        <w:tc>
          <w:tcPr>
            <w:tcW w:w="1580" w:type="dxa"/>
            <w:vAlign w:val="bottom"/>
          </w:tcPr>
          <w:p>
            <w:pPr>
              <w:jc w:val="center"/>
              <w:ind w:left="61"/>
              <w:spacing w:after="0" w:line="149" w:lineRule="exact"/>
              <w:rPr>
                <w:sz w:val="20"/>
                <w:szCs w:val="20"/>
                <w:color w:val="auto"/>
              </w:rPr>
            </w:pPr>
            <w:r>
              <w:rPr>
                <w:rFonts w:ascii="Arial" w:cs="Arial" w:eastAsia="Arial" w:hAnsi="Arial"/>
                <w:sz w:val="14"/>
                <w:szCs w:val="14"/>
                <w:b w:val="1"/>
                <w:bCs w:val="1"/>
                <w:color w:val="auto"/>
                <w:w w:val="95"/>
              </w:rPr>
              <w:t>Unrealized</w:t>
            </w:r>
          </w:p>
        </w:tc>
        <w:tc>
          <w:tcPr>
            <w:tcW w:w="1200" w:type="dxa"/>
            <w:vAlign w:val="bottom"/>
            <w:gridSpan w:val="2"/>
          </w:tcPr>
          <w:p>
            <w:pPr>
              <w:jc w:val="center"/>
              <w:ind w:left="20"/>
              <w:spacing w:after="0" w:line="149" w:lineRule="exact"/>
              <w:rPr>
                <w:sz w:val="20"/>
                <w:szCs w:val="20"/>
                <w:color w:val="auto"/>
              </w:rPr>
            </w:pPr>
            <w:r>
              <w:rPr>
                <w:rFonts w:ascii="Arial" w:cs="Arial" w:eastAsia="Arial" w:hAnsi="Arial"/>
                <w:sz w:val="14"/>
                <w:szCs w:val="14"/>
                <w:b w:val="1"/>
                <w:bCs w:val="1"/>
                <w:color w:val="auto"/>
                <w:w w:val="94"/>
              </w:rPr>
              <w:t>in Unrealized</w:t>
            </w:r>
          </w:p>
        </w:tc>
        <w:tc>
          <w:tcPr>
            <w:tcW w:w="0" w:type="dxa"/>
            <w:vAlign w:val="bottom"/>
          </w:tcPr>
          <w:p>
            <w:pPr>
              <w:spacing w:after="0"/>
              <w:rPr>
                <w:sz w:val="1"/>
                <w:szCs w:val="1"/>
                <w:color w:val="auto"/>
              </w:rPr>
            </w:pPr>
          </w:p>
        </w:tc>
      </w:tr>
      <w:tr>
        <w:trPr>
          <w:trHeight w:val="149"/>
        </w:trPr>
        <w:tc>
          <w:tcPr>
            <w:tcW w:w="31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Issuer</w:t>
            </w:r>
          </w:p>
        </w:tc>
        <w:tc>
          <w:tcPr>
            <w:tcW w:w="800" w:type="dxa"/>
            <w:vAlign w:val="bottom"/>
          </w:tcPr>
          <w:p>
            <w:pPr>
              <w:spacing w:after="0"/>
              <w:rPr>
                <w:sz w:val="12"/>
                <w:szCs w:val="12"/>
                <w:color w:val="auto"/>
              </w:rPr>
            </w:pPr>
          </w:p>
        </w:tc>
        <w:tc>
          <w:tcPr>
            <w:tcW w:w="2200" w:type="dxa"/>
            <w:vAlign w:val="bottom"/>
            <w:gridSpan w:val="2"/>
            <w:vMerge w:val="restart"/>
          </w:tcPr>
          <w:p>
            <w:pPr>
              <w:ind w:left="580"/>
              <w:spacing w:after="0"/>
              <w:rPr>
                <w:sz w:val="20"/>
                <w:szCs w:val="20"/>
                <w:color w:val="auto"/>
              </w:rPr>
            </w:pPr>
            <w:r>
              <w:rPr>
                <w:rFonts w:ascii="Arial" w:cs="Arial" w:eastAsia="Arial" w:hAnsi="Arial"/>
                <w:sz w:val="14"/>
                <w:szCs w:val="14"/>
                <w:b w:val="1"/>
                <w:bCs w:val="1"/>
                <w:color w:val="auto"/>
              </w:rPr>
              <w:t>Asset Type</w:t>
            </w:r>
          </w:p>
        </w:tc>
        <w:tc>
          <w:tcPr>
            <w:tcW w:w="800" w:type="dxa"/>
            <w:vAlign w:val="bottom"/>
            <w:vMerge w:val="restart"/>
          </w:tcPr>
          <w:p>
            <w:pPr>
              <w:jc w:val="right"/>
              <w:ind w:right="314"/>
              <w:spacing w:after="0"/>
              <w:rPr>
                <w:sz w:val="20"/>
                <w:szCs w:val="20"/>
                <w:color w:val="auto"/>
              </w:rPr>
            </w:pPr>
            <w:r>
              <w:rPr>
                <w:rFonts w:ascii="Arial" w:cs="Arial" w:eastAsia="Arial" w:hAnsi="Arial"/>
                <w:sz w:val="14"/>
                <w:szCs w:val="14"/>
                <w:b w:val="1"/>
                <w:bCs w:val="1"/>
                <w:color w:val="auto"/>
              </w:rPr>
              <w:t>Cost</w:t>
            </w:r>
          </w:p>
        </w:tc>
        <w:tc>
          <w:tcPr>
            <w:tcW w:w="800" w:type="dxa"/>
            <w:vAlign w:val="bottom"/>
            <w:vMerge w:val="continue"/>
          </w:tcPr>
          <w:p>
            <w:pPr>
              <w:spacing w:after="0"/>
              <w:rPr>
                <w:sz w:val="12"/>
                <w:szCs w:val="12"/>
                <w:color w:val="auto"/>
              </w:rPr>
            </w:pPr>
          </w:p>
        </w:tc>
        <w:tc>
          <w:tcPr>
            <w:tcW w:w="1580" w:type="dxa"/>
            <w:vAlign w:val="bottom"/>
          </w:tcPr>
          <w:p>
            <w:pPr>
              <w:jc w:val="center"/>
              <w:ind w:left="61"/>
              <w:spacing w:after="0" w:line="149" w:lineRule="exact"/>
              <w:rPr>
                <w:sz w:val="20"/>
                <w:szCs w:val="20"/>
                <w:color w:val="auto"/>
              </w:rPr>
            </w:pPr>
            <w:r>
              <w:rPr>
                <w:rFonts w:ascii="Arial" w:cs="Arial" w:eastAsia="Arial" w:hAnsi="Arial"/>
                <w:sz w:val="14"/>
                <w:szCs w:val="14"/>
                <w:b w:val="1"/>
                <w:bCs w:val="1"/>
                <w:color w:val="auto"/>
                <w:w w:val="93"/>
              </w:rPr>
              <w:t>Appreciation/</w:t>
            </w:r>
          </w:p>
        </w:tc>
        <w:tc>
          <w:tcPr>
            <w:tcW w:w="12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3"/>
              </w:rPr>
              <w:t>Appreciation/</w:t>
            </w:r>
          </w:p>
        </w:tc>
        <w:tc>
          <w:tcPr>
            <w:tcW w:w="0" w:type="dxa"/>
            <w:vAlign w:val="bottom"/>
          </w:tcPr>
          <w:p>
            <w:pPr>
              <w:spacing w:after="0"/>
              <w:rPr>
                <w:sz w:val="1"/>
                <w:szCs w:val="1"/>
                <w:color w:val="auto"/>
              </w:rPr>
            </w:pPr>
          </w:p>
        </w:tc>
      </w:tr>
      <w:tr>
        <w:trPr>
          <w:trHeight w:val="171"/>
        </w:trPr>
        <w:tc>
          <w:tcPr>
            <w:tcW w:w="3120" w:type="dxa"/>
            <w:vAlign w:val="bottom"/>
            <w:gridSpan w:val="2"/>
            <w:vMerge w:val="continue"/>
          </w:tcPr>
          <w:p>
            <w:pPr>
              <w:spacing w:after="0"/>
              <w:rPr>
                <w:sz w:val="14"/>
                <w:szCs w:val="14"/>
                <w:color w:val="auto"/>
              </w:rPr>
            </w:pPr>
          </w:p>
        </w:tc>
        <w:tc>
          <w:tcPr>
            <w:tcW w:w="800" w:type="dxa"/>
            <w:vAlign w:val="bottom"/>
          </w:tcPr>
          <w:p>
            <w:pPr>
              <w:spacing w:after="0"/>
              <w:rPr>
                <w:sz w:val="14"/>
                <w:szCs w:val="14"/>
                <w:color w:val="auto"/>
              </w:rPr>
            </w:pPr>
          </w:p>
        </w:tc>
        <w:tc>
          <w:tcPr>
            <w:tcW w:w="2200" w:type="dxa"/>
            <w:vAlign w:val="bottom"/>
            <w:gridSpan w:val="2"/>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800" w:type="dxa"/>
            <w:vAlign w:val="bottom"/>
          </w:tcPr>
          <w:p>
            <w:pPr>
              <w:jc w:val="right"/>
              <w:ind w:right="57"/>
              <w:spacing w:after="0"/>
              <w:rPr>
                <w:sz w:val="20"/>
                <w:szCs w:val="20"/>
                <w:color w:val="auto"/>
              </w:rPr>
            </w:pPr>
            <w:r>
              <w:rPr>
                <w:rFonts w:ascii="Arial" w:cs="Arial" w:eastAsia="Arial" w:hAnsi="Arial"/>
                <w:sz w:val="14"/>
                <w:szCs w:val="14"/>
                <w:b w:val="1"/>
                <w:bCs w:val="1"/>
                <w:color w:val="auto"/>
              </w:rPr>
              <w:t>Value</w:t>
            </w:r>
          </w:p>
        </w:tc>
        <w:tc>
          <w:tcPr>
            <w:tcW w:w="1580" w:type="dxa"/>
            <w:vAlign w:val="bottom"/>
          </w:tcPr>
          <w:p>
            <w:pPr>
              <w:jc w:val="center"/>
              <w:ind w:left="61"/>
              <w:spacing w:after="0"/>
              <w:rPr>
                <w:sz w:val="20"/>
                <w:szCs w:val="20"/>
                <w:color w:val="auto"/>
              </w:rPr>
            </w:pPr>
            <w:r>
              <w:rPr>
                <w:rFonts w:ascii="Arial" w:cs="Arial" w:eastAsia="Arial" w:hAnsi="Arial"/>
                <w:sz w:val="14"/>
                <w:szCs w:val="14"/>
                <w:b w:val="1"/>
                <w:bCs w:val="1"/>
                <w:color w:val="auto"/>
                <w:w w:val="93"/>
              </w:rPr>
              <w:t>(Depreciation)</w:t>
            </w:r>
          </w:p>
        </w:tc>
        <w:tc>
          <w:tcPr>
            <w:tcW w:w="12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(Depreciation)</w:t>
            </w:r>
          </w:p>
        </w:tc>
        <w:tc>
          <w:tcPr>
            <w:tcW w:w="0" w:type="dxa"/>
            <w:vAlign w:val="bottom"/>
          </w:tcPr>
          <w:p>
            <w:pPr>
              <w:spacing w:after="0"/>
              <w:rPr>
                <w:sz w:val="1"/>
                <w:szCs w:val="1"/>
                <w:color w:val="auto"/>
              </w:rPr>
            </w:pPr>
          </w:p>
        </w:tc>
      </w:tr>
      <w:tr>
        <w:trPr>
          <w:trHeight w:val="142"/>
        </w:trPr>
        <w:tc>
          <w:tcPr>
            <w:tcW w:w="380" w:type="dxa"/>
            <w:vAlign w:val="bottom"/>
            <w:tcBorders>
              <w:top w:val="single" w:sz="8" w:color="auto"/>
            </w:tcBorders>
          </w:tcPr>
          <w:p>
            <w:pPr>
              <w:spacing w:after="0"/>
              <w:rPr>
                <w:sz w:val="12"/>
                <w:szCs w:val="12"/>
                <w:color w:val="auto"/>
              </w:rPr>
            </w:pPr>
          </w:p>
        </w:tc>
        <w:tc>
          <w:tcPr>
            <w:tcW w:w="27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20" w:type="dxa"/>
            <w:vAlign w:val="bottom"/>
            <w:tcBorders>
              <w:top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580" w:type="dxa"/>
            <w:vAlign w:val="bottom"/>
            <w:tcBorders>
              <w:top w:val="single" w:sz="8" w:color="auto"/>
            </w:tcBorders>
          </w:tcPr>
          <w:p>
            <w:pPr>
              <w:jc w:val="right"/>
              <w:ind w:right="481"/>
              <w:spacing w:after="0" w:line="142" w:lineRule="exact"/>
              <w:rPr>
                <w:sz w:val="20"/>
                <w:szCs w:val="20"/>
                <w:color w:val="auto"/>
              </w:rPr>
            </w:pPr>
            <w:r>
              <w:rPr>
                <w:rFonts w:ascii="Arial" w:cs="Arial" w:eastAsia="Arial" w:hAnsi="Arial"/>
                <w:sz w:val="14"/>
                <w:szCs w:val="14"/>
                <w:b w:val="1"/>
                <w:bCs w:val="1"/>
                <w:color w:val="auto"/>
                <w:w w:val="92"/>
              </w:rPr>
              <w:t>($ in thousands)</w:t>
            </w:r>
          </w:p>
        </w:tc>
        <w:tc>
          <w:tcPr>
            <w:tcW w:w="11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Elyria Foundry Company, LLC</w:t>
            </w:r>
          </w:p>
        </w:tc>
        <w:tc>
          <w:tcPr>
            <w:tcW w:w="3000" w:type="dxa"/>
            <w:vAlign w:val="bottom"/>
            <w:gridSpan w:val="3"/>
            <w:shd w:val="clear" w:color="auto" w:fill="CCEEFF"/>
          </w:tcPr>
          <w:p>
            <w:pPr>
              <w:ind w:left="800"/>
              <w:spacing w:after="0"/>
              <w:rPr>
                <w:sz w:val="20"/>
                <w:szCs w:val="20"/>
                <w:color w:val="auto"/>
              </w:rPr>
            </w:pPr>
            <w:r>
              <w:rPr>
                <w:rFonts w:ascii="Arial" w:cs="Arial" w:eastAsia="Arial" w:hAnsi="Arial"/>
                <w:sz w:val="18"/>
                <w:szCs w:val="18"/>
                <w:color w:val="auto"/>
              </w:rPr>
              <w:t>Common Stock</w:t>
            </w:r>
          </w:p>
        </w:tc>
        <w:tc>
          <w:tcPr>
            <w:tcW w:w="800" w:type="dxa"/>
            <w:vAlign w:val="bottom"/>
            <w:shd w:val="clear" w:color="auto" w:fill="CCEEFF"/>
          </w:tcPr>
          <w:p>
            <w:pPr>
              <w:jc w:val="right"/>
              <w:ind w:right="174"/>
              <w:spacing w:after="0"/>
              <w:rPr>
                <w:sz w:val="20"/>
                <w:szCs w:val="20"/>
                <w:color w:val="auto"/>
              </w:rPr>
            </w:pPr>
            <w:r>
              <w:rPr>
                <w:rFonts w:ascii="Arial" w:cs="Arial" w:eastAsia="Arial" w:hAnsi="Arial"/>
                <w:sz w:val="18"/>
                <w:szCs w:val="18"/>
                <w:color w:val="auto"/>
              </w:rPr>
              <w:t>9,218</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3,266</w:t>
            </w:r>
          </w:p>
        </w:tc>
        <w:tc>
          <w:tcPr>
            <w:tcW w:w="1580" w:type="dxa"/>
            <w:vAlign w:val="bottom"/>
            <w:shd w:val="clear" w:color="auto" w:fill="CCEEFF"/>
          </w:tcPr>
          <w:p>
            <w:pPr>
              <w:jc w:val="right"/>
              <w:ind w:right="141"/>
              <w:spacing w:after="0"/>
              <w:rPr>
                <w:sz w:val="20"/>
                <w:szCs w:val="20"/>
                <w:color w:val="auto"/>
              </w:rPr>
            </w:pPr>
            <w:r>
              <w:rPr>
                <w:rFonts w:ascii="Arial" w:cs="Arial" w:eastAsia="Arial" w:hAnsi="Arial"/>
                <w:sz w:val="18"/>
                <w:szCs w:val="18"/>
                <w:color w:val="auto"/>
              </w:rPr>
              <w:t>(5,952)</w:t>
            </w: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(3,497)</w:t>
            </w:r>
          </w:p>
        </w:tc>
        <w:tc>
          <w:tcPr>
            <w:tcW w:w="0" w:type="dxa"/>
            <w:vAlign w:val="bottom"/>
          </w:tcPr>
          <w:p>
            <w:pPr>
              <w:spacing w:after="0"/>
              <w:rPr>
                <w:sz w:val="1"/>
                <w:szCs w:val="1"/>
                <w:color w:val="auto"/>
              </w:rPr>
            </w:pPr>
          </w:p>
        </w:tc>
      </w:tr>
      <w:tr>
        <w:trPr>
          <w:trHeight w:val="216"/>
        </w:trPr>
        <w:tc>
          <w:tcPr>
            <w:tcW w:w="3120" w:type="dxa"/>
            <w:vAlign w:val="bottom"/>
            <w:gridSpan w:val="2"/>
          </w:tcPr>
          <w:p>
            <w:pPr>
              <w:spacing w:after="0"/>
              <w:rPr>
                <w:sz w:val="20"/>
                <w:szCs w:val="20"/>
                <w:color w:val="auto"/>
              </w:rPr>
            </w:pPr>
            <w:r>
              <w:rPr>
                <w:rFonts w:ascii="Arial" w:cs="Arial" w:eastAsia="Arial" w:hAnsi="Arial"/>
                <w:sz w:val="18"/>
                <w:szCs w:val="18"/>
                <w:color w:val="auto"/>
              </w:rPr>
              <w:t>Targus Group International, Inc.</w:t>
            </w:r>
          </w:p>
        </w:tc>
        <w:tc>
          <w:tcPr>
            <w:tcW w:w="3000" w:type="dxa"/>
            <w:vAlign w:val="bottom"/>
            <w:gridSpan w:val="3"/>
          </w:tcPr>
          <w:p>
            <w:pPr>
              <w:ind w:left="800"/>
              <w:spacing w:after="0"/>
              <w:rPr>
                <w:sz w:val="20"/>
                <w:szCs w:val="20"/>
                <w:color w:val="auto"/>
              </w:rPr>
            </w:pPr>
            <w:r>
              <w:rPr>
                <w:rFonts w:ascii="Arial" w:cs="Arial" w:eastAsia="Arial" w:hAnsi="Arial"/>
                <w:sz w:val="18"/>
                <w:szCs w:val="18"/>
                <w:color w:val="auto"/>
              </w:rPr>
              <w:t>First Lien Term Loan</w:t>
            </w:r>
          </w:p>
        </w:tc>
        <w:tc>
          <w:tcPr>
            <w:tcW w:w="800" w:type="dxa"/>
            <w:vAlign w:val="bottom"/>
          </w:tcPr>
          <w:p>
            <w:pPr>
              <w:jc w:val="right"/>
              <w:ind w:right="174"/>
              <w:spacing w:after="0"/>
              <w:rPr>
                <w:sz w:val="20"/>
                <w:szCs w:val="20"/>
                <w:color w:val="auto"/>
              </w:rPr>
            </w:pPr>
            <w:r>
              <w:rPr>
                <w:rFonts w:ascii="Arial" w:cs="Arial" w:eastAsia="Arial" w:hAnsi="Arial"/>
                <w:sz w:val="18"/>
                <w:szCs w:val="18"/>
                <w:color w:val="auto"/>
              </w:rPr>
              <w:t>3,589</w:t>
            </w:r>
          </w:p>
        </w:tc>
        <w:tc>
          <w:tcPr>
            <w:tcW w:w="800" w:type="dxa"/>
            <w:vAlign w:val="bottom"/>
          </w:tcPr>
          <w:p>
            <w:pPr>
              <w:jc w:val="right"/>
              <w:spacing w:after="0"/>
              <w:rPr>
                <w:sz w:val="20"/>
                <w:szCs w:val="20"/>
                <w:color w:val="auto"/>
              </w:rPr>
            </w:pPr>
            <w:r>
              <w:rPr>
                <w:rFonts w:ascii="Arial" w:cs="Arial" w:eastAsia="Arial" w:hAnsi="Arial"/>
                <w:sz w:val="18"/>
                <w:szCs w:val="18"/>
                <w:color w:val="auto"/>
              </w:rPr>
              <w:t>2,232</w:t>
            </w:r>
          </w:p>
        </w:tc>
        <w:tc>
          <w:tcPr>
            <w:tcW w:w="1580" w:type="dxa"/>
            <w:vAlign w:val="bottom"/>
          </w:tcPr>
          <w:p>
            <w:pPr>
              <w:jc w:val="right"/>
              <w:ind w:right="141"/>
              <w:spacing w:after="0"/>
              <w:rPr>
                <w:sz w:val="20"/>
                <w:szCs w:val="20"/>
                <w:color w:val="auto"/>
              </w:rPr>
            </w:pPr>
            <w:r>
              <w:rPr>
                <w:rFonts w:ascii="Arial" w:cs="Arial" w:eastAsia="Arial" w:hAnsi="Arial"/>
                <w:sz w:val="18"/>
                <w:szCs w:val="18"/>
                <w:color w:val="auto"/>
              </w:rPr>
              <w:t>(1,357)</w:t>
            </w: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(1,103)</w:t>
            </w:r>
          </w:p>
        </w:tc>
        <w:tc>
          <w:tcPr>
            <w:tcW w:w="0" w:type="dxa"/>
            <w:vAlign w:val="bottom"/>
          </w:tcPr>
          <w:p>
            <w:pPr>
              <w:spacing w:after="0"/>
              <w:rPr>
                <w:sz w:val="1"/>
                <w:szCs w:val="1"/>
                <w:color w:val="auto"/>
              </w:rPr>
            </w:pPr>
          </w:p>
        </w:tc>
      </w:tr>
      <w:tr>
        <w:trPr>
          <w:trHeight w:val="202"/>
        </w:trPr>
        <w:tc>
          <w:tcPr>
            <w:tcW w:w="31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Saratoga CLO</w:t>
            </w:r>
          </w:p>
        </w:tc>
        <w:tc>
          <w:tcPr>
            <w:tcW w:w="3000" w:type="dxa"/>
            <w:vAlign w:val="bottom"/>
            <w:gridSpan w:val="3"/>
            <w:shd w:val="clear" w:color="auto" w:fill="CCEEFF"/>
          </w:tcPr>
          <w:p>
            <w:pPr>
              <w:ind w:left="800"/>
              <w:spacing w:after="0" w:line="201" w:lineRule="exact"/>
              <w:rPr>
                <w:sz w:val="20"/>
                <w:szCs w:val="20"/>
                <w:color w:val="auto"/>
              </w:rPr>
            </w:pPr>
            <w:r>
              <w:rPr>
                <w:rFonts w:ascii="Arial" w:cs="Arial" w:eastAsia="Arial" w:hAnsi="Arial"/>
                <w:sz w:val="18"/>
                <w:szCs w:val="18"/>
                <w:color w:val="auto"/>
              </w:rPr>
              <w:t>Other/Structured Finance</w:t>
            </w:r>
          </w:p>
        </w:tc>
        <w:tc>
          <w:tcPr>
            <w:tcW w:w="8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80" w:type="dxa"/>
            <w:vAlign w:val="bottom"/>
            <w:shd w:val="clear" w:color="auto" w:fill="CCEEFF"/>
          </w:tcPr>
          <w:p>
            <w:pPr>
              <w:spacing w:after="0"/>
              <w:rPr>
                <w:sz w:val="20"/>
                <w:szCs w:val="20"/>
                <w:color w:val="auto"/>
              </w:rPr>
            </w:pPr>
          </w:p>
        </w:tc>
        <w:tc>
          <w:tcPr>
            <w:tcW w:w="2740" w:type="dxa"/>
            <w:vAlign w:val="bottom"/>
            <w:shd w:val="clear" w:color="auto" w:fill="CCEEFF"/>
          </w:tcPr>
          <w:p>
            <w:pPr>
              <w:spacing w:after="0"/>
              <w:rPr>
                <w:sz w:val="20"/>
                <w:szCs w:val="20"/>
                <w:color w:val="auto"/>
              </w:rPr>
            </w:pPr>
          </w:p>
        </w:tc>
        <w:tc>
          <w:tcPr>
            <w:tcW w:w="3000" w:type="dxa"/>
            <w:vAlign w:val="bottom"/>
            <w:gridSpan w:val="3"/>
            <w:shd w:val="clear" w:color="auto" w:fill="CCEEFF"/>
          </w:tcPr>
          <w:p>
            <w:pPr>
              <w:ind w:left="800"/>
              <w:spacing w:after="0"/>
              <w:rPr>
                <w:sz w:val="20"/>
                <w:szCs w:val="20"/>
                <w:color w:val="auto"/>
              </w:rPr>
            </w:pPr>
            <w:r>
              <w:rPr>
                <w:rFonts w:ascii="Arial" w:cs="Arial" w:eastAsia="Arial" w:hAnsi="Arial"/>
                <w:sz w:val="18"/>
                <w:szCs w:val="18"/>
                <w:color w:val="auto"/>
              </w:rPr>
              <w:t>Securities</w:t>
            </w:r>
          </w:p>
        </w:tc>
        <w:tc>
          <w:tcPr>
            <w:tcW w:w="800" w:type="dxa"/>
            <w:vAlign w:val="bottom"/>
            <w:shd w:val="clear" w:color="auto" w:fill="CCEEFF"/>
          </w:tcPr>
          <w:p>
            <w:pPr>
              <w:jc w:val="right"/>
              <w:ind w:right="174"/>
              <w:spacing w:after="0"/>
              <w:rPr>
                <w:sz w:val="20"/>
                <w:szCs w:val="20"/>
                <w:color w:val="auto"/>
              </w:rPr>
            </w:pPr>
            <w:r>
              <w:rPr>
                <w:rFonts w:ascii="Arial" w:cs="Arial" w:eastAsia="Arial" w:hAnsi="Arial"/>
                <w:sz w:val="18"/>
                <w:szCs w:val="18"/>
                <w:color w:val="auto"/>
                <w:w w:val="94"/>
              </w:rPr>
              <w:t>13,668</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15,776</w:t>
            </w:r>
          </w:p>
        </w:tc>
        <w:tc>
          <w:tcPr>
            <w:tcW w:w="1580" w:type="dxa"/>
            <w:vAlign w:val="bottom"/>
            <w:shd w:val="clear" w:color="auto" w:fill="CCEEFF"/>
          </w:tcPr>
          <w:p>
            <w:pPr>
              <w:jc w:val="right"/>
              <w:ind w:right="201"/>
              <w:spacing w:after="0"/>
              <w:rPr>
                <w:sz w:val="20"/>
                <w:szCs w:val="20"/>
                <w:color w:val="auto"/>
              </w:rPr>
            </w:pPr>
            <w:r>
              <w:rPr>
                <w:rFonts w:ascii="Arial" w:cs="Arial" w:eastAsia="Arial" w:hAnsi="Arial"/>
                <w:sz w:val="18"/>
                <w:szCs w:val="18"/>
                <w:color w:val="auto"/>
              </w:rPr>
              <w:t>2,108</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1,030</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The $3.5 million unrealized depreciation in our investment in Elyria Foundry Company, LLC was primarily due to a decline in oil and gas end markets since year-end, negatively impacting the Company’s performance.</w:t>
      </w:r>
    </w:p>
    <w:p>
      <w:pPr>
        <w:spacing w:after="0" w:line="170"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The $1.1 million unrealized depreciation in our investment in Targus Group International, Inc. was primarily due to a decline in earnings resulting from weakened demand in the company’s end markets</w:t>
      </w:r>
    </w:p>
    <w:p>
      <w:pPr>
        <w:spacing w:after="0" w:line="170"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color w:val="auto"/>
        </w:rPr>
        <w:t>The $1.0 million unrealized appreciation in our investment in the Saratoga CLO was primarily due to the quarterly distribution and a decline in the discount rate based on prevailing market conditions.</w:t>
      </w:r>
    </w:p>
    <w:p>
      <w:pPr>
        <w:spacing w:after="0" w:line="170" w:lineRule="exact"/>
        <w:rPr>
          <w:sz w:val="20"/>
          <w:szCs w:val="20"/>
          <w:color w:val="auto"/>
        </w:rPr>
      </w:pPr>
    </w:p>
    <w:p>
      <w:pPr>
        <w:ind w:right="700" w:firstLine="456"/>
        <w:spacing w:after="0" w:line="277" w:lineRule="auto"/>
        <w:rPr>
          <w:sz w:val="20"/>
          <w:szCs w:val="20"/>
          <w:color w:val="auto"/>
        </w:rPr>
      </w:pPr>
      <w:r>
        <w:rPr>
          <w:rFonts w:ascii="Arial" w:cs="Arial" w:eastAsia="Arial" w:hAnsi="Arial"/>
          <w:sz w:val="18"/>
          <w:szCs w:val="18"/>
          <w:color w:val="auto"/>
        </w:rPr>
        <w:t>The most significant cumulative changes in unrealized appreciation and depreciation for the nine months ended November 30, 2014, were the following:</w:t>
      </w:r>
    </w:p>
    <w:p>
      <w:pPr>
        <w:spacing w:after="0" w:line="27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Nine Months ended November 30, 2014</w:t>
      </w:r>
    </w:p>
    <w:p>
      <w:pPr>
        <w:spacing w:after="0" w:line="23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jc w:val="center"/>
              <w:ind w:right="137"/>
              <w:spacing w:after="0"/>
              <w:rPr>
                <w:sz w:val="20"/>
                <w:szCs w:val="20"/>
                <w:color w:val="auto"/>
              </w:rPr>
            </w:pPr>
            <w:r>
              <w:rPr>
                <w:rFonts w:ascii="Arial" w:cs="Arial" w:eastAsia="Arial" w:hAnsi="Arial"/>
                <w:sz w:val="14"/>
                <w:szCs w:val="14"/>
                <w:b w:val="1"/>
                <w:bCs w:val="1"/>
                <w:color w:val="auto"/>
                <w:w w:val="95"/>
              </w:rPr>
              <w:t>Total</w:t>
            </w:r>
          </w:p>
        </w:tc>
        <w:tc>
          <w:tcPr>
            <w:tcW w:w="106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98"/>
              </w:rPr>
              <w:t>YTD Change</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vMerge w:val="restart"/>
          </w:tcPr>
          <w:p>
            <w:pPr>
              <w:jc w:val="right"/>
              <w:ind w:right="37"/>
              <w:spacing w:after="0"/>
              <w:rPr>
                <w:sz w:val="20"/>
                <w:szCs w:val="20"/>
                <w:color w:val="auto"/>
              </w:rPr>
            </w:pPr>
            <w:r>
              <w:rPr>
                <w:rFonts w:ascii="Arial" w:cs="Arial" w:eastAsia="Arial" w:hAnsi="Arial"/>
                <w:sz w:val="14"/>
                <w:szCs w:val="14"/>
                <w:b w:val="1"/>
                <w:bCs w:val="1"/>
                <w:color w:val="auto"/>
              </w:rPr>
              <w:t>Fair</w:t>
            </w:r>
          </w:p>
        </w:tc>
        <w:tc>
          <w:tcPr>
            <w:tcW w:w="280" w:type="dxa"/>
            <w:vAlign w:val="bottom"/>
          </w:tcPr>
          <w:p>
            <w:pPr>
              <w:spacing w:after="0"/>
              <w:rPr>
                <w:sz w:val="12"/>
                <w:szCs w:val="12"/>
                <w:color w:val="auto"/>
              </w:rPr>
            </w:pPr>
          </w:p>
        </w:tc>
        <w:tc>
          <w:tcPr>
            <w:tcW w:w="940" w:type="dxa"/>
            <w:vAlign w:val="bottom"/>
          </w:tcPr>
          <w:p>
            <w:pPr>
              <w:jc w:val="center"/>
              <w:ind w:right="157"/>
              <w:spacing w:after="0" w:line="149" w:lineRule="exact"/>
              <w:rPr>
                <w:sz w:val="20"/>
                <w:szCs w:val="20"/>
                <w:color w:val="auto"/>
              </w:rPr>
            </w:pPr>
            <w:r>
              <w:rPr>
                <w:rFonts w:ascii="Arial" w:cs="Arial" w:eastAsia="Arial" w:hAnsi="Arial"/>
                <w:sz w:val="14"/>
                <w:szCs w:val="14"/>
                <w:b w:val="1"/>
                <w:bCs w:val="1"/>
                <w:color w:val="auto"/>
                <w:w w:val="93"/>
              </w:rPr>
              <w:t>Unrealized</w:t>
            </w:r>
          </w:p>
        </w:tc>
        <w:tc>
          <w:tcPr>
            <w:tcW w:w="106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94"/>
              </w:rPr>
              <w:t>in Unrealized</w:t>
            </w:r>
          </w:p>
        </w:tc>
        <w:tc>
          <w:tcPr>
            <w:tcW w:w="0" w:type="dxa"/>
            <w:vAlign w:val="bottom"/>
          </w:tcPr>
          <w:p>
            <w:pPr>
              <w:spacing w:after="0"/>
              <w:rPr>
                <w:sz w:val="1"/>
                <w:szCs w:val="1"/>
                <w:color w:val="auto"/>
              </w:rPr>
            </w:pPr>
          </w:p>
        </w:tc>
      </w:tr>
      <w:tr>
        <w:trPr>
          <w:trHeight w:val="149"/>
        </w:trPr>
        <w:tc>
          <w:tcPr>
            <w:tcW w:w="36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Issuer</w:t>
            </w:r>
          </w:p>
        </w:tc>
        <w:tc>
          <w:tcPr>
            <w:tcW w:w="1320" w:type="dxa"/>
            <w:vAlign w:val="bottom"/>
          </w:tcPr>
          <w:p>
            <w:pPr>
              <w:spacing w:after="0"/>
              <w:rPr>
                <w:sz w:val="12"/>
                <w:szCs w:val="12"/>
                <w:color w:val="auto"/>
              </w:rPr>
            </w:pPr>
          </w:p>
        </w:tc>
        <w:tc>
          <w:tcPr>
            <w:tcW w:w="2060" w:type="dxa"/>
            <w:vAlign w:val="bottom"/>
            <w:gridSpan w:val="2"/>
            <w:vMerge w:val="restart"/>
          </w:tcPr>
          <w:p>
            <w:pPr>
              <w:ind w:left="660"/>
              <w:spacing w:after="0"/>
              <w:rPr>
                <w:sz w:val="20"/>
                <w:szCs w:val="20"/>
                <w:color w:val="auto"/>
              </w:rPr>
            </w:pPr>
            <w:r>
              <w:rPr>
                <w:rFonts w:ascii="Arial" w:cs="Arial" w:eastAsia="Arial" w:hAnsi="Arial"/>
                <w:sz w:val="14"/>
                <w:szCs w:val="14"/>
                <w:b w:val="1"/>
                <w:bCs w:val="1"/>
                <w:color w:val="auto"/>
              </w:rPr>
              <w:t>Asset Type</w:t>
            </w:r>
          </w:p>
        </w:tc>
        <w:tc>
          <w:tcPr>
            <w:tcW w:w="600" w:type="dxa"/>
            <w:vAlign w:val="bottom"/>
            <w:vMerge w:val="restart"/>
          </w:tcPr>
          <w:p>
            <w:pPr>
              <w:jc w:val="right"/>
              <w:ind w:right="114"/>
              <w:spacing w:after="0"/>
              <w:rPr>
                <w:sz w:val="20"/>
                <w:szCs w:val="20"/>
                <w:color w:val="auto"/>
              </w:rPr>
            </w:pPr>
            <w:r>
              <w:rPr>
                <w:rFonts w:ascii="Arial" w:cs="Arial" w:eastAsia="Arial" w:hAnsi="Arial"/>
                <w:sz w:val="14"/>
                <w:szCs w:val="14"/>
                <w:b w:val="1"/>
                <w:bCs w:val="1"/>
                <w:color w:val="auto"/>
              </w:rPr>
              <w:t>Cost</w:t>
            </w:r>
          </w:p>
        </w:tc>
        <w:tc>
          <w:tcPr>
            <w:tcW w:w="600" w:type="dxa"/>
            <w:vAlign w:val="bottom"/>
            <w:vMerge w:val="continue"/>
          </w:tcPr>
          <w:p>
            <w:pPr>
              <w:spacing w:after="0"/>
              <w:rPr>
                <w:sz w:val="12"/>
                <w:szCs w:val="12"/>
                <w:color w:val="auto"/>
              </w:rPr>
            </w:pPr>
          </w:p>
        </w:tc>
        <w:tc>
          <w:tcPr>
            <w:tcW w:w="12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3"/>
              </w:rPr>
              <w:t>Appreciation/</w:t>
            </w:r>
          </w:p>
        </w:tc>
        <w:tc>
          <w:tcPr>
            <w:tcW w:w="106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93"/>
              </w:rPr>
              <w:t>Appreciation/</w:t>
            </w:r>
          </w:p>
        </w:tc>
        <w:tc>
          <w:tcPr>
            <w:tcW w:w="0" w:type="dxa"/>
            <w:vAlign w:val="bottom"/>
          </w:tcPr>
          <w:p>
            <w:pPr>
              <w:spacing w:after="0"/>
              <w:rPr>
                <w:sz w:val="1"/>
                <w:szCs w:val="1"/>
                <w:color w:val="auto"/>
              </w:rPr>
            </w:pPr>
          </w:p>
        </w:tc>
      </w:tr>
      <w:tr>
        <w:trPr>
          <w:trHeight w:val="171"/>
        </w:trPr>
        <w:tc>
          <w:tcPr>
            <w:tcW w:w="3640" w:type="dxa"/>
            <w:vAlign w:val="bottom"/>
            <w:gridSpan w:val="2"/>
            <w:vMerge w:val="continue"/>
          </w:tcPr>
          <w:p>
            <w:pPr>
              <w:spacing w:after="0"/>
              <w:rPr>
                <w:sz w:val="14"/>
                <w:szCs w:val="14"/>
                <w:color w:val="auto"/>
              </w:rPr>
            </w:pPr>
          </w:p>
        </w:tc>
        <w:tc>
          <w:tcPr>
            <w:tcW w:w="1320" w:type="dxa"/>
            <w:vAlign w:val="bottom"/>
          </w:tcPr>
          <w:p>
            <w:pPr>
              <w:spacing w:after="0"/>
              <w:rPr>
                <w:sz w:val="14"/>
                <w:szCs w:val="14"/>
                <w:color w:val="auto"/>
              </w:rPr>
            </w:pPr>
          </w:p>
        </w:tc>
        <w:tc>
          <w:tcPr>
            <w:tcW w:w="2060" w:type="dxa"/>
            <w:vAlign w:val="bottom"/>
            <w:gridSpan w:val="2"/>
            <w:vMerge w:val="continue"/>
          </w:tcPr>
          <w:p>
            <w:pPr>
              <w:spacing w:after="0"/>
              <w:rPr>
                <w:sz w:val="14"/>
                <w:szCs w:val="14"/>
                <w:color w:val="auto"/>
              </w:rPr>
            </w:pPr>
          </w:p>
        </w:tc>
        <w:tc>
          <w:tcPr>
            <w:tcW w:w="600" w:type="dxa"/>
            <w:vAlign w:val="bottom"/>
            <w:vMerge w:val="continue"/>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b w:val="1"/>
                <w:bCs w:val="1"/>
                <w:color w:val="auto"/>
              </w:rPr>
              <w:t>Value</w:t>
            </w:r>
          </w:p>
        </w:tc>
        <w:tc>
          <w:tcPr>
            <w:tcW w:w="12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(Depreciation)</w:t>
            </w:r>
          </w:p>
        </w:tc>
        <w:tc>
          <w:tcPr>
            <w:tcW w:w="106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3"/>
              </w:rPr>
              <w:t>(Depreciation)</w:t>
            </w:r>
          </w:p>
        </w:tc>
        <w:tc>
          <w:tcPr>
            <w:tcW w:w="0" w:type="dxa"/>
            <w:vAlign w:val="bottom"/>
          </w:tcPr>
          <w:p>
            <w:pPr>
              <w:spacing w:after="0"/>
              <w:rPr>
                <w:sz w:val="1"/>
                <w:szCs w:val="1"/>
                <w:color w:val="auto"/>
              </w:rPr>
            </w:pPr>
          </w:p>
        </w:tc>
      </w:tr>
      <w:tr>
        <w:trPr>
          <w:trHeight w:val="156"/>
        </w:trPr>
        <w:tc>
          <w:tcPr>
            <w:tcW w:w="380" w:type="dxa"/>
            <w:vAlign w:val="bottom"/>
            <w:tcBorders>
              <w:top w:val="single" w:sz="8" w:color="auto"/>
            </w:tcBorders>
          </w:tcPr>
          <w:p>
            <w:pPr>
              <w:spacing w:after="0"/>
              <w:rPr>
                <w:sz w:val="13"/>
                <w:szCs w:val="13"/>
                <w:color w:val="auto"/>
              </w:rPr>
            </w:pPr>
          </w:p>
        </w:tc>
        <w:tc>
          <w:tcPr>
            <w:tcW w:w="32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98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gridSpan w:val="2"/>
          </w:tcPr>
          <w:p>
            <w:pPr>
              <w:jc w:val="right"/>
              <w:ind w:right="157"/>
              <w:spacing w:after="0" w:line="155" w:lineRule="exact"/>
              <w:rPr>
                <w:sz w:val="20"/>
                <w:szCs w:val="20"/>
                <w:color w:val="auto"/>
              </w:rPr>
            </w:pPr>
            <w:r>
              <w:rPr>
                <w:rFonts w:ascii="Arial" w:cs="Arial" w:eastAsia="Arial" w:hAnsi="Arial"/>
                <w:sz w:val="14"/>
                <w:szCs w:val="14"/>
                <w:b w:val="1"/>
                <w:bCs w:val="1"/>
                <w:color w:val="auto"/>
                <w:w w:val="88"/>
              </w:rPr>
              <w:t>($ in thousands)</w:t>
            </w:r>
          </w:p>
        </w:tc>
        <w:tc>
          <w:tcPr>
            <w:tcW w:w="38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3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Elyria Foundry Company, LLC.</w:t>
            </w:r>
          </w:p>
        </w:tc>
        <w:tc>
          <w:tcPr>
            <w:tcW w:w="3380" w:type="dxa"/>
            <w:vAlign w:val="bottom"/>
            <w:gridSpan w:val="3"/>
            <w:shd w:val="clear" w:color="auto" w:fill="CCEEFF"/>
          </w:tcPr>
          <w:p>
            <w:pPr>
              <w:ind w:left="1320"/>
              <w:spacing w:after="0"/>
              <w:rPr>
                <w:sz w:val="20"/>
                <w:szCs w:val="20"/>
                <w:color w:val="auto"/>
              </w:rPr>
            </w:pPr>
            <w:r>
              <w:rPr>
                <w:rFonts w:ascii="Arial" w:cs="Arial" w:eastAsia="Arial" w:hAnsi="Arial"/>
                <w:sz w:val="18"/>
                <w:szCs w:val="18"/>
                <w:color w:val="auto"/>
              </w:rPr>
              <w:t>First Lien Term Loan</w:t>
            </w:r>
          </w:p>
        </w:tc>
        <w:tc>
          <w:tcPr>
            <w:tcW w:w="6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w w:val="87"/>
              </w:rPr>
              <w:t>$8,860</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$6,020</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(2,840)</w:t>
            </w:r>
          </w:p>
        </w:tc>
        <w:tc>
          <w:tcPr>
            <w:tcW w:w="380" w:type="dxa"/>
            <w:vAlign w:val="bottom"/>
            <w:shd w:val="clear" w:color="auto" w:fill="CCEEFF"/>
          </w:tcPr>
          <w:p>
            <w:pPr>
              <w:jc w:val="right"/>
              <w:ind w:right="144"/>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(624)</w:t>
            </w:r>
          </w:p>
        </w:tc>
        <w:tc>
          <w:tcPr>
            <w:tcW w:w="0" w:type="dxa"/>
            <w:vAlign w:val="bottom"/>
          </w:tcPr>
          <w:p>
            <w:pPr>
              <w:spacing w:after="0"/>
              <w:rPr>
                <w:sz w:val="1"/>
                <w:szCs w:val="1"/>
                <w:color w:val="auto"/>
              </w:rPr>
            </w:pPr>
          </w:p>
        </w:tc>
      </w:tr>
      <w:tr>
        <w:trPr>
          <w:trHeight w:val="216"/>
        </w:trPr>
        <w:tc>
          <w:tcPr>
            <w:tcW w:w="3640" w:type="dxa"/>
            <w:vAlign w:val="bottom"/>
            <w:gridSpan w:val="2"/>
          </w:tcPr>
          <w:p>
            <w:pPr>
              <w:spacing w:after="0"/>
              <w:rPr>
                <w:sz w:val="20"/>
                <w:szCs w:val="20"/>
                <w:color w:val="auto"/>
              </w:rPr>
            </w:pPr>
            <w:r>
              <w:rPr>
                <w:rFonts w:ascii="Arial" w:cs="Arial" w:eastAsia="Arial" w:hAnsi="Arial"/>
                <w:sz w:val="18"/>
                <w:szCs w:val="18"/>
                <w:color w:val="auto"/>
              </w:rPr>
              <w:t>Legacy Cabinets Holdings</w:t>
            </w:r>
          </w:p>
        </w:tc>
        <w:tc>
          <w:tcPr>
            <w:tcW w:w="3380" w:type="dxa"/>
            <w:vAlign w:val="bottom"/>
            <w:gridSpan w:val="3"/>
          </w:tcPr>
          <w:p>
            <w:pPr>
              <w:ind w:left="1320"/>
              <w:spacing w:after="0"/>
              <w:rPr>
                <w:sz w:val="20"/>
                <w:szCs w:val="20"/>
                <w:color w:val="auto"/>
              </w:rPr>
            </w:pPr>
            <w:r>
              <w:rPr>
                <w:rFonts w:ascii="Arial" w:cs="Arial" w:eastAsia="Arial" w:hAnsi="Arial"/>
                <w:sz w:val="18"/>
                <w:szCs w:val="18"/>
                <w:color w:val="auto"/>
                <w:w w:val="96"/>
              </w:rPr>
              <w:t>Common Stock Voting A-1</w:t>
            </w:r>
          </w:p>
        </w:tc>
        <w:tc>
          <w:tcPr>
            <w:tcW w:w="600" w:type="dxa"/>
            <w:vAlign w:val="bottom"/>
          </w:tcPr>
          <w:p>
            <w:pPr>
              <w:jc w:val="right"/>
              <w:ind w:right="14"/>
              <w:spacing w:after="0"/>
              <w:rPr>
                <w:sz w:val="20"/>
                <w:szCs w:val="20"/>
                <w:color w:val="auto"/>
              </w:rPr>
            </w:pPr>
            <w:r>
              <w:rPr>
                <w:rFonts w:ascii="Arial" w:cs="Arial" w:eastAsia="Arial" w:hAnsi="Arial"/>
                <w:sz w:val="18"/>
                <w:szCs w:val="18"/>
                <w:color w:val="auto"/>
              </w:rPr>
              <w:t>221</w:t>
            </w:r>
          </w:p>
        </w:tc>
        <w:tc>
          <w:tcPr>
            <w:tcW w:w="600" w:type="dxa"/>
            <w:vAlign w:val="bottom"/>
          </w:tcPr>
          <w:p>
            <w:pPr>
              <w:jc w:val="right"/>
              <w:spacing w:after="0"/>
              <w:rPr>
                <w:sz w:val="20"/>
                <w:szCs w:val="20"/>
                <w:color w:val="auto"/>
              </w:rPr>
            </w:pPr>
            <w:r>
              <w:rPr>
                <w:rFonts w:ascii="Arial" w:cs="Arial" w:eastAsia="Arial" w:hAnsi="Arial"/>
                <w:sz w:val="18"/>
                <w:szCs w:val="18"/>
                <w:color w:val="auto"/>
              </w:rPr>
              <w:t>1,468</w:t>
            </w:r>
          </w:p>
        </w:tc>
        <w:tc>
          <w:tcPr>
            <w:tcW w:w="280" w:type="dxa"/>
            <w:vAlign w:val="bottom"/>
          </w:tcPr>
          <w:p>
            <w:pPr>
              <w:spacing w:after="0"/>
              <w:rPr>
                <w:sz w:val="18"/>
                <w:szCs w:val="18"/>
                <w:color w:val="auto"/>
              </w:rPr>
            </w:pPr>
          </w:p>
        </w:tc>
        <w:tc>
          <w:tcPr>
            <w:tcW w:w="940" w:type="dxa"/>
            <w:vAlign w:val="bottom"/>
          </w:tcPr>
          <w:p>
            <w:pPr>
              <w:jc w:val="right"/>
              <w:ind w:right="57"/>
              <w:spacing w:after="0"/>
              <w:rPr>
                <w:sz w:val="20"/>
                <w:szCs w:val="20"/>
                <w:color w:val="auto"/>
              </w:rPr>
            </w:pPr>
            <w:r>
              <w:rPr>
                <w:rFonts w:ascii="Arial" w:cs="Arial" w:eastAsia="Arial" w:hAnsi="Arial"/>
                <w:sz w:val="18"/>
                <w:szCs w:val="18"/>
                <w:color w:val="auto"/>
              </w:rPr>
              <w:t>1,247</w:t>
            </w:r>
          </w:p>
        </w:tc>
        <w:tc>
          <w:tcPr>
            <w:tcW w:w="3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916</w:t>
            </w:r>
          </w:p>
        </w:tc>
        <w:tc>
          <w:tcPr>
            <w:tcW w:w="0" w:type="dxa"/>
            <w:vAlign w:val="bottom"/>
          </w:tcPr>
          <w:p>
            <w:pPr>
              <w:spacing w:after="0"/>
              <w:rPr>
                <w:sz w:val="1"/>
                <w:szCs w:val="1"/>
                <w:color w:val="auto"/>
              </w:rPr>
            </w:pPr>
          </w:p>
        </w:tc>
      </w:tr>
      <w:tr>
        <w:trPr>
          <w:trHeight w:val="216"/>
        </w:trPr>
        <w:tc>
          <w:tcPr>
            <w:tcW w:w="3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Targus Holdings, Inc.</w:t>
            </w:r>
          </w:p>
        </w:tc>
        <w:tc>
          <w:tcPr>
            <w:tcW w:w="3380" w:type="dxa"/>
            <w:vAlign w:val="bottom"/>
            <w:gridSpan w:val="3"/>
            <w:shd w:val="clear" w:color="auto" w:fill="CCEEFF"/>
          </w:tcPr>
          <w:p>
            <w:pPr>
              <w:ind w:left="1320"/>
              <w:spacing w:after="0"/>
              <w:rPr>
                <w:sz w:val="20"/>
                <w:szCs w:val="20"/>
                <w:color w:val="auto"/>
              </w:rPr>
            </w:pPr>
            <w:r>
              <w:rPr>
                <w:rFonts w:ascii="Arial" w:cs="Arial" w:eastAsia="Arial" w:hAnsi="Arial"/>
                <w:sz w:val="18"/>
                <w:szCs w:val="18"/>
                <w:color w:val="auto"/>
              </w:rPr>
              <w:t>Common Stock</w:t>
            </w:r>
          </w:p>
        </w:tc>
        <w:tc>
          <w:tcPr>
            <w:tcW w:w="6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567</w:t>
            </w:r>
          </w:p>
        </w:tc>
        <w:tc>
          <w:tcPr>
            <w:tcW w:w="60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(567)</w:t>
            </w:r>
          </w:p>
        </w:tc>
        <w:tc>
          <w:tcPr>
            <w:tcW w:w="3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(730)</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The $0.6 million of unrealized depreciation in our investment in Elyria Foundry Company, LLC was due to a decline in the company’s performance as a result of volume declines from key energy customers.</w:t>
      </w:r>
    </w:p>
    <w:p>
      <w:pPr>
        <w:spacing w:after="0" w:line="170"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The $0.9 million of unrealized appreciation in our investment in Legacy Cabinets, Inc. was driven by significant fundamental growth, which increased the fair market value of the equity.</w:t>
      </w:r>
    </w:p>
    <w:p>
      <w:pPr>
        <w:spacing w:after="0" w:line="170" w:lineRule="exact"/>
        <w:rPr>
          <w:sz w:val="20"/>
          <w:szCs w:val="20"/>
          <w:color w:val="auto"/>
        </w:rPr>
      </w:pPr>
    </w:p>
    <w:p>
      <w:pPr>
        <w:ind w:right="520" w:firstLine="456"/>
        <w:spacing w:after="0" w:line="277" w:lineRule="auto"/>
        <w:rPr>
          <w:sz w:val="20"/>
          <w:szCs w:val="20"/>
          <w:color w:val="auto"/>
        </w:rPr>
      </w:pPr>
      <w:r>
        <w:rPr>
          <w:rFonts w:ascii="Arial" w:cs="Arial" w:eastAsia="Arial" w:hAnsi="Arial"/>
          <w:sz w:val="18"/>
          <w:szCs w:val="18"/>
          <w:color w:val="auto"/>
        </w:rPr>
        <w:t>The $0.7 million of unrealized depreciation in our investment in Targus Holdings, Inc. was due to a decline in earnings resulting from weakened demand in the company’s end markets</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380"/>
          </w:cols>
          <w:pgMar w:left="240" w:top="459" w:right="27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Changes in net assets resulting from operations</w:t>
      </w:r>
    </w:p>
    <w:p>
      <w:pPr>
        <w:spacing w:after="0" w:line="117"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For the three months ended November 30, 2015 and November 30, 2014, we recorded a net increase in net assets resulting from operations of $3.4 million and $3.4 million, respectively. Based on 5,632,011 weighted average common shares outstanding as of November 30, 2015, our per share net increase in net assets resulting from operations was $0.61 for the three months ended November 30, 2015. Based on 5,379,616 weighted average common shares outstanding as of November 30, 2014, our per share net increase in net assets resulting from operations was $0.63 for the three months ended November 30, 2014.</w:t>
      </w:r>
    </w:p>
    <w:p>
      <w:pPr>
        <w:spacing w:after="0" w:line="188"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For the nine months ended November 30, 2015 and November 30, 2014, we recorded a net increase in net assets resulting from operations of $12.0 million and $8.3 million, respectively. Based on 5,533,094 weighted average common shares outstanding as of November 30, 2015, our per share net increase in net assets resulting from operations was $2.18 for the nine months ended November 30, 2015. Based on 5,379,616 weighted average common shares outstanding as of November 30, 2014, our per share net increase in net assets resulting from operations was $1.54 for the nine months ended November 30, 2014.</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 LIQUIDITY AND CAPITAL RESOURCES</w:t>
      </w:r>
    </w:p>
    <w:p>
      <w:pPr>
        <w:spacing w:after="0" w:line="121"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We intend to continue to generate cash primarily from cash flows from operations, including interest earned from our investments in debt in middle market companies, interest earned from the temporary investment of cash in U.S. government securities and other high-quality debt investments that mature in one year or less, future borrowings and future offerings of securities.</w:t>
      </w:r>
    </w:p>
    <w:p>
      <w:pPr>
        <w:spacing w:after="0" w:line="181" w:lineRule="exact"/>
        <w:rPr>
          <w:sz w:val="20"/>
          <w:szCs w:val="20"/>
          <w:color w:val="auto"/>
        </w:rPr>
      </w:pPr>
    </w:p>
    <w:p>
      <w:pPr>
        <w:ind w:right="180" w:firstLine="456"/>
        <w:spacing w:after="0" w:line="257" w:lineRule="auto"/>
        <w:rPr>
          <w:sz w:val="20"/>
          <w:szCs w:val="20"/>
          <w:color w:val="auto"/>
        </w:rPr>
      </w:pPr>
      <w:r>
        <w:rPr>
          <w:rFonts w:ascii="Arial" w:cs="Arial" w:eastAsia="Arial" w:hAnsi="Arial"/>
          <w:sz w:val="18"/>
          <w:szCs w:val="18"/>
          <w:color w:val="auto"/>
        </w:rPr>
        <w:t>Although we expect to fund the growth of our investment portfolio through the net proceeds from SBA debenture drawdowns and future equity offerings, including our dividend reinvestment plan, and issuances of senior securities or future borrowings, to the extent permitted by the 1940 Act, we cannot assure you that our plans to raise capital will be successful. In this regard, because our common stock has historically traded at a price below our current net asset value per share and we are limited in our ability to sell our common stock at a price below net asset value per share, we have been and may continue to be limited in our ability to raise equity capital.</w:t>
      </w:r>
    </w:p>
    <w:p>
      <w:pPr>
        <w:spacing w:after="0" w:line="188"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In addition, we intend to distribute to our stockholders substantially all of our taxable income in order to satisfy the distribution requirement applicable to RICs under Subchapter M of the Code. In satisfying this distribution requirement, we have in the past relied on IRS issued private letter rulings concluding that a RIC may treat a distribution of its own stock as fulfilling its RIC distribution requirements if each stockholder may elect to receive his or her entire distribution in either cash or stock of the RIC subject to a limitation on the aggregate amount of cash to be distributed to all stockholders, which limitation must be at least 20% of the aggregate declared distribution. We may rely on these IRS private letter rulings in future periods to satisfy our RIC distribution requirement.</w:t>
      </w:r>
    </w:p>
    <w:p>
      <w:pPr>
        <w:spacing w:after="0" w:line="193" w:lineRule="exact"/>
        <w:rPr>
          <w:sz w:val="20"/>
          <w:szCs w:val="20"/>
          <w:color w:val="auto"/>
        </w:rPr>
      </w:pPr>
    </w:p>
    <w:p>
      <w:pPr>
        <w:ind w:right="60" w:firstLine="456"/>
        <w:spacing w:after="0" w:line="276" w:lineRule="auto"/>
        <w:rPr>
          <w:sz w:val="20"/>
          <w:szCs w:val="20"/>
          <w:color w:val="auto"/>
        </w:rPr>
      </w:pPr>
      <w:r>
        <w:rPr>
          <w:rFonts w:ascii="Arial" w:cs="Arial" w:eastAsia="Arial" w:hAnsi="Arial"/>
          <w:sz w:val="17"/>
          <w:szCs w:val="17"/>
          <w:color w:val="auto"/>
        </w:rPr>
        <w:t>Also, as a BDC, we generally are required to meet a coverage ratio of total assets, less liabilities and indebtedness not represented by senior securities, to total senior securities, which include all of our borrowings and any outstanding preferred stock, of at least 200%. This requirement limits the amount that we may borrow. Our asset coverage ratio, as defined in the 1940 Act, was 307.4% as of November 30, 2015 and 311.7% as of February 28, 2015. To fund growth in our investment portfolio in the future, we anticipate needing to raise additional capital from various sources, including the equity markets and other debt-related markets, which may or may not be available on favorable terms, if at all.</w:t>
      </w:r>
    </w:p>
    <w:p>
      <w:pPr>
        <w:spacing w:after="0" w:line="173"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color w:val="auto"/>
        </w:rPr>
        <w:t>Consequently, we may not have the funds or the ability to fund new investments, to make additional investments in our portfolio companies, to fund our unfunded commitments to portfolio companies or to repay borrowings. Also, the illiquidity of our portfolio investments may make it difficult for us to sell these investments when desired and, if we are required to sell these investments, we may realize significantly less than their recorded value.</w:t>
      </w:r>
    </w:p>
    <w:p>
      <w:pPr>
        <w:spacing w:after="0" w:line="27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Madison revolving credit facility</w:t>
      </w:r>
    </w:p>
    <w:p>
      <w:pPr>
        <w:spacing w:after="0" w:line="117"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Below is a summary of the terms of the senior secured revolving credit facility we entered into with Madison Capital Funding (the “Credit Facility”) on June 30, 2010.</w:t>
      </w:r>
    </w:p>
    <w:p>
      <w:pPr>
        <w:spacing w:after="0" w:line="170" w:lineRule="exact"/>
        <w:rPr>
          <w:sz w:val="20"/>
          <w:szCs w:val="20"/>
          <w:color w:val="auto"/>
        </w:rPr>
      </w:pPr>
    </w:p>
    <w:p>
      <w:pPr>
        <w:ind w:right="100" w:firstLine="456"/>
        <w:spacing w:after="0" w:line="293" w:lineRule="auto"/>
        <w:rPr>
          <w:sz w:val="20"/>
          <w:szCs w:val="20"/>
          <w:color w:val="auto"/>
        </w:rPr>
      </w:pPr>
      <w:r>
        <w:rPr>
          <w:rFonts w:ascii="Arial" w:cs="Arial" w:eastAsia="Arial" w:hAnsi="Arial"/>
          <w:sz w:val="16"/>
          <w:szCs w:val="16"/>
          <w:i w:val="1"/>
          <w:iCs w:val="1"/>
          <w:color w:val="auto"/>
        </w:rPr>
        <w:t xml:space="preserve">Availability. </w:t>
      </w:r>
      <w:r>
        <w:rPr>
          <w:rFonts w:ascii="Arial" w:cs="Arial" w:eastAsia="Arial" w:hAnsi="Arial"/>
          <w:sz w:val="16"/>
          <w:szCs w:val="16"/>
          <w:color w:val="auto"/>
        </w:rPr>
        <w:t>The Company can draw up to the lesser of (i) $40.0 million (the “Facility Amount”) and (ii) the product of the applicable advance rate</w:t>
      </w:r>
      <w:r>
        <w:rPr>
          <w:rFonts w:ascii="Arial" w:cs="Arial" w:eastAsia="Arial" w:hAnsi="Arial"/>
          <w:sz w:val="16"/>
          <w:szCs w:val="16"/>
          <w:i w:val="1"/>
          <w:iCs w:val="1"/>
          <w:color w:val="auto"/>
        </w:rPr>
        <w:t xml:space="preserve"> </w:t>
      </w:r>
      <w:r>
        <w:rPr>
          <w:rFonts w:ascii="Arial" w:cs="Arial" w:eastAsia="Arial" w:hAnsi="Arial"/>
          <w:sz w:val="16"/>
          <w:szCs w:val="16"/>
          <w:color w:val="auto"/>
        </w:rPr>
        <w:t>(which varies from 50.0% to 75.0% depending on the type of loan asset) and the value, determined in accordance with the Credit Facility (the “Adjusted Borrowing Value”), of certain “eligible” loan assets pledged as security for the loan (the “Borrowing Base”), in each case less (a) the amount of any undrawn funding commitments the Company has under any loan asset and which are not covered by amounts in the Unfunded Exposure Account referred to below (the “Unfunded Exposure Amount”) and (b) outstanding borrowings. Each loan asset held by the Company as of the date on which the Credit Facility was closed was valued as of that date and each loan asset that the Company acquires after such date will be valued at the lowest of its fair value, its face value</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459"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(excluding accrued interest) and the purchase price paid for such loan asset. Adjustments to the value of a loan asset will be made to reflect, among other things, changes in its fair value, a default by the obligor on the loan asset, insolvency of the obligor, acceleration of the loan asset, and certain modifications to the terms of the loan asset.</w:t>
      </w:r>
    </w:p>
    <w:p>
      <w:pPr>
        <w:spacing w:after="0" w:line="181"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The Credit Facility contains limitations on the type of loan assets that are “eligible” to be included in the Borrowing Base and as to the concentration level of certain categories of loan assets in the Borrowing Base such as restrictions on geographic and industry concentrations, asset size and quality, payment frequency, status and terms, average life, and collateral interests. In addition, if an asset is to remain an “eligible” loan asset, the Company may not make changes to the payment, amortization, collateral and certain other terms of the loan assets without the consent of the administrative agent that will either result in subordination of the loan asset or be materially adverse to the lenders.</w:t>
      </w:r>
    </w:p>
    <w:p>
      <w:pPr>
        <w:spacing w:after="0" w:line="188" w:lineRule="exact"/>
        <w:rPr>
          <w:sz w:val="20"/>
          <w:szCs w:val="20"/>
          <w:color w:val="auto"/>
        </w:rPr>
      </w:pPr>
    </w:p>
    <w:p>
      <w:pPr>
        <w:ind w:right="60" w:firstLine="456"/>
        <w:spacing w:after="0" w:line="342" w:lineRule="auto"/>
        <w:rPr>
          <w:sz w:val="20"/>
          <w:szCs w:val="20"/>
          <w:color w:val="auto"/>
        </w:rPr>
      </w:pPr>
      <w:r>
        <w:rPr>
          <w:rFonts w:ascii="Arial" w:cs="Arial" w:eastAsia="Arial" w:hAnsi="Arial"/>
          <w:sz w:val="16"/>
          <w:szCs w:val="16"/>
          <w:i w:val="1"/>
          <w:iCs w:val="1"/>
          <w:color w:val="auto"/>
        </w:rPr>
        <w:t xml:space="preserve">Collateral. </w:t>
      </w:r>
      <w:r>
        <w:rPr>
          <w:rFonts w:ascii="Arial" w:cs="Arial" w:eastAsia="Arial" w:hAnsi="Arial"/>
          <w:sz w:val="16"/>
          <w:szCs w:val="16"/>
          <w:color w:val="auto"/>
        </w:rPr>
        <w:t>The Credit Facility is secured by substantially all of the assets of the Company (other than assets held by our SBIC subsidiary) and includes</w:t>
      </w:r>
      <w:r>
        <w:rPr>
          <w:rFonts w:ascii="Arial" w:cs="Arial" w:eastAsia="Arial" w:hAnsi="Arial"/>
          <w:sz w:val="16"/>
          <w:szCs w:val="16"/>
          <w:i w:val="1"/>
          <w:iCs w:val="1"/>
          <w:color w:val="auto"/>
        </w:rPr>
        <w:t xml:space="preserve"> </w:t>
      </w:r>
      <w:r>
        <w:rPr>
          <w:rFonts w:ascii="Arial" w:cs="Arial" w:eastAsia="Arial" w:hAnsi="Arial"/>
          <w:sz w:val="16"/>
          <w:szCs w:val="16"/>
          <w:color w:val="auto"/>
        </w:rPr>
        <w:t>the subordinated notes (“CLO Notes”) issued by Saratoga CLO and the Company’s rights under the CLO Management Agreement (as defined below).</w:t>
      </w:r>
    </w:p>
    <w:p>
      <w:pPr>
        <w:spacing w:after="0" w:line="124" w:lineRule="exact"/>
        <w:rPr>
          <w:sz w:val="20"/>
          <w:szCs w:val="20"/>
          <w:color w:val="auto"/>
        </w:rPr>
      </w:pPr>
    </w:p>
    <w:p>
      <w:pPr>
        <w:jc w:val="both"/>
        <w:ind w:right="240" w:firstLine="456"/>
        <w:spacing w:after="0" w:line="288" w:lineRule="auto"/>
        <w:rPr>
          <w:sz w:val="20"/>
          <w:szCs w:val="20"/>
          <w:color w:val="auto"/>
        </w:rPr>
      </w:pPr>
      <w:r>
        <w:rPr>
          <w:rFonts w:ascii="Arial" w:cs="Arial" w:eastAsia="Arial" w:hAnsi="Arial"/>
          <w:sz w:val="16"/>
          <w:szCs w:val="16"/>
          <w:i w:val="1"/>
          <w:iCs w:val="1"/>
          <w:color w:val="auto"/>
        </w:rPr>
        <w:t xml:space="preserve">Interest Rate and Fees. </w:t>
      </w:r>
      <w:r>
        <w:rPr>
          <w:rFonts w:ascii="Arial" w:cs="Arial" w:eastAsia="Arial" w:hAnsi="Arial"/>
          <w:sz w:val="16"/>
          <w:szCs w:val="16"/>
          <w:color w:val="auto"/>
        </w:rPr>
        <w:t>Under the Credit Facility, funds are borrowed from or through certain lenders at the greater of the prevailing LIBOR rate and</w:t>
      </w:r>
      <w:r>
        <w:rPr>
          <w:rFonts w:ascii="Arial" w:cs="Arial" w:eastAsia="Arial" w:hAnsi="Arial"/>
          <w:sz w:val="16"/>
          <w:szCs w:val="16"/>
          <w:i w:val="1"/>
          <w:iCs w:val="1"/>
          <w:color w:val="auto"/>
        </w:rPr>
        <w:t xml:space="preserve"> </w:t>
      </w:r>
      <w:r>
        <w:rPr>
          <w:rFonts w:ascii="Arial" w:cs="Arial" w:eastAsia="Arial" w:hAnsi="Arial"/>
          <w:sz w:val="16"/>
          <w:szCs w:val="16"/>
          <w:color w:val="auto"/>
        </w:rPr>
        <w:t>2.00%, plus an applicable margin of 5.50%. At the Company’s option, funds may be borrowed based on an alternative base rate, which in no event will be less than 3.00%, and the applicable margin over such alternative base rate is 4.50%. In addition, the Company pays the lenders a commitment fee of</w:t>
      </w:r>
    </w:p>
    <w:p>
      <w:pPr>
        <w:ind w:right="160"/>
        <w:spacing w:after="0" w:line="323" w:lineRule="auto"/>
        <w:rPr>
          <w:sz w:val="20"/>
          <w:szCs w:val="20"/>
          <w:color w:val="auto"/>
        </w:rPr>
      </w:pPr>
      <w:r>
        <w:rPr>
          <w:rFonts w:ascii="Arial" w:cs="Arial" w:eastAsia="Arial" w:hAnsi="Arial"/>
          <w:sz w:val="16"/>
          <w:szCs w:val="16"/>
          <w:color w:val="auto"/>
        </w:rPr>
        <w:t>0.75% per year on the unused amount of the Credit Facility for the duration of the Revolving Period (defined below). Accrued interest and commitment fees are payable monthly. The Company was also obligated to pay certain other fees to the lenders in connection with the closing of the Credit Facility.</w:t>
      </w:r>
    </w:p>
    <w:p>
      <w:pPr>
        <w:spacing w:after="0" w:line="139"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i w:val="1"/>
          <w:iCs w:val="1"/>
          <w:color w:val="auto"/>
        </w:rPr>
        <w:t xml:space="preserve">Revolving Period and Maturity Date. </w:t>
      </w:r>
      <w:r>
        <w:rPr>
          <w:rFonts w:ascii="Arial" w:cs="Arial" w:eastAsia="Arial" w:hAnsi="Arial"/>
          <w:sz w:val="18"/>
          <w:szCs w:val="18"/>
          <w:color w:val="auto"/>
        </w:rPr>
        <w:t>The Company may make and repay borrowings under the Credit Facility for a period of three years following the</w:t>
      </w:r>
      <w:r>
        <w:rPr>
          <w:rFonts w:ascii="Arial" w:cs="Arial" w:eastAsia="Arial" w:hAnsi="Arial"/>
          <w:sz w:val="18"/>
          <w:szCs w:val="18"/>
          <w:i w:val="1"/>
          <w:iCs w:val="1"/>
          <w:color w:val="auto"/>
        </w:rPr>
        <w:t xml:space="preserve"> </w:t>
      </w:r>
      <w:r>
        <w:rPr>
          <w:rFonts w:ascii="Arial" w:cs="Arial" w:eastAsia="Arial" w:hAnsi="Arial"/>
          <w:sz w:val="18"/>
          <w:szCs w:val="18"/>
          <w:color w:val="auto"/>
        </w:rPr>
        <w:t>closing of the Credit Facility (the “Revolving Period”). The Revolving Period may be terminated at an earlier time by the Company or, upon the occurrence of an event of default, by action of the lenders or automatically. All borrowings and other amounts payable under the Credit Facility are due and payable in full five years after the end of the Revolving Period.</w:t>
      </w:r>
    </w:p>
    <w:p>
      <w:pPr>
        <w:spacing w:after="0" w:line="187" w:lineRule="exact"/>
        <w:rPr>
          <w:sz w:val="20"/>
          <w:szCs w:val="20"/>
          <w:color w:val="auto"/>
        </w:rPr>
      </w:pPr>
    </w:p>
    <w:p>
      <w:pPr>
        <w:jc w:val="both"/>
        <w:ind w:right="180" w:firstLine="456"/>
        <w:spacing w:after="0" w:line="312" w:lineRule="auto"/>
        <w:rPr>
          <w:sz w:val="20"/>
          <w:szCs w:val="20"/>
          <w:color w:val="auto"/>
        </w:rPr>
      </w:pPr>
      <w:r>
        <w:rPr>
          <w:rFonts w:ascii="Arial" w:cs="Arial" w:eastAsia="Arial" w:hAnsi="Arial"/>
          <w:sz w:val="16"/>
          <w:szCs w:val="16"/>
          <w:i w:val="1"/>
          <w:iCs w:val="1"/>
          <w:color w:val="auto"/>
        </w:rPr>
        <w:t xml:space="preserve">Collateral Tests. </w:t>
      </w:r>
      <w:r>
        <w:rPr>
          <w:rFonts w:ascii="Arial" w:cs="Arial" w:eastAsia="Arial" w:hAnsi="Arial"/>
          <w:sz w:val="16"/>
          <w:szCs w:val="16"/>
          <w:color w:val="auto"/>
        </w:rPr>
        <w:t>It is a condition precedent to any borrowing under the Credit Facility that the principal amount outstanding under the Credit Facility,</w:t>
      </w:r>
      <w:r>
        <w:rPr>
          <w:rFonts w:ascii="Arial" w:cs="Arial" w:eastAsia="Arial" w:hAnsi="Arial"/>
          <w:sz w:val="16"/>
          <w:szCs w:val="16"/>
          <w:i w:val="1"/>
          <w:iCs w:val="1"/>
          <w:color w:val="auto"/>
        </w:rPr>
        <w:t xml:space="preserve"> </w:t>
      </w:r>
      <w:r>
        <w:rPr>
          <w:rFonts w:ascii="Arial" w:cs="Arial" w:eastAsia="Arial" w:hAnsi="Arial"/>
          <w:sz w:val="16"/>
          <w:szCs w:val="16"/>
          <w:color w:val="auto"/>
        </w:rPr>
        <w:t>after giving effect to the proposed borrowings, not exceed the lesser of the Borrowing Base or the Facility Amount (the “Borrowing Base Test”). In addition to satisfying the Borrowing Base Test, the following tests must also be satisfied (together with Borrowing Base Test, the “Collateral Tests”):</w:t>
      </w:r>
    </w:p>
    <w:p>
      <w:pPr>
        <w:spacing w:after="0" w:line="52" w:lineRule="exact"/>
        <w:rPr>
          <w:sz w:val="20"/>
          <w:szCs w:val="20"/>
          <w:color w:val="auto"/>
        </w:rPr>
      </w:pPr>
    </w:p>
    <w:p>
      <w:pPr>
        <w:ind w:left="900" w:right="200" w:hanging="446"/>
        <w:spacing w:after="0" w:line="264"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i w:val="1"/>
          <w:iCs w:val="1"/>
          <w:color w:val="auto"/>
        </w:rPr>
        <w:t xml:space="preserve">Interest Coverage Ratio. </w:t>
      </w:r>
      <w:r>
        <w:rPr>
          <w:rFonts w:ascii="Arial" w:cs="Arial" w:eastAsia="Arial" w:hAnsi="Arial"/>
          <w:sz w:val="18"/>
          <w:szCs w:val="18"/>
          <w:color w:val="auto"/>
        </w:rPr>
        <w:t>The ratio (expressed as a percentage) of interest collections with respect to pledged loan assets, less certain fees and</w:t>
      </w:r>
      <w:r>
        <w:rPr>
          <w:rFonts w:ascii="Arial" w:cs="Arial" w:eastAsia="Arial" w:hAnsi="Arial"/>
          <w:sz w:val="18"/>
          <w:szCs w:val="18"/>
          <w:i w:val="1"/>
          <w:iCs w:val="1"/>
          <w:color w:val="auto"/>
        </w:rPr>
        <w:t xml:space="preserve"> </w:t>
      </w:r>
      <w:r>
        <w:rPr>
          <w:rFonts w:ascii="Arial" w:cs="Arial" w:eastAsia="Arial" w:hAnsi="Arial"/>
          <w:sz w:val="18"/>
          <w:szCs w:val="18"/>
          <w:color w:val="auto"/>
        </w:rPr>
        <w:t>expenses relating to the Credit Facility, to accrued interest and commitment fees and any breakage costs payable to the lenders under the Credit Facility for the last 6 payment periods must equal at least 175.0%.</w:t>
      </w:r>
    </w:p>
    <w:p>
      <w:pPr>
        <w:spacing w:after="0" w:line="86" w:lineRule="exact"/>
        <w:rPr>
          <w:rFonts w:ascii="Arial" w:cs="Arial" w:eastAsia="Arial" w:hAnsi="Arial"/>
          <w:sz w:val="18"/>
          <w:szCs w:val="18"/>
          <w:color w:val="auto"/>
        </w:rPr>
      </w:pPr>
    </w:p>
    <w:p>
      <w:pPr>
        <w:ind w:left="900" w:right="220" w:hanging="446"/>
        <w:spacing w:after="0" w:line="286" w:lineRule="auto"/>
        <w:tabs>
          <w:tab w:leader="none" w:pos="900" w:val="left"/>
        </w:tabs>
        <w:numPr>
          <w:ilvl w:val="0"/>
          <w:numId w:val="29"/>
        </w:numPr>
        <w:rPr>
          <w:rFonts w:ascii="Arial" w:cs="Arial" w:eastAsia="Arial" w:hAnsi="Arial"/>
          <w:sz w:val="17"/>
          <w:szCs w:val="17"/>
          <w:color w:val="auto"/>
        </w:rPr>
      </w:pPr>
      <w:r>
        <w:rPr>
          <w:rFonts w:ascii="Arial" w:cs="Arial" w:eastAsia="Arial" w:hAnsi="Arial"/>
          <w:sz w:val="17"/>
          <w:szCs w:val="17"/>
          <w:i w:val="1"/>
          <w:iCs w:val="1"/>
          <w:color w:val="auto"/>
        </w:rPr>
        <w:t xml:space="preserve">Overcollateralization Ratio. </w:t>
      </w:r>
      <w:r>
        <w:rPr>
          <w:rFonts w:ascii="Arial" w:cs="Arial" w:eastAsia="Arial" w:hAnsi="Arial"/>
          <w:sz w:val="17"/>
          <w:szCs w:val="17"/>
          <w:color w:val="auto"/>
        </w:rPr>
        <w:t>The ratio (expressed as a percentage) of the aggregate Adjusted Borrowing Value of “eligible” pledged loan assets</w:t>
      </w:r>
      <w:r>
        <w:rPr>
          <w:rFonts w:ascii="Arial" w:cs="Arial" w:eastAsia="Arial" w:hAnsi="Arial"/>
          <w:sz w:val="17"/>
          <w:szCs w:val="17"/>
          <w:i w:val="1"/>
          <w:iCs w:val="1"/>
          <w:color w:val="auto"/>
        </w:rPr>
        <w:t xml:space="preserve"> </w:t>
      </w:r>
      <w:r>
        <w:rPr>
          <w:rFonts w:ascii="Arial" w:cs="Arial" w:eastAsia="Arial" w:hAnsi="Arial"/>
          <w:sz w:val="17"/>
          <w:szCs w:val="17"/>
          <w:color w:val="auto"/>
        </w:rPr>
        <w:t>plus the fair value of certain ineligible pledged loan assets and the CLO Notes (in each case, subject to certain adjustments) to outstanding borrowings under the Credit Facility plus the Unfunded Exposure Amount must equal at least 200.0%.</w:t>
      </w:r>
    </w:p>
    <w:p>
      <w:pPr>
        <w:spacing w:after="0" w:line="70" w:lineRule="exact"/>
        <w:rPr>
          <w:rFonts w:ascii="Arial" w:cs="Arial" w:eastAsia="Arial" w:hAnsi="Arial"/>
          <w:sz w:val="17"/>
          <w:szCs w:val="17"/>
          <w:color w:val="auto"/>
        </w:rPr>
      </w:pPr>
    </w:p>
    <w:p>
      <w:pPr>
        <w:ind w:left="900" w:right="340" w:hanging="446"/>
        <w:spacing w:after="0" w:line="286" w:lineRule="auto"/>
        <w:tabs>
          <w:tab w:leader="none" w:pos="900" w:val="left"/>
        </w:tabs>
        <w:numPr>
          <w:ilvl w:val="0"/>
          <w:numId w:val="29"/>
        </w:numPr>
        <w:rPr>
          <w:rFonts w:ascii="Arial" w:cs="Arial" w:eastAsia="Arial" w:hAnsi="Arial"/>
          <w:sz w:val="17"/>
          <w:szCs w:val="17"/>
          <w:color w:val="auto"/>
        </w:rPr>
      </w:pPr>
      <w:r>
        <w:rPr>
          <w:rFonts w:ascii="Arial" w:cs="Arial" w:eastAsia="Arial" w:hAnsi="Arial"/>
          <w:sz w:val="17"/>
          <w:szCs w:val="17"/>
          <w:i w:val="1"/>
          <w:iCs w:val="1"/>
          <w:color w:val="auto"/>
        </w:rPr>
        <w:t xml:space="preserve">Weighted Average FMV Test. </w:t>
      </w:r>
      <w:r>
        <w:rPr>
          <w:rFonts w:ascii="Arial" w:cs="Arial" w:eastAsia="Arial" w:hAnsi="Arial"/>
          <w:sz w:val="17"/>
          <w:szCs w:val="17"/>
          <w:color w:val="auto"/>
        </w:rPr>
        <w:t>The aggregate adjusted or weighted value of “eligible” pledged loan assets as a percentage of the aggregate</w:t>
      </w:r>
      <w:r>
        <w:rPr>
          <w:rFonts w:ascii="Arial" w:cs="Arial" w:eastAsia="Arial" w:hAnsi="Arial"/>
          <w:sz w:val="17"/>
          <w:szCs w:val="17"/>
          <w:i w:val="1"/>
          <w:iCs w:val="1"/>
          <w:color w:val="auto"/>
        </w:rPr>
        <w:t xml:space="preserve"> </w:t>
      </w:r>
      <w:r>
        <w:rPr>
          <w:rFonts w:ascii="Arial" w:cs="Arial" w:eastAsia="Arial" w:hAnsi="Arial"/>
          <w:sz w:val="17"/>
          <w:szCs w:val="17"/>
          <w:color w:val="auto"/>
        </w:rPr>
        <w:t>outstanding principal balance of “eligible” pledged loan assets must be equal to or greater than 72.0% and 80.0% during the one-year periods prior to the first and second anniversary of the closing date, respectively, and 85.0% at all times thereafter.</w:t>
      </w:r>
    </w:p>
    <w:p>
      <w:pPr>
        <w:spacing w:after="0" w:line="166" w:lineRule="exact"/>
        <w:rPr>
          <w:sz w:val="20"/>
          <w:szCs w:val="20"/>
          <w:color w:val="auto"/>
        </w:rPr>
      </w:pPr>
    </w:p>
    <w:p>
      <w:pPr>
        <w:ind w:right="20" w:firstLine="456"/>
        <w:spacing w:after="0" w:line="302" w:lineRule="auto"/>
        <w:rPr>
          <w:sz w:val="20"/>
          <w:szCs w:val="20"/>
          <w:color w:val="auto"/>
        </w:rPr>
      </w:pPr>
      <w:r>
        <w:rPr>
          <w:rFonts w:ascii="Arial" w:cs="Arial" w:eastAsia="Arial" w:hAnsi="Arial"/>
          <w:sz w:val="16"/>
          <w:szCs w:val="16"/>
          <w:color w:val="auto"/>
        </w:rPr>
        <w:t>The Credit Facility also requires payment of outstanding borrowings or replacement of pledged loan assets upon the Company’s breach of its representation and warranty that pledged loan assets included in the Borrowing Base are “eligible” loan assets. Such payments or replacements must equal the lower of the amount by which the Borrowing Base is overstated as a result of such breach or any deficiency under the Collateral Tests at the time of repayment or replacement. Compliance with the Collateral Tests is also a condition to the discretionary sale of pledged loan assets by the Company.</w:t>
      </w:r>
    </w:p>
    <w:p>
      <w:pPr>
        <w:spacing w:after="0" w:line="154" w:lineRule="exact"/>
        <w:rPr>
          <w:sz w:val="20"/>
          <w:szCs w:val="20"/>
          <w:color w:val="auto"/>
        </w:rPr>
      </w:pPr>
    </w:p>
    <w:p>
      <w:pPr>
        <w:ind w:right="80" w:firstLine="456"/>
        <w:spacing w:after="0" w:line="273" w:lineRule="auto"/>
        <w:rPr>
          <w:sz w:val="20"/>
          <w:szCs w:val="20"/>
          <w:color w:val="auto"/>
        </w:rPr>
      </w:pPr>
      <w:r>
        <w:rPr>
          <w:rFonts w:ascii="Arial" w:cs="Arial" w:eastAsia="Arial" w:hAnsi="Arial"/>
          <w:sz w:val="17"/>
          <w:szCs w:val="17"/>
          <w:i w:val="1"/>
          <w:iCs w:val="1"/>
          <w:color w:val="auto"/>
        </w:rPr>
        <w:t xml:space="preserve">Priority of Payments. </w:t>
      </w:r>
      <w:r>
        <w:rPr>
          <w:rFonts w:ascii="Arial" w:cs="Arial" w:eastAsia="Arial" w:hAnsi="Arial"/>
          <w:sz w:val="17"/>
          <w:szCs w:val="17"/>
          <w:color w:val="auto"/>
        </w:rPr>
        <w:t>During the Revolving Period, the priority of payments provisions of the Credit Facility require, after payment of specified fees</w:t>
      </w:r>
      <w:r>
        <w:rPr>
          <w:rFonts w:ascii="Arial" w:cs="Arial" w:eastAsia="Arial" w:hAnsi="Arial"/>
          <w:sz w:val="17"/>
          <w:szCs w:val="17"/>
          <w:i w:val="1"/>
          <w:iCs w:val="1"/>
          <w:color w:val="auto"/>
        </w:rPr>
        <w:t xml:space="preserve"> </w:t>
      </w:r>
      <w:r>
        <w:rPr>
          <w:rFonts w:ascii="Arial" w:cs="Arial" w:eastAsia="Arial" w:hAnsi="Arial"/>
          <w:sz w:val="17"/>
          <w:szCs w:val="17"/>
          <w:color w:val="auto"/>
        </w:rPr>
        <w:t>and expenses and any necessary funding of the Unfunded Exposure Account, that collections of principal from the loan assets and, to the extent that these are insufficient, collections of interest from the loan assets, be applied on each payment date to payment of outstanding borrowings if the Borrowing Base Test, the Overcollateralization Ratio and the Interest Coverage Ratio would not otherwise be met. Similarly, following termination of the Revolving Period, collections of interest are required to be applied, after payment of certain fees and expenses, to cure any deficiencies in the Borrowing Base Test, the Interest Coverage Ratio and the Overcollateralization Ratio as of the relevant payment date.</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459"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i w:val="1"/>
          <w:iCs w:val="1"/>
          <w:color w:val="auto"/>
        </w:rPr>
        <w:t xml:space="preserve">Reserve Account. </w:t>
      </w:r>
      <w:r>
        <w:rPr>
          <w:rFonts w:ascii="Arial" w:cs="Arial" w:eastAsia="Arial" w:hAnsi="Arial"/>
          <w:sz w:val="17"/>
          <w:szCs w:val="17"/>
          <w:color w:val="auto"/>
        </w:rPr>
        <w:t>The Credit Facility requires the Company to set aside an amount equal to the sum of accrued interest, commitment fees and</w:t>
      </w:r>
      <w:r>
        <w:rPr>
          <w:rFonts w:ascii="Arial" w:cs="Arial" w:eastAsia="Arial" w:hAnsi="Arial"/>
          <w:sz w:val="17"/>
          <w:szCs w:val="17"/>
          <w:i w:val="1"/>
          <w:iCs w:val="1"/>
          <w:color w:val="auto"/>
        </w:rPr>
        <w:t xml:space="preserve"> </w:t>
      </w:r>
      <w:r>
        <w:rPr>
          <w:rFonts w:ascii="Arial" w:cs="Arial" w:eastAsia="Arial" w:hAnsi="Arial"/>
          <w:sz w:val="17"/>
          <w:szCs w:val="17"/>
          <w:color w:val="auto"/>
        </w:rPr>
        <w:t>administrative agent fees due and payable on the next succeeding three payment dates (or corresponding to three payment periods). If for any monthly period during which fees and other payments accrue, the aggregate Adjusted Borrowing Value of “eligible” pledged loan assets which do not pay cash interest at least quarterly exceeds 15.0% of the aggregate Adjusted Borrowing Value of “eligible” pledged loan assets, the Company is required to set aside such interest and fees due and payable on the next succeeding six payment dates. Amounts in the reserve account can be applied solely to the payment of administrative agent fees, commitment fees, accrued and unpaid interest and any breakage costs payable to the lenders.</w:t>
      </w:r>
    </w:p>
    <w:p>
      <w:pPr>
        <w:spacing w:after="0" w:line="178" w:lineRule="exact"/>
        <w:rPr>
          <w:sz w:val="20"/>
          <w:szCs w:val="20"/>
          <w:color w:val="auto"/>
        </w:rPr>
      </w:pPr>
    </w:p>
    <w:p>
      <w:pPr>
        <w:ind w:right="160" w:firstLine="456"/>
        <w:spacing w:after="0" w:line="276" w:lineRule="auto"/>
        <w:rPr>
          <w:sz w:val="20"/>
          <w:szCs w:val="20"/>
          <w:color w:val="auto"/>
        </w:rPr>
      </w:pPr>
      <w:r>
        <w:rPr>
          <w:rFonts w:ascii="Arial" w:cs="Arial" w:eastAsia="Arial" w:hAnsi="Arial"/>
          <w:sz w:val="17"/>
          <w:szCs w:val="17"/>
          <w:i w:val="1"/>
          <w:iCs w:val="1"/>
          <w:color w:val="auto"/>
        </w:rPr>
        <w:t xml:space="preserve">Unfunded Exposure Account. </w:t>
      </w:r>
      <w:r>
        <w:rPr>
          <w:rFonts w:ascii="Arial" w:cs="Arial" w:eastAsia="Arial" w:hAnsi="Arial"/>
          <w:sz w:val="17"/>
          <w:szCs w:val="17"/>
          <w:color w:val="auto"/>
        </w:rPr>
        <w:t>With respect to revolver or delayed draw loan assets, the Company is required to set aside in a designated account (the</w:t>
      </w:r>
      <w:r>
        <w:rPr>
          <w:rFonts w:ascii="Arial" w:cs="Arial" w:eastAsia="Arial" w:hAnsi="Arial"/>
          <w:sz w:val="17"/>
          <w:szCs w:val="17"/>
          <w:i w:val="1"/>
          <w:iCs w:val="1"/>
          <w:color w:val="auto"/>
        </w:rPr>
        <w:t xml:space="preserve"> </w:t>
      </w:r>
      <w:r>
        <w:rPr>
          <w:rFonts w:ascii="Arial" w:cs="Arial" w:eastAsia="Arial" w:hAnsi="Arial"/>
          <w:sz w:val="17"/>
          <w:szCs w:val="17"/>
          <w:color w:val="auto"/>
        </w:rPr>
        <w:t>“Unfunded Exposure Account”) 100.0% of its outstanding and undrawn funding commitments with respect to such loan assets. The Unfunded Exposure Account is funded at the time the Company acquires a revolver or delayed draw loan asset and requests a related borrowing under the Credit Facility. The Unfunded Exposure Account is funded through a combination of proceeds of the requested borrowing and other Company funds, and if for any reason such amounts are insufficient, through application of the priority of payment provisions described above.</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 xml:space="preserve">Operating Expenses. </w:t>
      </w:r>
      <w:r>
        <w:rPr>
          <w:rFonts w:ascii="Arial" w:cs="Arial" w:eastAsia="Arial" w:hAnsi="Arial"/>
          <w:sz w:val="16"/>
          <w:szCs w:val="16"/>
          <w:color w:val="auto"/>
        </w:rPr>
        <w:t>The priority of payments provision of the Credit Facility provides for the payment of certain operating expenses of the Company</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out of collections on principal and interest during the Revolving Period and out of collections on interest following the termination of the Revolving Period in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accordance with the priority established in such provision. The operating expenses payable pursuant to the priority of payment provisions is limited to</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$350,000 for each monthly payment date or $2.5 million for the immediately preceding period of twelve consecutive monthly payment dates. This ceiling can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be increased by the lesser of 5.0% or the percentage increase in the fair market value of all the Company’s assets only on the first monthly payment date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occur after each one-year anniversary following the closing of the Credit Facility. Upon the occurrence of a Manager Event (described below), the consent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administrative agent is required in order to pay operating expenses through the priority of payments provision.</w:t>
      </w:r>
    </w:p>
    <w:p>
      <w:pPr>
        <w:spacing w:after="0" w:line="211" w:lineRule="exact"/>
        <w:rPr>
          <w:sz w:val="20"/>
          <w:szCs w:val="20"/>
          <w:color w:val="auto"/>
        </w:rPr>
      </w:pPr>
    </w:p>
    <w:p>
      <w:pPr>
        <w:ind w:right="320" w:firstLine="456"/>
        <w:spacing w:after="0" w:line="279" w:lineRule="auto"/>
        <w:rPr>
          <w:sz w:val="20"/>
          <w:szCs w:val="20"/>
          <w:color w:val="auto"/>
        </w:rPr>
      </w:pPr>
      <w:r>
        <w:rPr>
          <w:rFonts w:ascii="Arial" w:cs="Arial" w:eastAsia="Arial" w:hAnsi="Arial"/>
          <w:sz w:val="17"/>
          <w:szCs w:val="17"/>
          <w:i w:val="1"/>
          <w:iCs w:val="1"/>
          <w:color w:val="auto"/>
        </w:rPr>
        <w:t xml:space="preserve">Events of Default. </w:t>
      </w:r>
      <w:r>
        <w:rPr>
          <w:rFonts w:ascii="Arial" w:cs="Arial" w:eastAsia="Arial" w:hAnsi="Arial"/>
          <w:sz w:val="17"/>
          <w:szCs w:val="17"/>
          <w:color w:val="auto"/>
        </w:rPr>
        <w:t>The Credit Facility contains certain negative covenants, customary representations and warranties and affirmative covenants and</w:t>
      </w:r>
      <w:r>
        <w:rPr>
          <w:rFonts w:ascii="Arial" w:cs="Arial" w:eastAsia="Arial" w:hAnsi="Arial"/>
          <w:sz w:val="17"/>
          <w:szCs w:val="17"/>
          <w:i w:val="1"/>
          <w:iCs w:val="1"/>
          <w:color w:val="auto"/>
        </w:rPr>
        <w:t xml:space="preserve"> </w:t>
      </w:r>
      <w:r>
        <w:rPr>
          <w:rFonts w:ascii="Arial" w:cs="Arial" w:eastAsia="Arial" w:hAnsi="Arial"/>
          <w:sz w:val="17"/>
          <w:szCs w:val="17"/>
          <w:color w:val="auto"/>
        </w:rPr>
        <w:t>events of default. The Credit Facility does not contain grace periods for breach by the Company of certain covenants, including, without limitation, preservation of existence, negative pledge, change of name or jurisdiction and separate legal entity status of the Company covenants and certain other customary covenants. Other events of default under the Credit Facility include, among other things, the following:</w:t>
      </w:r>
    </w:p>
    <w:p>
      <w:pPr>
        <w:spacing w:after="0" w:line="77" w:lineRule="exact"/>
        <w:rPr>
          <w:sz w:val="20"/>
          <w:szCs w:val="20"/>
          <w:color w:val="auto"/>
        </w:rPr>
      </w:pPr>
    </w:p>
    <w:p>
      <w:pPr>
        <w:ind w:left="900" w:hanging="446"/>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 Interest Coverage Ratio of less than 150.0%;</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 Overcollateralization Ratio of less than 175.0%;</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filing of certain ERISA or tax liens;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occurrence of certain “Manager Events” such as:</w:t>
      </w:r>
    </w:p>
    <w:p>
      <w:pPr>
        <w:spacing w:after="0" w:line="130" w:lineRule="exact"/>
        <w:rPr>
          <w:rFonts w:ascii="Arial" w:cs="Arial" w:eastAsia="Arial" w:hAnsi="Arial"/>
          <w:sz w:val="18"/>
          <w:szCs w:val="18"/>
          <w:color w:val="auto"/>
        </w:rPr>
      </w:pPr>
    </w:p>
    <w:p>
      <w:pPr>
        <w:ind w:left="1480" w:right="200" w:hanging="446"/>
        <w:spacing w:after="0" w:line="308" w:lineRule="auto"/>
        <w:tabs>
          <w:tab w:leader="none" w:pos="1480" w:val="left"/>
        </w:tabs>
        <w:numPr>
          <w:ilvl w:val="1"/>
          <w:numId w:val="30"/>
        </w:numPr>
        <w:rPr>
          <w:rFonts w:ascii="Arial" w:cs="Arial" w:eastAsia="Arial" w:hAnsi="Arial"/>
          <w:sz w:val="17"/>
          <w:szCs w:val="17"/>
          <w:color w:val="auto"/>
        </w:rPr>
      </w:pPr>
      <w:r>
        <w:rPr>
          <w:rFonts w:ascii="Arial" w:cs="Arial" w:eastAsia="Arial" w:hAnsi="Arial"/>
          <w:sz w:val="17"/>
          <w:szCs w:val="17"/>
          <w:color w:val="auto"/>
        </w:rPr>
        <w:t>failure by Saratoga Investment Advisors and its affiliates to maintain collectively, directly or indirectly, a cash equity investment in the Company in an amount equal to at least $5,000,000 at any time prior to the third anniversary of the closing date;</w:t>
      </w:r>
    </w:p>
    <w:p>
      <w:pPr>
        <w:spacing w:after="0" w:line="51" w:lineRule="exact"/>
        <w:rPr>
          <w:rFonts w:ascii="Arial" w:cs="Arial" w:eastAsia="Arial" w:hAnsi="Arial"/>
          <w:sz w:val="17"/>
          <w:szCs w:val="17"/>
          <w:color w:val="auto"/>
        </w:rPr>
      </w:pPr>
    </w:p>
    <w:p>
      <w:pPr>
        <w:ind w:left="1480" w:hanging="446"/>
        <w:spacing w:after="0"/>
        <w:tabs>
          <w:tab w:leader="none" w:pos="1480" w:val="left"/>
        </w:tabs>
        <w:numPr>
          <w:ilvl w:val="1"/>
          <w:numId w:val="30"/>
        </w:numPr>
        <w:rPr>
          <w:rFonts w:ascii="Arial" w:cs="Arial" w:eastAsia="Arial" w:hAnsi="Arial"/>
          <w:sz w:val="17"/>
          <w:szCs w:val="17"/>
          <w:color w:val="auto"/>
        </w:rPr>
      </w:pPr>
      <w:r>
        <w:rPr>
          <w:rFonts w:ascii="Arial" w:cs="Arial" w:eastAsia="Arial" w:hAnsi="Arial"/>
          <w:sz w:val="17"/>
          <w:szCs w:val="17"/>
          <w:color w:val="auto"/>
        </w:rPr>
        <w:t>failure of the Management Agreement between Saratoga Investment Advisors and the Company to be in full force and effect;</w:t>
      </w:r>
    </w:p>
    <w:p>
      <w:pPr>
        <w:spacing w:after="0" w:line="142" w:lineRule="exact"/>
        <w:rPr>
          <w:rFonts w:ascii="Arial" w:cs="Arial" w:eastAsia="Arial" w:hAnsi="Arial"/>
          <w:sz w:val="17"/>
          <w:szCs w:val="17"/>
          <w:color w:val="auto"/>
        </w:rPr>
      </w:pPr>
    </w:p>
    <w:p>
      <w:pPr>
        <w:ind w:left="1480" w:right="160" w:hanging="446"/>
        <w:spacing w:after="0" w:line="312" w:lineRule="auto"/>
        <w:tabs>
          <w:tab w:leader="none" w:pos="1480" w:val="left"/>
        </w:tabs>
        <w:numPr>
          <w:ilvl w:val="1"/>
          <w:numId w:val="30"/>
        </w:numPr>
        <w:rPr>
          <w:rFonts w:ascii="Arial" w:cs="Arial" w:eastAsia="Arial" w:hAnsi="Arial"/>
          <w:sz w:val="16"/>
          <w:szCs w:val="16"/>
          <w:color w:val="auto"/>
        </w:rPr>
      </w:pPr>
      <w:r>
        <w:rPr>
          <w:rFonts w:ascii="Arial" w:cs="Arial" w:eastAsia="Arial" w:hAnsi="Arial"/>
          <w:sz w:val="16"/>
          <w:szCs w:val="16"/>
          <w:color w:val="auto"/>
        </w:rPr>
        <w:t>indictment or conviction of Saratoga Investment Advisors or any “key person” for a felony offense, or any fraud, embezzlement or misappropriation of funds by Saratoga Investment Advisors or any “key person” and, in the case of “key persons,” without a reputable, experienced individual reasonably satisfactory to Madison Capital Funding appointed to replace such key person within 30 days;</w:t>
      </w:r>
    </w:p>
    <w:p>
      <w:pPr>
        <w:spacing w:after="0" w:line="52" w:lineRule="exact"/>
        <w:rPr>
          <w:rFonts w:ascii="Arial" w:cs="Arial" w:eastAsia="Arial" w:hAnsi="Arial"/>
          <w:sz w:val="16"/>
          <w:szCs w:val="16"/>
          <w:color w:val="auto"/>
        </w:rPr>
      </w:pPr>
    </w:p>
    <w:p>
      <w:pPr>
        <w:ind w:left="1480" w:right="40" w:hanging="446"/>
        <w:spacing w:after="0" w:line="264" w:lineRule="auto"/>
        <w:tabs>
          <w:tab w:leader="none" w:pos="1480" w:val="left"/>
        </w:tabs>
        <w:numPr>
          <w:ilvl w:val="1"/>
          <w:numId w:val="30"/>
        </w:numPr>
        <w:rPr>
          <w:rFonts w:ascii="Arial" w:cs="Arial" w:eastAsia="Arial" w:hAnsi="Arial"/>
          <w:sz w:val="18"/>
          <w:szCs w:val="18"/>
          <w:color w:val="auto"/>
        </w:rPr>
      </w:pPr>
      <w:r>
        <w:rPr>
          <w:rFonts w:ascii="Arial" w:cs="Arial" w:eastAsia="Arial" w:hAnsi="Arial"/>
          <w:sz w:val="18"/>
          <w:szCs w:val="18"/>
          <w:color w:val="auto"/>
        </w:rPr>
        <w:t>resignation, termination, disability or death of a “key person” or failure of any “key person” to provide active participation in Saratoga Investment Advisors’ daily activities, all without a reputable, experienced individual reasonably satisfactory to Madison Capital Funding appointed within 30 days; or</w:t>
      </w:r>
    </w:p>
    <w:p>
      <w:pPr>
        <w:spacing w:after="0" w:line="86" w:lineRule="exact"/>
        <w:rPr>
          <w:rFonts w:ascii="Arial" w:cs="Arial" w:eastAsia="Arial" w:hAnsi="Arial"/>
          <w:sz w:val="18"/>
          <w:szCs w:val="18"/>
          <w:color w:val="auto"/>
        </w:rPr>
      </w:pPr>
    </w:p>
    <w:p>
      <w:pPr>
        <w:ind w:left="1480" w:hanging="446"/>
        <w:spacing w:after="0" w:line="259" w:lineRule="auto"/>
        <w:tabs>
          <w:tab w:leader="none" w:pos="1480" w:val="left"/>
        </w:tabs>
        <w:numPr>
          <w:ilvl w:val="1"/>
          <w:numId w:val="30"/>
        </w:numPr>
        <w:rPr>
          <w:rFonts w:ascii="Arial" w:cs="Arial" w:eastAsia="Arial" w:hAnsi="Arial"/>
          <w:sz w:val="18"/>
          <w:szCs w:val="18"/>
          <w:color w:val="auto"/>
        </w:rPr>
      </w:pPr>
      <w:r>
        <w:rPr>
          <w:rFonts w:ascii="Arial" w:cs="Arial" w:eastAsia="Arial" w:hAnsi="Arial"/>
          <w:sz w:val="18"/>
          <w:szCs w:val="18"/>
          <w:color w:val="auto"/>
        </w:rPr>
        <w:t>occurrence of any event constituting “cause” under the Collateral Management Agreement between the Company and Saratoga CLO (the “CLO Management Agreement”), delivery of a notice under Section 12(c) of the CLO Management Agreement with respect to the removal of the Company as collateral manager or the Company ceases to act as collateral manager under the CLO Management Agreement.</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380"/>
          </w:cols>
          <w:pgMar w:left="240" w:top="459" w:right="27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i w:val="1"/>
          <w:iCs w:val="1"/>
          <w:color w:val="auto"/>
        </w:rPr>
        <w:t xml:space="preserve">Conditions to Acquisitions and Pledges of Loan Assets. </w:t>
      </w:r>
      <w:r>
        <w:rPr>
          <w:rFonts w:ascii="Arial" w:cs="Arial" w:eastAsia="Arial" w:hAnsi="Arial"/>
          <w:sz w:val="18"/>
          <w:szCs w:val="18"/>
          <w:color w:val="auto"/>
        </w:rPr>
        <w:t>The Credit Facility imposes certain additional conditions to the acquisition and pledge of</w:t>
      </w:r>
      <w:r>
        <w:rPr>
          <w:rFonts w:ascii="Arial" w:cs="Arial" w:eastAsia="Arial" w:hAnsi="Arial"/>
          <w:sz w:val="18"/>
          <w:szCs w:val="18"/>
          <w:i w:val="1"/>
          <w:iCs w:val="1"/>
          <w:color w:val="auto"/>
        </w:rPr>
        <w:t xml:space="preserve"> </w:t>
      </w:r>
      <w:r>
        <w:rPr>
          <w:rFonts w:ascii="Arial" w:cs="Arial" w:eastAsia="Arial" w:hAnsi="Arial"/>
          <w:sz w:val="18"/>
          <w:szCs w:val="18"/>
          <w:color w:val="auto"/>
        </w:rPr>
        <w:t>additional loan assets. Among other things, the Company may not acquire additional loan assets without the prior written consent of the administrative agent until such time that the administrative agent indicates in writing its satisfaction with Saratoga Investment Advisors’ policies, personnel and processes relating to the loan assets.</w:t>
      </w:r>
    </w:p>
    <w:p>
      <w:pPr>
        <w:spacing w:after="0" w:line="18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i w:val="1"/>
          <w:iCs w:val="1"/>
          <w:color w:val="auto"/>
        </w:rPr>
        <w:t xml:space="preserve">Fees and Expenses. </w:t>
      </w:r>
      <w:r>
        <w:rPr>
          <w:rFonts w:ascii="Arial" w:cs="Arial" w:eastAsia="Arial" w:hAnsi="Arial"/>
          <w:sz w:val="18"/>
          <w:szCs w:val="18"/>
          <w:color w:val="auto"/>
        </w:rPr>
        <w:t>The Company paid certain fees and reimbursed Madison Capital Funding for the aggregate amount of all documented, out-of-pocket costs and expenses, including the reasonable fees and expenses of lawyers, incurred by Madison Capital Funding in connection with the Credit Facility and the carrying out of any and all acts contemplated thereunder up to and as of the date of closing of the stock purchase transaction with Saratoga Investment Advisors and certain of its affiliates. These amounts totaled $2.0 million.</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 February 24, 2012, we amended our senior secured revolving credit facility with Madison Capital Funding LLC to, among other things:</w:t>
      </w:r>
    </w:p>
    <w:p>
      <w:pPr>
        <w:spacing w:after="0" w:line="131" w:lineRule="exact"/>
        <w:rPr>
          <w:sz w:val="20"/>
          <w:szCs w:val="20"/>
          <w:color w:val="auto"/>
        </w:rPr>
      </w:pPr>
    </w:p>
    <w:p>
      <w:pPr>
        <w:ind w:left="900" w:hanging="446"/>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expand the borrowing capacity under the Credit Facility from $40.0 million to $45.0 million;</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extend the Revolving Period from July 30, 2013 to February 24, 2015;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remove the condition that we may not acquire additional loan assets without the prior written consent of the administrative agent.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On September 17, 2014, we entered into a second amendment to the Credit Facility with Madison Capital Funding LLC to, among other things:</w:t>
      </w:r>
    </w:p>
    <w:p>
      <w:pPr>
        <w:spacing w:after="0" w:line="142" w:lineRule="exact"/>
        <w:rPr>
          <w:sz w:val="20"/>
          <w:szCs w:val="20"/>
          <w:color w:val="auto"/>
        </w:rPr>
      </w:pPr>
    </w:p>
    <w:p>
      <w:pPr>
        <w:ind w:left="900" w:hanging="446"/>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extend the commitment termination date from February 24, 2015 to September 17, 2017;</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extend the maturity date of the Credit Facility from February 24, 2020 to September 17, 2022 (unless terminated sooner upon certain events);</w:t>
      </w:r>
    </w:p>
    <w:p>
      <w:pPr>
        <w:spacing w:after="0" w:line="153" w:lineRule="exact"/>
        <w:rPr>
          <w:rFonts w:ascii="Arial" w:cs="Arial" w:eastAsia="Arial" w:hAnsi="Arial"/>
          <w:sz w:val="16"/>
          <w:szCs w:val="16"/>
          <w:color w:val="auto"/>
        </w:rPr>
      </w:pPr>
    </w:p>
    <w:p>
      <w:pPr>
        <w:ind w:left="900" w:hanging="446"/>
        <w:spacing w:after="0"/>
        <w:tabs>
          <w:tab w:leader="none" w:pos="900" w:val="left"/>
        </w:tabs>
        <w:numPr>
          <w:ilvl w:val="0"/>
          <w:numId w:val="32"/>
        </w:numPr>
        <w:rPr>
          <w:rFonts w:ascii="Arial" w:cs="Arial" w:eastAsia="Arial" w:hAnsi="Arial"/>
          <w:sz w:val="17"/>
          <w:szCs w:val="17"/>
          <w:color w:val="auto"/>
        </w:rPr>
      </w:pPr>
      <w:r>
        <w:rPr>
          <w:rFonts w:ascii="Arial" w:cs="Arial" w:eastAsia="Arial" w:hAnsi="Arial"/>
          <w:sz w:val="17"/>
          <w:szCs w:val="17"/>
          <w:color w:val="auto"/>
        </w:rPr>
        <w:t>reduce the applicable margin rate on base rate borrowings from 4.50% to 3.75%, and on LIBOR borrowings from 5.50% to 4.75%; and</w:t>
      </w:r>
    </w:p>
    <w:p>
      <w:pPr>
        <w:spacing w:after="0" w:line="142" w:lineRule="exact"/>
        <w:rPr>
          <w:rFonts w:ascii="Arial" w:cs="Arial" w:eastAsia="Arial" w:hAnsi="Arial"/>
          <w:sz w:val="17"/>
          <w:szCs w:val="17"/>
          <w:color w:val="auto"/>
        </w:rPr>
      </w:pPr>
    </w:p>
    <w:p>
      <w:pPr>
        <w:ind w:left="900" w:hanging="446"/>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reduce the floor on base rate borrowings from 3.00% to 2.25%; and on LIBOR borrowings from 2.00% to 1.25%.</w:t>
      </w:r>
    </w:p>
    <w:p>
      <w:pPr>
        <w:spacing w:after="0" w:line="225" w:lineRule="exact"/>
        <w:rPr>
          <w:sz w:val="20"/>
          <w:szCs w:val="20"/>
          <w:color w:val="auto"/>
        </w:rPr>
      </w:pPr>
    </w:p>
    <w:p>
      <w:pPr>
        <w:ind w:right="380" w:firstLine="456"/>
        <w:spacing w:after="0" w:line="259" w:lineRule="auto"/>
        <w:rPr>
          <w:sz w:val="20"/>
          <w:szCs w:val="20"/>
          <w:color w:val="auto"/>
        </w:rPr>
      </w:pPr>
      <w:r>
        <w:rPr>
          <w:rFonts w:ascii="Arial" w:cs="Arial" w:eastAsia="Arial" w:hAnsi="Arial"/>
          <w:sz w:val="18"/>
          <w:szCs w:val="18"/>
          <w:color w:val="auto"/>
        </w:rPr>
        <w:t>As of November 30, 2015, we had no outstanding borrowings under the Credit Facility and $79.0 million SBA-guaranteed debentures outstanding (which are discussed below). As of February 28, 2015, we had $9.6 million outstanding under the Credit Facility and $79.0 million SBA-guaranteed debentures outstanding. Our borrowing base under the Credit Facility at November 30, 2015 and February 28, 2015 was $35.3 million and $36.3 million, respectively.</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asset coverage ratio, as defined in the 1940 Act, was 307.4% as of November 30, 2015 and 311.7% as of February 28, 2015.</w:t>
      </w:r>
    </w:p>
    <w:p>
      <w:pPr>
        <w:spacing w:after="0" w:line="33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SBA-guaranteed debentures</w:t>
      </w:r>
    </w:p>
    <w:p>
      <w:pPr>
        <w:spacing w:after="0" w:line="117" w:lineRule="exact"/>
        <w:rPr>
          <w:sz w:val="20"/>
          <w:szCs w:val="20"/>
          <w:color w:val="auto"/>
        </w:rPr>
      </w:pPr>
    </w:p>
    <w:p>
      <w:pPr>
        <w:ind w:right="80" w:firstLine="456"/>
        <w:spacing w:after="0" w:line="279" w:lineRule="auto"/>
        <w:rPr>
          <w:sz w:val="20"/>
          <w:szCs w:val="20"/>
          <w:color w:val="auto"/>
        </w:rPr>
      </w:pPr>
      <w:r>
        <w:rPr>
          <w:rFonts w:ascii="Arial" w:cs="Arial" w:eastAsia="Arial" w:hAnsi="Arial"/>
          <w:sz w:val="17"/>
          <w:szCs w:val="17"/>
          <w:color w:val="auto"/>
        </w:rPr>
        <w:t>In addition, we, through a wholly-owned subsidiary, sought and obtained a license from the SBA to operate an SBIC. In this regard, on March 28, 2012, our wholly-owned subsidiary, Saratoga Investment Corp. SBIC, LP, received a license from the SBA to operate as an SBIC under Section 301(c) of the Small Business Investment Act of 1958. SBICs are designated to stimulate the flow of private equity capital to eligible small businesses. Under SBA regulations, SBICs may make loans to eligible small businesses and invest in the equity securities of small businesses.</w:t>
      </w:r>
    </w:p>
    <w:p>
      <w:pPr>
        <w:spacing w:after="0" w:line="171"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The SBIC license allows our SBIC subsidiary to obtain leverage by issuing SBA-guaranteed debentures. SBA-guaranteed debentures are non-recourse, interest only debentures with interest payable semi-annually and have a ten year maturity. The principal amount of SBA-guaranteed debentures is not required to be paid prior to maturity but may be prepaid at any time without penalty. The interest rate of SBA-guaranteed debentures is fixed on a semi-annual basis at a market-driven spread over U.S. Treasury Notes with 10-year maturities.</w:t>
      </w:r>
    </w:p>
    <w:p>
      <w:pPr>
        <w:spacing w:after="0" w:line="187" w:lineRule="exact"/>
        <w:rPr>
          <w:sz w:val="20"/>
          <w:szCs w:val="20"/>
          <w:color w:val="auto"/>
        </w:rPr>
      </w:pPr>
    </w:p>
    <w:p>
      <w:pPr>
        <w:ind w:right="360" w:firstLine="456"/>
        <w:spacing w:after="0" w:line="286" w:lineRule="auto"/>
        <w:rPr>
          <w:sz w:val="20"/>
          <w:szCs w:val="20"/>
          <w:color w:val="auto"/>
        </w:rPr>
      </w:pPr>
      <w:r>
        <w:rPr>
          <w:rFonts w:ascii="Arial" w:cs="Arial" w:eastAsia="Arial" w:hAnsi="Arial"/>
          <w:sz w:val="17"/>
          <w:szCs w:val="17"/>
          <w:color w:val="auto"/>
        </w:rPr>
        <w:t>SBA regulations currently limit the amount that our SBIC subsidiary may borrow to a maximum of $150 million when it has at least $75 million in regulatory capital, receives a capital commitment from the SBA and has been through an examination by the SBA subsequent to licensing. As of November 30, 2015, our SBIC subsidiary had $59.3 million in regulatory capital and $79.0 million SBA-guaranteed debentures outstanding.</w:t>
      </w:r>
    </w:p>
    <w:p>
      <w:pPr>
        <w:spacing w:after="0" w:line="166" w:lineRule="exact"/>
        <w:rPr>
          <w:sz w:val="20"/>
          <w:szCs w:val="20"/>
          <w:color w:val="auto"/>
        </w:rPr>
      </w:pPr>
    </w:p>
    <w:p>
      <w:pPr>
        <w:ind w:right="60" w:firstLine="456"/>
        <w:spacing w:after="0" w:line="312" w:lineRule="auto"/>
        <w:rPr>
          <w:sz w:val="20"/>
          <w:szCs w:val="20"/>
          <w:color w:val="auto"/>
        </w:rPr>
      </w:pPr>
      <w:r>
        <w:rPr>
          <w:rFonts w:ascii="Arial" w:cs="Arial" w:eastAsia="Arial" w:hAnsi="Arial"/>
          <w:sz w:val="16"/>
          <w:szCs w:val="16"/>
          <w:color w:val="auto"/>
        </w:rPr>
        <w:t>We received exemptive relief from the Securities and Exchange Commission to permit us to exclude the debt of our SBIC subsidiary guaranteed by the SBA from the definition of senior securities in the 200% asset coverage test under the 1940 Act. This allows us increased flexibility under the 200% asset coverage test by permitting us to borrow up to $150 million more than we would otherwise be able to absent the receipt of this exemptive relief.</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459"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456"/>
        <w:spacing w:after="0" w:line="276" w:lineRule="auto"/>
        <w:rPr>
          <w:sz w:val="20"/>
          <w:szCs w:val="20"/>
          <w:color w:val="auto"/>
        </w:rPr>
      </w:pPr>
      <w:r>
        <w:rPr>
          <w:rFonts w:ascii="Arial" w:cs="Arial" w:eastAsia="Arial" w:hAnsi="Arial"/>
          <w:sz w:val="17"/>
          <w:szCs w:val="17"/>
          <w:color w:val="auto"/>
        </w:rPr>
        <w:t>On April 2, 2015, the SBA issued a “green light” or “go forth” letter inviting us to continue our application process to obtain a license to form and operate its second SBIC subsidiary. If approved, a second SBIC license would provide us an incremental source of long-term capital by permitting us to issue $75 million of additional SBA-guaranteed debentures in addition to the $150 million already approved under the first license. Receipt of a green light letter from the SBA does not assure an applicant that the SBA will ultimately issue an SBIC license and we have received no assurance or indication from the SBA that it will receive an SBIC license, or of the timeframe in which it would receive a license, should one be granted.</w:t>
      </w:r>
    </w:p>
    <w:p>
      <w:pPr>
        <w:spacing w:after="0" w:line="28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Unsecured notes</w:t>
      </w:r>
    </w:p>
    <w:p>
      <w:pPr>
        <w:spacing w:after="0" w:line="117"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In May 2013, we issued $48.3 million in aggregate principal amount of our 7.50% unsecured notes due 2020 for net proceeds of $46.1 million after deducting underwriting commissions of $1.9 million and offering costs of $0.3 million. The proceeds included the underwriters’ full exercise of their overallotment option. Interest on these notes is paid quarterly in arrears on February 15, May 15, August 15 and November 15, at a rate of 7.50% per year, beginning August 15, 2013. The notes mature on May 31, 2020 and may be redeemed in whole or in part at any time or from time to time at our option on or after May 31, 2016. In connection with the issuance of the notes, we agreed to the following covenants for the period of time during which the notes are outstanding:</w:t>
      </w:r>
    </w:p>
    <w:p>
      <w:pPr>
        <w:spacing w:after="0" w:line="99" w:lineRule="exact"/>
        <w:rPr>
          <w:sz w:val="20"/>
          <w:szCs w:val="20"/>
          <w:color w:val="auto"/>
        </w:rPr>
      </w:pPr>
    </w:p>
    <w:p>
      <w:pPr>
        <w:ind w:left="900" w:right="340" w:hanging="446"/>
        <w:spacing w:after="0" w:line="259"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 will not violate (whether or not we are subject to) Section 18(a)(1)(A) as modified by Section 61(a)(1) of the 1940 Act or any successor provisions, but giving effect to any exemptive relief granted to us by the SEC. Currently, these provisions generally prohibit us from making additional borrowings, including through the issuance of additional debt or the sale of additional debt securities, unless our asset coverage, as defined in the 1940 Act, equals at least 200% after such borrowings.</w:t>
      </w:r>
    </w:p>
    <w:p>
      <w:pPr>
        <w:spacing w:after="0" w:line="92" w:lineRule="exact"/>
        <w:rPr>
          <w:rFonts w:ascii="Arial" w:cs="Arial" w:eastAsia="Arial" w:hAnsi="Arial"/>
          <w:sz w:val="18"/>
          <w:szCs w:val="18"/>
          <w:color w:val="auto"/>
        </w:rPr>
      </w:pPr>
    </w:p>
    <w:p>
      <w:pPr>
        <w:ind w:left="900" w:hanging="446"/>
        <w:spacing w:after="0" w:line="271" w:lineRule="auto"/>
        <w:tabs>
          <w:tab w:leader="none" w:pos="900" w:val="left"/>
        </w:tabs>
        <w:numPr>
          <w:ilvl w:val="0"/>
          <w:numId w:val="33"/>
        </w:numPr>
        <w:rPr>
          <w:rFonts w:ascii="Arial" w:cs="Arial" w:eastAsia="Arial" w:hAnsi="Arial"/>
          <w:sz w:val="17"/>
          <w:szCs w:val="17"/>
          <w:color w:val="auto"/>
        </w:rPr>
      </w:pPr>
      <w:r>
        <w:rPr>
          <w:rFonts w:ascii="Arial" w:cs="Arial" w:eastAsia="Arial" w:hAnsi="Arial"/>
          <w:sz w:val="17"/>
          <w:szCs w:val="17"/>
          <w:color w:val="auto"/>
        </w:rPr>
        <w:t>we will not violate (regardless of whether we are subject to) Section 18(a)(1)(B) as modified by Section 61(a)(1) of the 1940 Act or any successor provisions, but giving effect to (i) any exemptive relief granted to us by the SEC and (ii) no-action relief granted by the SEC to another BDC (or to the Company if it determines to seek such similar no-action or other relief) permitting the BDC to declare any cash dividend or distribution notwithstanding the prohibition contained in Section 18(a)(1)(B) as modified by Section 61(a)(1) of the 1940 Act in order to maintain the BDC’s status as a regulated investment company under Subchapter M of the Internal Revenue Code of 1986. Currently these provisions generally prohibit us from declaring any cash dividend or distribution upon any class of our capital stock, or purchasing any such capital stock if our asset coverage, as defined in the 1940 Act, is below 200% at the time of the declaration of the dividend or distribution or the purchase and after deducting the amount of such dividend, distribution or purchase.</w:t>
      </w:r>
    </w:p>
    <w:p>
      <w:pPr>
        <w:spacing w:after="0" w:line="17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Notes are listed on the NYSE under the trading symbol “SAQ” with a par value of $25.00 per share.</w:t>
      </w:r>
    </w:p>
    <w:p>
      <w:pPr>
        <w:spacing w:after="0" w:line="225"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color w:val="auto"/>
        </w:rPr>
        <w:t>On May 29, 2015, we entered into a Debt Distribution Agreement with Landenburg Thalmann &amp; Co. through which we may offer for sale, from time to time, up to $20.0 million in aggregate principal amount of the Notes through an ATM offering. As of November 30, 2015, the Company sold 522,981 bonds with a principal of $13,074,525 at an average price of $25.31 for aggregate net proceeds of $12,973,084 (net of transaction costs).</w:t>
      </w:r>
    </w:p>
    <w:p>
      <w:pPr>
        <w:spacing w:after="0" w:line="166"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At November 30, 2015 and February 28, 2015, the fair value of investments, cash and cash equivalents and cash and cash equivalents, reserve accounts were as follows:</w:t>
      </w:r>
    </w:p>
    <w:p>
      <w:pPr>
        <w:spacing w:after="0" w:line="189"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418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00" w:type="dxa"/>
            <w:vAlign w:val="bottom"/>
            <w:gridSpan w:val="4"/>
          </w:tcPr>
          <w:p>
            <w:pPr>
              <w:jc w:val="right"/>
              <w:ind w:right="500"/>
              <w:spacing w:after="0"/>
              <w:rPr>
                <w:sz w:val="20"/>
                <w:szCs w:val="20"/>
                <w:color w:val="auto"/>
              </w:rPr>
            </w:pPr>
            <w:r>
              <w:rPr>
                <w:rFonts w:ascii="Arial" w:cs="Arial" w:eastAsia="Arial" w:hAnsi="Arial"/>
                <w:sz w:val="14"/>
                <w:szCs w:val="14"/>
                <w:b w:val="1"/>
                <w:bCs w:val="1"/>
                <w:color w:val="auto"/>
                <w:w w:val="94"/>
              </w:rPr>
              <w:t>At November 30, 2015</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40" w:type="dxa"/>
            <w:vAlign w:val="bottom"/>
            <w:gridSpan w:val="4"/>
          </w:tcPr>
          <w:p>
            <w:pPr>
              <w:jc w:val="right"/>
              <w:ind w:right="360"/>
              <w:spacing w:after="0"/>
              <w:rPr>
                <w:sz w:val="20"/>
                <w:szCs w:val="20"/>
                <w:color w:val="auto"/>
              </w:rPr>
            </w:pPr>
            <w:r>
              <w:rPr>
                <w:rFonts w:ascii="Arial" w:cs="Arial" w:eastAsia="Arial" w:hAnsi="Arial"/>
                <w:sz w:val="14"/>
                <w:szCs w:val="14"/>
                <w:b w:val="1"/>
                <w:bCs w:val="1"/>
                <w:color w:val="auto"/>
                <w:w w:val="99"/>
              </w:rPr>
              <w:t>At February 28, 2015</w:t>
            </w:r>
          </w:p>
        </w:tc>
        <w:tc>
          <w:tcPr>
            <w:tcW w:w="0" w:type="dxa"/>
            <w:vAlign w:val="bottom"/>
          </w:tcPr>
          <w:p>
            <w:pPr>
              <w:spacing w:after="0"/>
              <w:rPr>
                <w:sz w:val="1"/>
                <w:szCs w:val="1"/>
                <w:color w:val="auto"/>
              </w:rPr>
            </w:pPr>
          </w:p>
        </w:tc>
      </w:tr>
      <w:tr>
        <w:trPr>
          <w:trHeight w:val="119"/>
        </w:trPr>
        <w:tc>
          <w:tcPr>
            <w:tcW w:w="4180" w:type="dxa"/>
            <w:vAlign w:val="bottom"/>
          </w:tcPr>
          <w:p>
            <w:pPr>
              <w:spacing w:after="0"/>
              <w:rPr>
                <w:sz w:val="10"/>
                <w:szCs w:val="10"/>
                <w:color w:val="auto"/>
              </w:rPr>
            </w:pPr>
          </w:p>
        </w:tc>
        <w:tc>
          <w:tcPr>
            <w:tcW w:w="22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6"/>
              </w:rPr>
              <w:t>Percent</w:t>
            </w:r>
          </w:p>
        </w:tc>
        <w:tc>
          <w:tcPr>
            <w:tcW w:w="3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Percent</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18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11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Fair Value</w:t>
            </w:r>
          </w:p>
        </w:tc>
        <w:tc>
          <w:tcPr>
            <w:tcW w:w="8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0"/>
              </w:rPr>
              <w:t>of</w:t>
            </w:r>
          </w:p>
        </w:tc>
        <w:tc>
          <w:tcPr>
            <w:tcW w:w="220" w:type="dxa"/>
            <w:vAlign w:val="bottom"/>
          </w:tcPr>
          <w:p>
            <w:pPr>
              <w:spacing w:after="0"/>
              <w:rPr>
                <w:sz w:val="12"/>
                <w:szCs w:val="12"/>
                <w:color w:val="auto"/>
              </w:rPr>
            </w:pPr>
          </w:p>
        </w:tc>
        <w:tc>
          <w:tcPr>
            <w:tcW w:w="11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Fair Value</w:t>
            </w:r>
          </w:p>
        </w:tc>
        <w:tc>
          <w:tcPr>
            <w:tcW w:w="6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of</w:t>
            </w:r>
          </w:p>
        </w:tc>
        <w:tc>
          <w:tcPr>
            <w:tcW w:w="0" w:type="dxa"/>
            <w:vAlign w:val="bottom"/>
          </w:tcPr>
          <w:p>
            <w:pPr>
              <w:spacing w:after="0"/>
              <w:rPr>
                <w:sz w:val="1"/>
                <w:szCs w:val="1"/>
                <w:color w:val="auto"/>
              </w:rPr>
            </w:pPr>
          </w:p>
        </w:tc>
      </w:tr>
      <w:tr>
        <w:trPr>
          <w:trHeight w:val="171"/>
        </w:trPr>
        <w:tc>
          <w:tcPr>
            <w:tcW w:w="418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180" w:type="dxa"/>
            <w:vAlign w:val="bottom"/>
            <w:gridSpan w:val="3"/>
            <w:vMerge w:val="continue"/>
          </w:tcPr>
          <w:p>
            <w:pPr>
              <w:spacing w:after="0"/>
              <w:rPr>
                <w:sz w:val="14"/>
                <w:szCs w:val="14"/>
                <w:color w:val="auto"/>
              </w:rPr>
            </w:pPr>
          </w:p>
        </w:tc>
        <w:tc>
          <w:tcPr>
            <w:tcW w:w="8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5"/>
              </w:rPr>
              <w:t>Total</w:t>
            </w:r>
          </w:p>
        </w:tc>
        <w:tc>
          <w:tcPr>
            <w:tcW w:w="220" w:type="dxa"/>
            <w:vAlign w:val="bottom"/>
          </w:tcPr>
          <w:p>
            <w:pPr>
              <w:spacing w:after="0"/>
              <w:rPr>
                <w:sz w:val="14"/>
                <w:szCs w:val="14"/>
                <w:color w:val="auto"/>
              </w:rPr>
            </w:pPr>
          </w:p>
        </w:tc>
        <w:tc>
          <w:tcPr>
            <w:tcW w:w="1160" w:type="dxa"/>
            <w:vAlign w:val="bottom"/>
            <w:gridSpan w:val="3"/>
            <w:vMerge w:val="continue"/>
          </w:tcPr>
          <w:p>
            <w:pPr>
              <w:spacing w:after="0"/>
              <w:rPr>
                <w:sz w:val="14"/>
                <w:szCs w:val="14"/>
                <w:color w:val="auto"/>
              </w:rPr>
            </w:pPr>
          </w:p>
        </w:tc>
        <w:tc>
          <w:tcPr>
            <w:tcW w:w="6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2"/>
        </w:trPr>
        <w:tc>
          <w:tcPr>
            <w:tcW w:w="418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2200" w:type="dxa"/>
            <w:vAlign w:val="bottom"/>
            <w:tcBorders>
              <w:top w:val="single" w:sz="8" w:color="auto"/>
            </w:tcBorders>
            <w:gridSpan w:val="6"/>
          </w:tcPr>
          <w:p>
            <w:pPr>
              <w:ind w:left="260"/>
              <w:spacing w:after="0" w:line="142" w:lineRule="exact"/>
              <w:rPr>
                <w:sz w:val="20"/>
                <w:szCs w:val="20"/>
                <w:color w:val="auto"/>
              </w:rPr>
            </w:pPr>
            <w:r>
              <w:rPr>
                <w:rFonts w:ascii="Arial" w:cs="Arial" w:eastAsia="Arial" w:hAnsi="Arial"/>
                <w:sz w:val="14"/>
                <w:szCs w:val="14"/>
                <w:b w:val="1"/>
                <w:bCs w:val="1"/>
                <w:color w:val="auto"/>
              </w:rPr>
              <w:t>($ in thousands)</w:t>
            </w:r>
          </w:p>
        </w:tc>
        <w:tc>
          <w:tcPr>
            <w:tcW w:w="48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360" w:type="dxa"/>
            <w:vAlign w:val="bottom"/>
            <w:gridSpan w:val="2"/>
            <w:shd w:val="clear" w:color="auto" w:fill="CCEEFF"/>
          </w:tcPr>
          <w:p>
            <w:pPr>
              <w:ind w:left="226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6,019</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1,888</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Cash and cash equivalents, reserve accounts</w:t>
            </w:r>
          </w:p>
        </w:tc>
        <w:tc>
          <w:tcPr>
            <w:tcW w:w="2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480"/>
              <w:spacing w:after="0"/>
              <w:rPr>
                <w:sz w:val="20"/>
                <w:szCs w:val="20"/>
                <w:color w:val="auto"/>
              </w:rPr>
            </w:pPr>
            <w:r>
              <w:rPr>
                <w:rFonts w:ascii="Arial" w:cs="Arial" w:eastAsia="Arial" w:hAnsi="Arial"/>
                <w:sz w:val="18"/>
                <w:szCs w:val="18"/>
                <w:color w:val="auto"/>
              </w:rPr>
              <w:t>21,145</w:t>
            </w:r>
          </w:p>
        </w:tc>
        <w:tc>
          <w:tcPr>
            <w:tcW w:w="820" w:type="dxa"/>
            <w:vAlign w:val="bottom"/>
            <w:gridSpan w:val="2"/>
          </w:tcPr>
          <w:p>
            <w:pPr>
              <w:jc w:val="right"/>
              <w:ind w:right="360"/>
              <w:spacing w:after="0"/>
              <w:rPr>
                <w:sz w:val="20"/>
                <w:szCs w:val="20"/>
                <w:color w:val="auto"/>
              </w:rPr>
            </w:pPr>
            <w:r>
              <w:rPr>
                <w:rFonts w:ascii="Arial" w:cs="Arial" w:eastAsia="Arial" w:hAnsi="Arial"/>
                <w:sz w:val="18"/>
                <w:szCs w:val="18"/>
                <w:color w:val="auto"/>
              </w:rPr>
              <w:t>7.9</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8"/>
                <w:szCs w:val="18"/>
                <w:color w:val="auto"/>
              </w:rPr>
              <w:t>18,175</w:t>
            </w:r>
          </w:p>
        </w:tc>
        <w:tc>
          <w:tcPr>
            <w:tcW w:w="480" w:type="dxa"/>
            <w:vAlign w:val="bottom"/>
          </w:tcPr>
          <w:p>
            <w:pPr>
              <w:jc w:val="right"/>
              <w:spacing w:after="0"/>
              <w:rPr>
                <w:sz w:val="20"/>
                <w:szCs w:val="20"/>
                <w:color w:val="auto"/>
              </w:rPr>
            </w:pPr>
            <w:r>
              <w:rPr>
                <w:rFonts w:ascii="Arial" w:cs="Arial" w:eastAsia="Arial" w:hAnsi="Arial"/>
                <w:sz w:val="18"/>
                <w:szCs w:val="18"/>
                <w:color w:val="auto"/>
              </w:rPr>
              <w:t>7.0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Syndicated loans</w:t>
            </w:r>
          </w:p>
        </w:tc>
        <w:tc>
          <w:tcPr>
            <w:tcW w:w="2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14,538</w:t>
            </w:r>
          </w:p>
        </w:tc>
        <w:tc>
          <w:tcPr>
            <w:tcW w:w="8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18,302</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First lien term loans</w:t>
            </w:r>
          </w:p>
        </w:tc>
        <w:tc>
          <w:tcPr>
            <w:tcW w:w="2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480"/>
              <w:spacing w:after="0"/>
              <w:rPr>
                <w:sz w:val="20"/>
                <w:szCs w:val="20"/>
                <w:color w:val="auto"/>
              </w:rPr>
            </w:pPr>
            <w:r>
              <w:rPr>
                <w:rFonts w:ascii="Arial" w:cs="Arial" w:eastAsia="Arial" w:hAnsi="Arial"/>
                <w:sz w:val="18"/>
                <w:szCs w:val="18"/>
                <w:color w:val="auto"/>
                <w:w w:val="89"/>
              </w:rPr>
              <w:t>145,639</w:t>
            </w:r>
          </w:p>
        </w:tc>
        <w:tc>
          <w:tcPr>
            <w:tcW w:w="820" w:type="dxa"/>
            <w:vAlign w:val="bottom"/>
            <w:gridSpan w:val="2"/>
          </w:tcPr>
          <w:p>
            <w:pPr>
              <w:jc w:val="right"/>
              <w:ind w:right="360"/>
              <w:spacing w:after="0"/>
              <w:rPr>
                <w:sz w:val="20"/>
                <w:szCs w:val="20"/>
                <w:color w:val="auto"/>
              </w:rPr>
            </w:pPr>
            <w:r>
              <w:rPr>
                <w:rFonts w:ascii="Arial" w:cs="Arial" w:eastAsia="Arial" w:hAnsi="Arial"/>
                <w:sz w:val="18"/>
                <w:szCs w:val="18"/>
                <w:color w:val="auto"/>
              </w:rPr>
              <w:t>54.3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8"/>
                <w:szCs w:val="18"/>
                <w:color w:val="auto"/>
                <w:w w:val="89"/>
              </w:rPr>
              <w:t>145,207</w:t>
            </w: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55.7</w:t>
            </w: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Second lien term loans</w:t>
            </w:r>
          </w:p>
        </w:tc>
        <w:tc>
          <w:tcPr>
            <w:tcW w:w="2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43,561</w:t>
            </w:r>
          </w:p>
        </w:tc>
        <w:tc>
          <w:tcPr>
            <w:tcW w:w="8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16.2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35,603</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Unsecured notes</w:t>
            </w:r>
          </w:p>
        </w:tc>
        <w:tc>
          <w:tcPr>
            <w:tcW w:w="2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8"/>
                <w:szCs w:val="18"/>
                <w:color w:val="auto"/>
              </w:rPr>
              <w:t>4,230</w:t>
            </w:r>
          </w:p>
        </w:tc>
        <w:tc>
          <w:tcPr>
            <w:tcW w:w="480" w:type="dxa"/>
            <w:vAlign w:val="bottom"/>
          </w:tcPr>
          <w:p>
            <w:pPr>
              <w:jc w:val="right"/>
              <w:spacing w:after="0"/>
              <w:rPr>
                <w:sz w:val="20"/>
                <w:szCs w:val="20"/>
                <w:color w:val="auto"/>
              </w:rPr>
            </w:pPr>
            <w:r>
              <w:rPr>
                <w:rFonts w:ascii="Arial" w:cs="Arial" w:eastAsia="Arial" w:hAnsi="Arial"/>
                <w:sz w:val="18"/>
                <w:szCs w:val="18"/>
                <w:color w:val="auto"/>
              </w:rPr>
              <w:t>1.7</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Structured finance securities</w:t>
            </w:r>
          </w:p>
        </w:tc>
        <w:tc>
          <w:tcPr>
            <w:tcW w:w="2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15,776</w:t>
            </w:r>
          </w:p>
        </w:tc>
        <w:tc>
          <w:tcPr>
            <w:tcW w:w="8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17,031</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Equity interest</w:t>
            </w:r>
          </w:p>
        </w:tc>
        <w:tc>
          <w:tcPr>
            <w:tcW w:w="2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21,524</w:t>
            </w:r>
          </w:p>
        </w:tc>
        <w:tc>
          <w:tcPr>
            <w:tcW w:w="480" w:type="dxa"/>
            <w:vAlign w:val="bottom"/>
          </w:tcPr>
          <w:p>
            <w:pPr>
              <w:spacing w:after="0"/>
              <w:rPr>
                <w:sz w:val="18"/>
                <w:szCs w:val="18"/>
                <w:color w:val="auto"/>
              </w:rPr>
            </w:pPr>
          </w:p>
        </w:tc>
        <w:tc>
          <w:tcPr>
            <w:tcW w:w="820" w:type="dxa"/>
            <w:vAlign w:val="bottom"/>
            <w:gridSpan w:val="2"/>
          </w:tcPr>
          <w:p>
            <w:pPr>
              <w:jc w:val="right"/>
              <w:ind w:right="360"/>
              <w:spacing w:after="0"/>
              <w:rPr>
                <w:sz w:val="20"/>
                <w:szCs w:val="20"/>
                <w:color w:val="auto"/>
              </w:rPr>
            </w:pPr>
            <w:r>
              <w:rPr>
                <w:rFonts w:ascii="Arial" w:cs="Arial" w:eastAsia="Arial" w:hAnsi="Arial"/>
                <w:sz w:val="18"/>
                <w:szCs w:val="18"/>
                <w:color w:val="auto"/>
              </w:rPr>
              <w:t>8.0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8"/>
                <w:szCs w:val="18"/>
                <w:color w:val="auto"/>
              </w:rPr>
              <w:t>20,165</w:t>
            </w:r>
          </w:p>
        </w:tc>
        <w:tc>
          <w:tcPr>
            <w:tcW w:w="480" w:type="dxa"/>
            <w:vAlign w:val="bottom"/>
          </w:tcPr>
          <w:p>
            <w:pPr>
              <w:jc w:val="right"/>
              <w:spacing w:after="0"/>
              <w:rPr>
                <w:sz w:val="20"/>
                <w:szCs w:val="20"/>
                <w:color w:val="auto"/>
              </w:rPr>
            </w:pPr>
            <w:r>
              <w:rPr>
                <w:rFonts w:ascii="Arial" w:cs="Arial" w:eastAsia="Arial" w:hAnsi="Arial"/>
                <w:sz w:val="18"/>
                <w:szCs w:val="18"/>
                <w:color w:val="auto"/>
              </w:rPr>
              <w:t>7.7</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18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2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268,202</w:t>
            </w:r>
          </w:p>
        </w:tc>
        <w:tc>
          <w:tcPr>
            <w:tcW w:w="4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100.0%</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u w:val="single" w:color="auto"/>
                <w:color w:val="auto"/>
                <w:w w:val="79"/>
              </w:rPr>
              <w:t>$</w:t>
            </w: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9"/>
              </w:rPr>
              <w:t>260,601</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100.0%</w:t>
            </w: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2260" w:type="dxa"/>
            <w:vAlign w:val="bottom"/>
            <w:vMerge w:val="restart"/>
          </w:tcPr>
          <w:p>
            <w:pPr>
              <w:jc w:val="right"/>
              <w:ind w:right="1010"/>
              <w:spacing w:after="0"/>
              <w:rPr>
                <w:sz w:val="20"/>
                <w:szCs w:val="20"/>
                <w:color w:val="auto"/>
              </w:rPr>
            </w:pPr>
            <w:r>
              <w:rPr>
                <w:rFonts w:ascii="Arial" w:cs="Arial" w:eastAsia="Arial" w:hAnsi="Arial"/>
                <w:sz w:val="18"/>
                <w:szCs w:val="18"/>
                <w:color w:val="auto"/>
              </w:rPr>
              <w:t>55</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180" w:type="dxa"/>
            <w:vAlign w:val="bottom"/>
          </w:tcPr>
          <w:p>
            <w:pPr>
              <w:spacing w:after="0"/>
              <w:rPr>
                <w:sz w:val="24"/>
                <w:szCs w:val="24"/>
                <w:color w:val="auto"/>
              </w:rPr>
            </w:pPr>
          </w:p>
        </w:tc>
        <w:tc>
          <w:tcPr>
            <w:tcW w:w="22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20" w:firstLine="456"/>
        <w:spacing w:after="0" w:line="297" w:lineRule="auto"/>
        <w:rPr>
          <w:sz w:val="20"/>
          <w:szCs w:val="20"/>
          <w:color w:val="auto"/>
        </w:rPr>
      </w:pPr>
      <w:r>
        <w:rPr>
          <w:rFonts w:ascii="Arial" w:cs="Arial" w:eastAsia="Arial" w:hAnsi="Arial"/>
          <w:sz w:val="16"/>
          <w:szCs w:val="16"/>
          <w:color w:val="auto"/>
        </w:rPr>
        <w:t>On September 24, 2014, the Company announced the approval of an open market share repurchase plan that allows it to repurchase up to 200,000 shares of its common stock at prices below its NAV as reported in its then most recently published financial statements. As of November 30, 2015, the Company purchased 2,500 shares of common stock for approximately $0.04 million pursuant to this repurchase plan. On October 7, 2015, the Company’s board of directors extended the open market share repurchase plan for another year and increased the number of shares the Company is permitted to repurchase at prices below its NAV, as reported in its then most recently published financial statements, to 400,000 shares of its common stock.</w:t>
      </w:r>
    </w:p>
    <w:p>
      <w:pPr>
        <w:spacing w:after="0" w:line="158"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On January 12, 2016 the Company declared a dividend of $0.40 per share payable for the fiscal quarter ended November 30, 2015 to all stockholders of record at the close of business on February 1, 2016, with a payment date on February 29, 2016. Shareholders will have the option to receive payment of the dividend in cash, or receive shares of common stock pursuant to the Company’s dividend reinvestment plan.</w:t>
      </w:r>
    </w:p>
    <w:p>
      <w:pPr>
        <w:spacing w:after="0" w:line="181" w:lineRule="exact"/>
        <w:rPr>
          <w:sz w:val="20"/>
          <w:szCs w:val="20"/>
          <w:color w:val="auto"/>
        </w:rPr>
      </w:pPr>
    </w:p>
    <w:p>
      <w:pPr>
        <w:ind w:right="560" w:firstLine="456"/>
        <w:spacing w:after="0" w:line="264" w:lineRule="auto"/>
        <w:rPr>
          <w:sz w:val="20"/>
          <w:szCs w:val="20"/>
          <w:color w:val="auto"/>
        </w:rPr>
      </w:pPr>
      <w:r>
        <w:rPr>
          <w:rFonts w:ascii="Arial" w:cs="Arial" w:eastAsia="Arial" w:hAnsi="Arial"/>
          <w:sz w:val="18"/>
          <w:szCs w:val="18"/>
          <w:color w:val="auto"/>
        </w:rPr>
        <w:t>On October 7, 2015 the Company declared a dividend of $0.36 per share payable on November 30, 2015. Shareholders had the option to receive payment of the dividend in cash, or receive shares of common stock, pursuant our DRIP. Based on shareholder elections, the dividend consisted of approximately $1.1 million in cash and 61,029 newly issued shares of common stock.</w:t>
      </w:r>
    </w:p>
    <w:p>
      <w:pPr>
        <w:spacing w:after="0" w:line="181"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On July 8, 2015 the Company declared a dividend of $0.33 per share payable on August 31, 2015. Shareholders will had the option to receive payment of the dividend in cash, or receive shares of common stock, pursuant our DRIP. Based on shareholder elections, the dividend consisted of approximately $1.1 million in cash and 47,861 newly issued shares of common stock.</w:t>
      </w:r>
    </w:p>
    <w:p>
      <w:pPr>
        <w:spacing w:after="0" w:line="181" w:lineRule="exact"/>
        <w:rPr>
          <w:sz w:val="20"/>
          <w:szCs w:val="20"/>
          <w:color w:val="auto"/>
        </w:rPr>
      </w:pPr>
    </w:p>
    <w:p>
      <w:pPr>
        <w:ind w:right="640" w:firstLine="456"/>
        <w:spacing w:after="0" w:line="264" w:lineRule="auto"/>
        <w:rPr>
          <w:sz w:val="20"/>
          <w:szCs w:val="20"/>
          <w:color w:val="auto"/>
        </w:rPr>
      </w:pPr>
      <w:r>
        <w:rPr>
          <w:rFonts w:ascii="Arial" w:cs="Arial" w:eastAsia="Arial" w:hAnsi="Arial"/>
          <w:sz w:val="18"/>
          <w:szCs w:val="18"/>
          <w:color w:val="auto"/>
        </w:rPr>
        <w:t>On May 14, 2015, the Company declared a special dividend of $1.00 per share payable on June 5, 2015. Shareholders had the option to receive payment of the dividend in cash, or receive shares of common stock, pursuant our DRIP. Based on shareholder elections, the dividend consisted of approximately $3.4 million in cash and 126,230 newly issued shares of common stock.</w:t>
      </w:r>
    </w:p>
    <w:p>
      <w:pPr>
        <w:spacing w:after="0" w:line="181"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On April 9, 2015, the Company declared a dividend of $0.27 per share payable on May 29, 2015. Shareholders had the option to receive payment of the dividend in cash, or receive shares of common stock, pursuant our DRIP. Based on shareholder elections, the dividend consisted of approximately $0.9 million in cash and 33,766 newly issued shares of common stock.</w:t>
      </w:r>
    </w:p>
    <w:p>
      <w:pPr>
        <w:spacing w:after="0" w:line="181"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On September 24, 2014, the Company declared a dividend of $0.22 per share payable on February 27, 2015. Shareholders had the option to receive payment of the dividend in cash, or receive shares of common stock, pursuant our DRIP. Based on shareholder elections, the dividend consisted of approximately $0.8 million in cash and 26,858 newly issued shares of common stock, or 0.5% of our outstanding common stock prior to the dividend payment. The number of shares of common stock comprising the stock portion was calculated based on a price of $14.97 per share, which equaled the volume weighted average trading price per share of the common stock on February 13, 17, 18, 19, 20, 23, 24, 25, 26 and 27, 2015.</w:t>
      </w:r>
    </w:p>
    <w:p>
      <w:pPr>
        <w:spacing w:after="0" w:line="173"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Also on September 24, 2014, the Company declared a dividend of $0.18 per share payable on November 28, 2014. Shareholders had the option to receive payment of the dividend in cash, or receive shares of common stock pursuant to our DRIP. Based on shareholder elections, the dividend consisted of approximately $0.6 million in cash and 22,283 newly issued shares of common stock, or 0.4% of our outstanding common stock prior to the dividend payment. The number of shares of common stock comprising the stock portion was calculated based on a price of $14.37 per share, which equaled the volume weighted average trading price per share of the common stock on November 14, 17, 18, 19, 20, 21, 24, 25, 26 and 28, 2014.</w:t>
      </w:r>
    </w:p>
    <w:p>
      <w:pPr>
        <w:spacing w:after="0" w:line="173" w:lineRule="exact"/>
        <w:rPr>
          <w:sz w:val="20"/>
          <w:szCs w:val="20"/>
          <w:color w:val="auto"/>
        </w:rPr>
      </w:pPr>
    </w:p>
    <w:p>
      <w:pPr>
        <w:ind w:right="40" w:firstLine="456"/>
        <w:spacing w:after="0" w:line="293" w:lineRule="auto"/>
        <w:rPr>
          <w:sz w:val="20"/>
          <w:szCs w:val="20"/>
          <w:color w:val="auto"/>
        </w:rPr>
      </w:pPr>
      <w:r>
        <w:rPr>
          <w:rFonts w:ascii="Arial" w:cs="Arial" w:eastAsia="Arial" w:hAnsi="Arial"/>
          <w:sz w:val="16"/>
          <w:szCs w:val="16"/>
          <w:color w:val="auto"/>
        </w:rPr>
        <w:t>On October 30, 2013, our board of directors declared a dividend of $2.65 per share payable on December 27, 2013, to common stockholders of record on November 13, 2013. Shareholders had the option to receive payment of the dividend in cash, shares of common stock, or a combination of cash and shares of common stock, provided that the aggregate cash payable to all shareholders was limited to approximately $2.5 million or $0.53 per share. This dividend was declared in reliance on certain private letter rulings issued by the IRS concluding that a RIC may treat a distribution of its own stock as fulfilling its RIC distribution requirements if each stockholder may elect to receive his or her entire distribution in either cash or stock of the RIC subject to a limitation on the aggregate amount of cash to be distributed to all stockholders, which limitation must be at least 20.0% of the aggregate declared distribution.</w:t>
      </w:r>
    </w:p>
    <w:p>
      <w:pPr>
        <w:spacing w:after="0" w:line="165"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Based on shareholder elections, the dividend consisted of approximately $2.5 million in cash and 649,500 shares of common stock, or 13.7% of our outstanding common stock prior to the dividend payment. The amount of cash elected to be received was greater than the cash limit of 20.0% of the aggregate dividend amount, thus resulting in the payment of a combination of cash and stock to shareholders who elected to receive cash. The number of shares of common stock comprising the stock portion was calculated based on a price of $15.439 per share, which equaled the volume weighted average trading price per share of the common stock on December 11, 13, and 16, 2013.</w:t>
      </w:r>
    </w:p>
    <w:p>
      <w:pPr>
        <w:spacing w:after="0" w:line="188" w:lineRule="exact"/>
        <w:rPr>
          <w:sz w:val="20"/>
          <w:szCs w:val="20"/>
          <w:color w:val="auto"/>
        </w:rPr>
      </w:pPr>
    </w:p>
    <w:p>
      <w:pPr>
        <w:jc w:val="both"/>
        <w:ind w:right="40" w:firstLine="456"/>
        <w:spacing w:after="0" w:line="312" w:lineRule="auto"/>
        <w:rPr>
          <w:sz w:val="20"/>
          <w:szCs w:val="20"/>
          <w:color w:val="auto"/>
        </w:rPr>
      </w:pPr>
      <w:r>
        <w:rPr>
          <w:rFonts w:ascii="Arial" w:cs="Arial" w:eastAsia="Arial" w:hAnsi="Arial"/>
          <w:sz w:val="16"/>
          <w:szCs w:val="16"/>
          <w:color w:val="auto"/>
        </w:rPr>
        <w:t>On November 9, 2012, our board of directors declared a dividend of $4.25 per share payable on December 31, 2012, to common stockholders of record on November 20, 2012. Shareholders had the option to receive payment of the dividend in cash, shares of common stock, or a combination of cash and shares of common stock, provided that the aggregate cash payable to all shareholders was limited to approximately $3.3 million or $0.85 per share.</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459" w:right="2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Based on shareholder elections, the dividend consisted of $3.3 million in cash and 853,455 shares of common stock, or 22.0% of our outstanding common stock prior to the dividend payment. The amount of cash elected to be received was greater than the cash limit of 20.0% of the aggregate dividend amount, thus resulting in the payment of a combination of cash and stock to shareholders who elected to receive cash. The number of shares of common stock comprising the stock portion was calculated based on a price of $15.444 per share, which equaled the volume weighted average trading price per share of the common stock on December 14, 17 and 19, 2012.</w:t>
      </w:r>
    </w:p>
    <w:p>
      <w:pPr>
        <w:spacing w:after="0" w:line="188" w:lineRule="exact"/>
        <w:rPr>
          <w:sz w:val="20"/>
          <w:szCs w:val="20"/>
          <w:color w:val="auto"/>
        </w:rPr>
      </w:pPr>
    </w:p>
    <w:p>
      <w:pPr>
        <w:ind w:right="40" w:firstLine="456"/>
        <w:spacing w:after="0" w:line="286" w:lineRule="auto"/>
        <w:rPr>
          <w:sz w:val="20"/>
          <w:szCs w:val="20"/>
          <w:color w:val="auto"/>
        </w:rPr>
      </w:pPr>
      <w:r>
        <w:rPr>
          <w:rFonts w:ascii="Arial" w:cs="Arial" w:eastAsia="Arial" w:hAnsi="Arial"/>
          <w:sz w:val="17"/>
          <w:szCs w:val="17"/>
          <w:color w:val="auto"/>
        </w:rPr>
        <w:t>On November 15, 2011, our board of directors declared a dividend of $3.00 per share payable on December 30, 2011, to common stockholders of record on November 25, 2011. Shareholders had the option to receive payment of the dividend in cash, shares of common stock, or a combination of cash and shares of common stock, provided that the aggregate cash payable to all shareholders was limited to $2.0 million or $0.60 per share.</w:t>
      </w:r>
    </w:p>
    <w:p>
      <w:pPr>
        <w:spacing w:after="0" w:line="166"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Based on shareholder elections, the dividend consisted of $2.0 million in cash and 599,584 shares of common stock, or 18.0% of our outstanding common stock prior to the dividend payment. The amount of cash elected to be received was greater than the cash limit of 20.0% of the aggregate dividend amount, thus resulting in the payment of a combination of cash and stock to shareholders who elected to receive cash. The number of shares of common stock comprising the stock portion was calculated based on a price of $13.117067 per share, which equaled the volume weighted average trading price per share of the common stock on December 20, 21 and 22, 2011.</w:t>
      </w:r>
    </w:p>
    <w:p>
      <w:pPr>
        <w:spacing w:after="0" w:line="18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On November 12, 2010, our board of directors declared a dividend of $4.40 per share to shareholders payable in cash or shares of our common stock, in accordance with the provisions of the IRS Revenue Procedure 2010-12, which allows a publicly-traded regulated investment company to satisfy its distribution requirements with a distribution paid partly in common stock provided that at least 10.0% of the distribution is payable in cash. The dividend was paid on December 29, 2010 to common shareholders of record on November 19, 2010.</w:t>
      </w:r>
    </w:p>
    <w:p>
      <w:pPr>
        <w:spacing w:after="0" w:line="187"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Based on shareholder elections, the dividend consisted of $1.2 million in cash and 596,235 shares of common stock, or 22.0% of our outstanding common stock prior to the dividend payment. The amount of cash elected to be received was greater than the cash limit of 10.0% of the aggregate dividend amount, thus resulting in the payment of a combination of cash and stock to shareholders who elected to receive cash. The number of shares of common stock comprising the stock portion was calculated based on a price of $17.8049 per share, which equaled the volume weighted average trading price per share of the common stock on December 20, 21 and 22, 2010.</w:t>
      </w:r>
    </w:p>
    <w:p>
      <w:pPr>
        <w:spacing w:after="0" w:line="188" w:lineRule="exact"/>
        <w:rPr>
          <w:sz w:val="20"/>
          <w:szCs w:val="20"/>
          <w:color w:val="auto"/>
        </w:rPr>
      </w:pPr>
    </w:p>
    <w:p>
      <w:pPr>
        <w:ind w:right="40" w:firstLine="456"/>
        <w:spacing w:after="0" w:line="286" w:lineRule="auto"/>
        <w:rPr>
          <w:sz w:val="20"/>
          <w:szCs w:val="20"/>
          <w:color w:val="auto"/>
        </w:rPr>
      </w:pPr>
      <w:r>
        <w:rPr>
          <w:rFonts w:ascii="Arial" w:cs="Arial" w:eastAsia="Arial" w:hAnsi="Arial"/>
          <w:sz w:val="17"/>
          <w:szCs w:val="17"/>
          <w:color w:val="auto"/>
        </w:rPr>
        <w:t>On November 13, 2009, our board of directors declared a dividend of $18.25 per share payable on December 31, 2009, to common stockholders of record on November 25, 2009. Shareholders had the option to receive payment of the dividend in cash, shares of common stock, or a combination of cash and shares of common stock, provided that the aggregate cash payable to all shareholders was limited to $2.1 million or $0.25 per share.</w:t>
      </w:r>
    </w:p>
    <w:p>
      <w:pPr>
        <w:spacing w:after="0" w:line="166"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Based on shareholder elections, the dividend consisted of $2.1 million in cash and 8,648,725 shares of common stock, or 104.0% of our outstanding common stock prior to the dividend payment. The amount of cash elected to be received was greater than the cash limit of 13.7% of the aggregate dividend amount, thus resulting in the payment of a combination of cash and stock to shareholders who elected to receive cash. The number of shares of common stock comprising the stock portion was calculated based on a price of $1.5099 per share, which equaled the volume weighted average trading price per share of the common stock on December 24 and 28, 2009.</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cannot provide any assurance that these measures will provide sufficient sources of liquidity to support our operations and growth.</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459" w:right="2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shows our payment obligations for repayment of debt and other contractual obligations at November 30, 2015:</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386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rPr>
              <w:t>Payment Due by Period</w:t>
            </w:r>
          </w:p>
        </w:tc>
        <w:tc>
          <w:tcPr>
            <w:tcW w:w="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86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1160" w:type="dxa"/>
            <w:vAlign w:val="bottom"/>
            <w:gridSpan w:val="2"/>
            <w:vMerge w:val="restart"/>
          </w:tcPr>
          <w:p>
            <w:pPr>
              <w:jc w:val="center"/>
              <w:ind w:right="480"/>
              <w:spacing w:after="0"/>
              <w:rPr>
                <w:sz w:val="20"/>
                <w:szCs w:val="20"/>
                <w:color w:val="auto"/>
              </w:rPr>
            </w:pPr>
            <w:r>
              <w:rPr>
                <w:rFonts w:ascii="Arial" w:cs="Arial" w:eastAsia="Arial" w:hAnsi="Arial"/>
                <w:sz w:val="14"/>
                <w:szCs w:val="14"/>
                <w:b w:val="1"/>
                <w:bCs w:val="1"/>
                <w:color w:val="auto"/>
                <w:w w:val="95"/>
              </w:rPr>
              <w:t>Total</w:t>
            </w:r>
          </w:p>
        </w:tc>
        <w:tc>
          <w:tcPr>
            <w:tcW w:w="62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w w:val="93"/>
              </w:rPr>
              <w:t>Less Than</w:t>
            </w:r>
          </w:p>
        </w:tc>
        <w:tc>
          <w:tcPr>
            <w:tcW w:w="80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rPr>
              <w:t>1 -3</w:t>
            </w:r>
          </w:p>
        </w:tc>
        <w:tc>
          <w:tcPr>
            <w:tcW w:w="360" w:type="dxa"/>
            <w:vAlign w:val="bottom"/>
          </w:tcPr>
          <w:p>
            <w:pPr>
              <w:spacing w:after="0"/>
              <w:rPr>
                <w:sz w:val="10"/>
                <w:szCs w:val="10"/>
                <w:color w:val="auto"/>
              </w:rPr>
            </w:pPr>
          </w:p>
        </w:tc>
        <w:tc>
          <w:tcPr>
            <w:tcW w:w="680" w:type="dxa"/>
            <w:vAlign w:val="bottom"/>
            <w:gridSpan w:val="2"/>
          </w:tcPr>
          <w:p>
            <w:pPr>
              <w:jc w:val="right"/>
              <w:ind w:right="128"/>
              <w:spacing w:after="0" w:line="119" w:lineRule="exact"/>
              <w:rPr>
                <w:sz w:val="20"/>
                <w:szCs w:val="20"/>
                <w:color w:val="auto"/>
              </w:rPr>
            </w:pPr>
            <w:r>
              <w:rPr>
                <w:rFonts w:ascii="Arial" w:cs="Arial" w:eastAsia="Arial" w:hAnsi="Arial"/>
                <w:sz w:val="13"/>
                <w:szCs w:val="13"/>
                <w:b w:val="1"/>
                <w:bCs w:val="1"/>
                <w:color w:val="auto"/>
              </w:rPr>
              <w:t>3 -5</w:t>
            </w:r>
          </w:p>
        </w:tc>
        <w:tc>
          <w:tcPr>
            <w:tcW w:w="460" w:type="dxa"/>
            <w:vAlign w:val="bottom"/>
          </w:tcPr>
          <w:p>
            <w:pPr>
              <w:spacing w:after="0"/>
              <w:rPr>
                <w:sz w:val="10"/>
                <w:szCs w:val="10"/>
                <w:color w:val="auto"/>
              </w:rPr>
            </w:pPr>
          </w:p>
        </w:tc>
        <w:tc>
          <w:tcPr>
            <w:tcW w:w="7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More Than</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86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ind w:left="20"/>
              <w:spacing w:after="0"/>
              <w:rPr>
                <w:sz w:val="20"/>
                <w:szCs w:val="20"/>
                <w:color w:val="auto"/>
              </w:rPr>
            </w:pPr>
            <w:r>
              <w:rPr>
                <w:rFonts w:ascii="Arial" w:cs="Arial" w:eastAsia="Arial" w:hAnsi="Arial"/>
                <w:sz w:val="14"/>
                <w:szCs w:val="14"/>
                <w:b w:val="1"/>
                <w:bCs w:val="1"/>
                <w:color w:val="auto"/>
              </w:rPr>
              <w:t>1 Year</w:t>
            </w:r>
          </w:p>
        </w:tc>
        <w:tc>
          <w:tcPr>
            <w:tcW w:w="44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4"/>
                <w:szCs w:val="14"/>
                <w:b w:val="1"/>
                <w:bCs w:val="1"/>
                <w:color w:val="auto"/>
              </w:rPr>
              <w:t>Years</w:t>
            </w:r>
          </w:p>
        </w:tc>
        <w:tc>
          <w:tcPr>
            <w:tcW w:w="80" w:type="dxa"/>
            <w:vAlign w:val="bottom"/>
          </w:tcPr>
          <w:p>
            <w:pPr>
              <w:spacing w:after="0"/>
              <w:rPr>
                <w:sz w:val="14"/>
                <w:szCs w:val="14"/>
                <w:color w:val="auto"/>
              </w:rPr>
            </w:pPr>
          </w:p>
        </w:tc>
        <w:tc>
          <w:tcPr>
            <w:tcW w:w="1060" w:type="dxa"/>
            <w:vAlign w:val="bottom"/>
            <w:gridSpan w:val="2"/>
          </w:tcPr>
          <w:p>
            <w:pPr>
              <w:ind w:left="120"/>
              <w:spacing w:after="0"/>
              <w:rPr>
                <w:sz w:val="20"/>
                <w:szCs w:val="20"/>
                <w:color w:val="auto"/>
              </w:rPr>
            </w:pPr>
            <w:r>
              <w:rPr>
                <w:rFonts w:ascii="Arial" w:cs="Arial" w:eastAsia="Arial" w:hAnsi="Arial"/>
                <w:sz w:val="14"/>
                <w:szCs w:val="14"/>
                <w:b w:val="1"/>
                <w:bCs w:val="1"/>
                <w:color w:val="auto"/>
              </w:rPr>
              <w:t>Years</w:t>
            </w:r>
          </w:p>
        </w:tc>
        <w:tc>
          <w:tcPr>
            <w:tcW w:w="8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8"/>
              </w:rPr>
              <w:t>5 Years</w:t>
            </w:r>
          </w:p>
        </w:tc>
        <w:tc>
          <w:tcPr>
            <w:tcW w:w="0" w:type="dxa"/>
            <w:vAlign w:val="bottom"/>
          </w:tcPr>
          <w:p>
            <w:pPr>
              <w:spacing w:after="0"/>
              <w:rPr>
                <w:sz w:val="1"/>
                <w:szCs w:val="1"/>
                <w:color w:val="auto"/>
              </w:rPr>
            </w:pPr>
          </w:p>
        </w:tc>
      </w:tr>
      <w:tr>
        <w:trPr>
          <w:trHeight w:val="142"/>
        </w:trPr>
        <w:tc>
          <w:tcPr>
            <w:tcW w:w="386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gridSpan w:val="3"/>
          </w:tcPr>
          <w:p>
            <w:pPr>
              <w:jc w:val="center"/>
              <w:spacing w:after="0" w:line="142" w:lineRule="exact"/>
              <w:rPr>
                <w:sz w:val="20"/>
                <w:szCs w:val="20"/>
                <w:color w:val="auto"/>
              </w:rPr>
            </w:pPr>
            <w:r>
              <w:rPr>
                <w:rFonts w:ascii="Arial" w:cs="Arial" w:eastAsia="Arial" w:hAnsi="Arial"/>
                <w:sz w:val="14"/>
                <w:szCs w:val="14"/>
                <w:b w:val="1"/>
                <w:bCs w:val="1"/>
                <w:color w:val="auto"/>
                <w:w w:val="90"/>
              </w:rPr>
              <w:t>($ in thousands)</w:t>
            </w:r>
          </w:p>
        </w:tc>
        <w:tc>
          <w:tcPr>
            <w:tcW w:w="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Long-Term Debt Obligations</w:t>
            </w:r>
          </w:p>
        </w:tc>
        <w:tc>
          <w:tcPr>
            <w:tcW w:w="2920" w:type="dxa"/>
            <w:vAlign w:val="bottom"/>
            <w:gridSpan w:val="3"/>
            <w:shd w:val="clear" w:color="auto" w:fill="CCEEFF"/>
          </w:tcPr>
          <w:p>
            <w:pPr>
              <w:jc w:val="center"/>
              <w:ind w:right="4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140,375</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16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140" w:type="dxa"/>
            <w:vAlign w:val="bottom"/>
            <w:gridSpan w:val="3"/>
            <w:shd w:val="clear" w:color="auto" w:fill="CCEEFF"/>
          </w:tcPr>
          <w:p>
            <w:pPr>
              <w:jc w:val="center"/>
              <w:ind w:right="4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61,375</w:t>
            </w:r>
          </w:p>
        </w:tc>
        <w:tc>
          <w:tcPr>
            <w:tcW w:w="8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$ 79,000</w:t>
            </w: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color w:val="auto"/>
        </w:rPr>
        <w:t>The Company’s off-balance sheet arrangements consisted of $3.1 million and $11.2 million of unfunded commitments to provide debt financing to its portfolio companies or to fund limited partnership interests as of November 30, 2015 and February 28, 2015, respectively. Such commitments are generally up to the Company’s discretion to approve, or the satisfaction of certain financial and nonfinancial covenants and involve, to varying degrees, elements of credit risk in excess of the amount recognized in the Company’s Consolidated Statement of Assets and Liabilities and are not reflected in the Company’s Consolidated Statements of Assets and Liabilities.</w:t>
      </w:r>
    </w:p>
    <w:p>
      <w:pPr>
        <w:spacing w:after="0" w:line="188"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A summary of the composition of the unfunded commitments as of November 30, 2015 and February 28, 2015 is shown in the table below (dollars in thousands):</w:t>
      </w:r>
    </w:p>
    <w:p>
      <w:pPr>
        <w:spacing w:after="0" w:line="189"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6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As of</w:t>
            </w: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19"/>
        </w:trPr>
        <w:tc>
          <w:tcPr>
            <w:tcW w:w="6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4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w w:val="96"/>
              </w:rPr>
              <w:t>November 30,</w:t>
            </w:r>
          </w:p>
        </w:tc>
        <w:tc>
          <w:tcPr>
            <w:tcW w:w="1520" w:type="dxa"/>
            <w:vAlign w:val="bottom"/>
            <w:gridSpan w:val="3"/>
          </w:tcPr>
          <w:p>
            <w:pPr>
              <w:ind w:left="700"/>
              <w:spacing w:after="0" w:line="119" w:lineRule="exact"/>
              <w:rPr>
                <w:sz w:val="20"/>
                <w:szCs w:val="20"/>
                <w:color w:val="auto"/>
              </w:rPr>
            </w:pPr>
            <w:r>
              <w:rPr>
                <w:rFonts w:ascii="Arial" w:cs="Arial" w:eastAsia="Arial" w:hAnsi="Arial"/>
                <w:sz w:val="13"/>
                <w:szCs w:val="13"/>
                <w:b w:val="1"/>
                <w:bCs w:val="1"/>
                <w:color w:val="auto"/>
              </w:rPr>
              <w:t>February 28,</w:t>
            </w:r>
          </w:p>
        </w:tc>
        <w:tc>
          <w:tcPr>
            <w:tcW w:w="100" w:type="dxa"/>
            <w:vAlign w:val="bottom"/>
          </w:tcPr>
          <w:p>
            <w:pPr>
              <w:spacing w:after="0"/>
              <w:rPr>
                <w:sz w:val="10"/>
                <w:szCs w:val="10"/>
                <w:color w:val="auto"/>
              </w:rPr>
            </w:pPr>
          </w:p>
        </w:tc>
      </w:tr>
      <w:tr>
        <w:trPr>
          <w:trHeight w:val="171"/>
        </w:trPr>
        <w:tc>
          <w:tcPr>
            <w:tcW w:w="62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2015</w:t>
            </w:r>
          </w:p>
        </w:tc>
        <w:tc>
          <w:tcPr>
            <w:tcW w:w="7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4"/>
                <w:szCs w:val="14"/>
                <w:color w:val="auto"/>
              </w:rPr>
            </w:pPr>
          </w:p>
        </w:tc>
      </w:tr>
      <w:tr>
        <w:trPr>
          <w:trHeight w:val="210"/>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Bristol Hospice, LLC</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w:t>
            </w:r>
          </w:p>
        </w:tc>
        <w:tc>
          <w:tcPr>
            <w:tcW w:w="100" w:type="dxa"/>
            <w:vAlign w:val="bottom"/>
            <w:shd w:val="clear" w:color="auto" w:fill="CCEEFF"/>
          </w:tcPr>
          <w:p>
            <w:pPr>
              <w:spacing w:after="0"/>
              <w:rPr>
                <w:sz w:val="18"/>
                <w:szCs w:val="18"/>
                <w:color w:val="auto"/>
              </w:rPr>
            </w:pPr>
          </w:p>
        </w:tc>
      </w:tr>
      <w:tr>
        <w:trPr>
          <w:trHeight w:val="216"/>
        </w:trPr>
        <w:tc>
          <w:tcPr>
            <w:tcW w:w="6200" w:type="dxa"/>
            <w:vAlign w:val="bottom"/>
          </w:tcPr>
          <w:p>
            <w:pPr>
              <w:spacing w:after="0"/>
              <w:rPr>
                <w:sz w:val="20"/>
                <w:szCs w:val="20"/>
                <w:color w:val="auto"/>
              </w:rPr>
            </w:pPr>
            <w:r>
              <w:rPr>
                <w:rFonts w:ascii="Arial" w:cs="Arial" w:eastAsia="Arial" w:hAnsi="Arial"/>
                <w:sz w:val="18"/>
                <w:szCs w:val="18"/>
                <w:color w:val="auto"/>
              </w:rPr>
              <w:t>HMN Holdco, LLC</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2,400</w:t>
            </w: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2,400</w:t>
            </w:r>
          </w:p>
        </w:tc>
        <w:tc>
          <w:tcPr>
            <w:tcW w:w="100" w:type="dxa"/>
            <w:vAlign w:val="bottom"/>
          </w:tcPr>
          <w:p>
            <w:pPr>
              <w:spacing w:after="0"/>
              <w:rPr>
                <w:sz w:val="18"/>
                <w:szCs w:val="18"/>
                <w:color w:val="auto"/>
              </w:rPr>
            </w:pPr>
          </w:p>
        </w:tc>
      </w:tr>
      <w:tr>
        <w:trPr>
          <w:trHeight w:val="216"/>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Avionte Holdings, LLC</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spacing w:after="0"/>
              <w:rPr>
                <w:sz w:val="18"/>
                <w:szCs w:val="18"/>
                <w:color w:val="auto"/>
              </w:rPr>
            </w:pPr>
          </w:p>
        </w:tc>
      </w:tr>
      <w:tr>
        <w:trPr>
          <w:trHeight w:val="216"/>
        </w:trPr>
        <w:tc>
          <w:tcPr>
            <w:tcW w:w="6200" w:type="dxa"/>
            <w:vAlign w:val="bottom"/>
          </w:tcPr>
          <w:p>
            <w:pPr>
              <w:spacing w:after="0"/>
              <w:rPr>
                <w:sz w:val="20"/>
                <w:szCs w:val="20"/>
                <w:color w:val="auto"/>
              </w:rPr>
            </w:pPr>
            <w:r>
              <w:rPr>
                <w:rFonts w:ascii="Arial" w:cs="Arial" w:eastAsia="Arial" w:hAnsi="Arial"/>
                <w:sz w:val="18"/>
                <w:szCs w:val="18"/>
                <w:color w:val="auto"/>
              </w:rPr>
              <w:t>Advanced Air &amp; Heat of Florida, LLC</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400</w:t>
            </w: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ind w:left="360"/>
              <w:spacing w:after="0"/>
              <w:rPr>
                <w:sz w:val="20"/>
                <w:szCs w:val="20"/>
                <w:color w:val="auto"/>
              </w:rPr>
            </w:pPr>
            <w:r>
              <w:rPr>
                <w:rFonts w:ascii="Arial" w:cs="Arial" w:eastAsia="Arial" w:hAnsi="Arial"/>
                <w:sz w:val="18"/>
                <w:szCs w:val="18"/>
                <w:color w:val="auto"/>
              </w:rPr>
              <w:t>—</w:t>
            </w:r>
          </w:p>
        </w:tc>
      </w:tr>
      <w:tr>
        <w:trPr>
          <w:trHeight w:val="216"/>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Knowland Technology Holdings, L.L.C</w:t>
            </w: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7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100" w:type="dxa"/>
            <w:vAlign w:val="bottom"/>
            <w:shd w:val="clear" w:color="auto" w:fill="CCEEFF"/>
          </w:tcPr>
          <w:p>
            <w:pPr>
              <w:spacing w:after="0"/>
              <w:rPr>
                <w:sz w:val="18"/>
                <w:szCs w:val="18"/>
                <w:color w:val="auto"/>
              </w:rPr>
            </w:pPr>
          </w:p>
        </w:tc>
      </w:tr>
      <w:tr>
        <w:trPr>
          <w:trHeight w:val="223"/>
        </w:trPr>
        <w:tc>
          <w:tcPr>
            <w:tcW w:w="6200" w:type="dxa"/>
            <w:vAlign w:val="bottom"/>
          </w:tcPr>
          <w:p>
            <w:pPr>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3,100</w:t>
            </w:r>
          </w:p>
        </w:tc>
        <w:tc>
          <w:tcPr>
            <w:tcW w:w="720" w:type="dxa"/>
            <w:vAlign w:val="bottom"/>
          </w:tcPr>
          <w:p>
            <w:pPr>
              <w:spacing w:after="0"/>
              <w:rPr>
                <w:sz w:val="19"/>
                <w:szCs w:val="19"/>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11,200</w:t>
            </w:r>
          </w:p>
        </w:tc>
        <w:tc>
          <w:tcPr>
            <w:tcW w:w="100" w:type="dxa"/>
            <w:vAlign w:val="bottom"/>
          </w:tcPr>
          <w:p>
            <w:pPr>
              <w:spacing w:after="0"/>
              <w:rPr>
                <w:sz w:val="19"/>
                <w:szCs w:val="19"/>
                <w:color w:val="auto"/>
              </w:rPr>
            </w:pPr>
          </w:p>
        </w:tc>
      </w:tr>
      <w:tr>
        <w:trPr>
          <w:trHeight w:val="20"/>
        </w:trPr>
        <w:tc>
          <w:tcPr>
            <w:tcW w:w="6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market risks have not changed materially from the risks reported in our Form 10-K for the year ended February 28, 2015.</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35" w:lineRule="exact"/>
        <w:rPr>
          <w:sz w:val="20"/>
          <w:szCs w:val="20"/>
          <w:color w:val="auto"/>
        </w:rPr>
      </w:pPr>
    </w:p>
    <w:p>
      <w:pPr>
        <w:ind w:left="580" w:hanging="572"/>
        <w:spacing w:after="0" w:line="255" w:lineRule="auto"/>
        <w:tabs>
          <w:tab w:leader="none" w:pos="5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As of the end of the period covered by this report, we carried out an evaluation, under the supervision and with the participation of our management, including our chief executive officer and our chief financial officer, of the effectiveness of the design and operation of our disclosure controls and procedures (as defined in Rule 13a-15(e) and 15d-15(e) of the Securities Exchange Act of 1934). Based on that evaluation, our chief executive officer and our chief financial officer have concluded that our current disclosure controls and procedures are effective in facilitating timely decisions regarding required disclosure of any material information relating to us that is required to be disclosed by us in the reports we file or submit under the Securities Exchange Act of 1934.</w:t>
      </w:r>
    </w:p>
    <w:p>
      <w:pPr>
        <w:spacing w:after="0" w:line="98" w:lineRule="exact"/>
        <w:rPr>
          <w:rFonts w:ascii="Arial" w:cs="Arial" w:eastAsia="Arial" w:hAnsi="Arial"/>
          <w:sz w:val="18"/>
          <w:szCs w:val="18"/>
          <w:color w:val="auto"/>
        </w:rPr>
      </w:pPr>
    </w:p>
    <w:p>
      <w:pPr>
        <w:ind w:left="580" w:right="400" w:hanging="572"/>
        <w:spacing w:after="0" w:line="277" w:lineRule="auto"/>
        <w:tabs>
          <w:tab w:leader="none" w:pos="5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There have been no changes in our internal control over financial reporting that occurred during the quarter ended November 30, 2015 that have materially affected, or are reasonably likely to materially affect, our internal control over financial reporting.</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360"/>
          </w:cols>
          <w:pgMar w:left="240" w:top="459" w:right="29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On August 31, 2012, a complaint was filed in the United States Bankruptcy Court for the Southern District of New York by GSC Acquisition Holdings, LLC against us to recover, among other things, approximately $2.6 million for the benefit of the estates and the general unsecured creditors of GSC</w:t>
      </w:r>
    </w:p>
    <w:p>
      <w:pPr>
        <w:ind w:right="20"/>
        <w:spacing w:after="0" w:line="252" w:lineRule="auto"/>
        <w:rPr>
          <w:sz w:val="20"/>
          <w:szCs w:val="20"/>
          <w:color w:val="auto"/>
        </w:rPr>
      </w:pPr>
      <w:r>
        <w:rPr>
          <w:rFonts w:ascii="Arial" w:cs="Arial" w:eastAsia="Arial" w:hAnsi="Arial"/>
          <w:sz w:val="18"/>
          <w:szCs w:val="18"/>
          <w:color w:val="auto"/>
        </w:rPr>
        <w:t>Group, Inc. and its affiliates, including the Company’s former investment adviser, GSCP (NJ), L.P. The complaint alleges that the former investment adviser made a constructively fraudulent transfer of $2.6 million in deferred incentive fees by waiving them in connection with the termination of the Management Agreement with us, and that the termination of the Management Agreement was itself a fraudulent transfer. These transfers, the complaint alleges, were made without receipt of reasonably equivalent value and while the former investment adviser was insolvent. The complaint has not yet been served, and the plaintiff’s motion for authority to prosecute the case on behalf of the estates was taken under advisement by the court on October 1, 2012. We opposed that motion. We believe that the claims in this lawsuit are without merit and, if the plaintiff is authorized to proceed, intend to vigorously defend against this action.</w:t>
      </w:r>
    </w:p>
    <w:p>
      <w:pPr>
        <w:spacing w:after="0" w:line="193"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Except as discussed above, neither we nor our wholly-owned subsidiaries, Saratoga Investment Funding LLC and Saratoga Investment Corp. SBIC LP, are currently subject to any material legal proceedings.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right="100" w:firstLine="456"/>
        <w:spacing w:after="0" w:line="302" w:lineRule="auto"/>
        <w:rPr>
          <w:sz w:val="20"/>
          <w:szCs w:val="20"/>
          <w:color w:val="auto"/>
        </w:rPr>
      </w:pPr>
      <w:r>
        <w:rPr>
          <w:rFonts w:ascii="Arial" w:cs="Arial" w:eastAsia="Arial" w:hAnsi="Arial"/>
          <w:sz w:val="16"/>
          <w:szCs w:val="16"/>
          <w:color w:val="auto"/>
        </w:rPr>
        <w:t>In addition to other information set forth in this report, you should carefully consider the “Risk Factors” discussed in our annual report on Form 10-K filed with the SEC on May 20, 2015 which could materially affect our business, financial condition and/or operating results. Additional risks or uncertainties not currently known to us or that we currently deem to be immaterial also may materially affect our business, financial condition and/or operating results. There have been no material changes from the risk factors set forth in our Annual Report on Form 10-K for the year ended February 28, 2015.</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jc w:val="center"/>
        <w:ind w:right="8400"/>
        <w:spacing w:after="0"/>
        <w:rPr>
          <w:sz w:val="20"/>
          <w:szCs w:val="20"/>
          <w:color w:val="auto"/>
        </w:rPr>
      </w:pPr>
      <w:r>
        <w:rPr>
          <w:rFonts w:ascii="Arial" w:cs="Arial" w:eastAsia="Arial" w:hAnsi="Arial"/>
          <w:sz w:val="16"/>
          <w:szCs w:val="16"/>
          <w:b w:val="1"/>
          <w:bCs w:val="1"/>
          <w:color w:val="auto"/>
        </w:rPr>
        <w:t>Item 3. Defaults upon Senior Securities</w:t>
      </w:r>
    </w:p>
    <w:p>
      <w:pPr>
        <w:spacing w:after="0" w:line="144" w:lineRule="exact"/>
        <w:rPr>
          <w:sz w:val="20"/>
          <w:szCs w:val="20"/>
          <w:color w:val="auto"/>
        </w:rPr>
      </w:pPr>
    </w:p>
    <w:p>
      <w:pPr>
        <w:jc w:val="center"/>
        <w:ind w:right="846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jc w:val="right"/>
        <w:ind w:right="9360"/>
        <w:spacing w:after="0"/>
        <w:rPr>
          <w:sz w:val="20"/>
          <w:szCs w:val="20"/>
          <w:color w:val="auto"/>
        </w:rPr>
      </w:pPr>
      <w:r>
        <w:rPr>
          <w:rFonts w:ascii="Arial" w:cs="Arial" w:eastAsia="Arial" w:hAnsi="Arial"/>
          <w:sz w:val="17"/>
          <w:szCs w:val="17"/>
          <w:b w:val="1"/>
          <w:bCs w:val="1"/>
          <w:color w:val="auto"/>
        </w:rPr>
        <w:t>Item 5. Other Information</w:t>
      </w:r>
    </w:p>
    <w:p>
      <w:pPr>
        <w:spacing w:after="0" w:line="133" w:lineRule="exact"/>
        <w:rPr>
          <w:sz w:val="20"/>
          <w:szCs w:val="20"/>
          <w:color w:val="auto"/>
        </w:rPr>
      </w:pPr>
    </w:p>
    <w:p>
      <w:pPr>
        <w:jc w:val="right"/>
        <w:ind w:right="9380"/>
        <w:spacing w:after="0"/>
        <w:rPr>
          <w:sz w:val="20"/>
          <w:szCs w:val="20"/>
          <w:color w:val="auto"/>
        </w:rPr>
      </w:pPr>
      <w:r>
        <w:rPr>
          <w:rFonts w:ascii="Arial" w:cs="Arial" w:eastAsia="Arial" w:hAnsi="Arial"/>
          <w:sz w:val="18"/>
          <w:szCs w:val="18"/>
          <w:color w:val="auto"/>
        </w:rPr>
        <w:t>Not applicable.</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00"/>
          </w:cols>
          <w:pgMar w:left="240" w:top="459" w:right="25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Listed below are the exhibits which are filed as part of this report (according to the number assigned to them in Item 601 of Regulation S-K):</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 w:type="dxa"/>
            <w:vAlign w:val="bottom"/>
          </w:tcPr>
          <w:p>
            <w:pPr>
              <w:ind w:left="40"/>
              <w:spacing w:after="0"/>
              <w:rPr>
                <w:sz w:val="20"/>
                <w:szCs w:val="20"/>
                <w:color w:val="auto"/>
              </w:rPr>
            </w:pPr>
            <w:r>
              <w:rPr>
                <w:rFonts w:ascii="Arial" w:cs="Arial" w:eastAsia="Arial" w:hAnsi="Arial"/>
                <w:sz w:val="14"/>
                <w:szCs w:val="14"/>
                <w:b w:val="1"/>
                <w:bCs w:val="1"/>
                <w:color w:val="auto"/>
                <w:w w:val="98"/>
              </w:rPr>
              <w:t>Exhibit</w:t>
            </w:r>
          </w:p>
        </w:tc>
        <w:tc>
          <w:tcPr>
            <w:tcW w:w="5020" w:type="dxa"/>
            <w:vAlign w:val="bottom"/>
          </w:tcPr>
          <w:p>
            <w:pPr>
              <w:spacing w:after="0"/>
              <w:rPr>
                <w:sz w:val="14"/>
                <w:szCs w:val="14"/>
                <w:color w:val="auto"/>
              </w:rPr>
            </w:pPr>
          </w:p>
        </w:tc>
        <w:tc>
          <w:tcPr>
            <w:tcW w:w="1540" w:type="dxa"/>
            <w:vAlign w:val="bottom"/>
            <w:vMerge w:val="restart"/>
          </w:tcPr>
          <w:p>
            <w:pPr>
              <w:spacing w:after="0"/>
              <w:rPr>
                <w:sz w:val="20"/>
                <w:szCs w:val="20"/>
                <w:color w:val="auto"/>
              </w:rPr>
            </w:pPr>
            <w:r>
              <w:rPr>
                <w:rFonts w:ascii="Arial" w:cs="Arial" w:eastAsia="Arial" w:hAnsi="Arial"/>
                <w:sz w:val="14"/>
                <w:szCs w:val="14"/>
                <w:b w:val="1"/>
                <w:bCs w:val="1"/>
                <w:color w:val="auto"/>
                <w:w w:val="91"/>
              </w:rPr>
              <w:t>Description of Document</w:t>
            </w:r>
          </w:p>
        </w:tc>
        <w:tc>
          <w:tcPr>
            <w:tcW w:w="258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5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Number</w:t>
            </w:r>
          </w:p>
        </w:tc>
        <w:tc>
          <w:tcPr>
            <w:tcW w:w="5020" w:type="dxa"/>
            <w:vAlign w:val="bottom"/>
          </w:tcPr>
          <w:p>
            <w:pPr>
              <w:spacing w:after="0"/>
              <w:rPr>
                <w:sz w:val="16"/>
                <w:szCs w:val="16"/>
                <w:color w:val="auto"/>
              </w:rPr>
            </w:pPr>
          </w:p>
        </w:tc>
        <w:tc>
          <w:tcPr>
            <w:tcW w:w="1540" w:type="dxa"/>
            <w:vAlign w:val="bottom"/>
            <w:tcBorders>
              <w:bottom w:val="single" w:sz="8" w:color="auto"/>
            </w:tcBorders>
            <w:vMerge w:val="continue"/>
          </w:tcPr>
          <w:p>
            <w:pPr>
              <w:spacing w:after="0"/>
              <w:rPr>
                <w:sz w:val="16"/>
                <w:szCs w:val="16"/>
                <w:color w:val="auto"/>
              </w:rPr>
            </w:pPr>
          </w:p>
        </w:tc>
        <w:tc>
          <w:tcPr>
            <w:tcW w:w="25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04"/>
        </w:trPr>
        <w:tc>
          <w:tcPr>
            <w:tcW w:w="520" w:type="dxa"/>
            <w:vAlign w:val="bottom"/>
          </w:tcPr>
          <w:p>
            <w:pPr>
              <w:spacing w:after="0"/>
              <w:rPr>
                <w:sz w:val="20"/>
                <w:szCs w:val="20"/>
                <w:color w:val="auto"/>
              </w:rPr>
            </w:pPr>
            <w:r>
              <w:rPr>
                <w:rFonts w:ascii="Arial" w:cs="Arial" w:eastAsia="Arial" w:hAnsi="Arial"/>
                <w:sz w:val="18"/>
                <w:szCs w:val="18"/>
                <w:color w:val="auto"/>
              </w:rPr>
              <w:t>31.1*</w:t>
            </w:r>
          </w:p>
        </w:tc>
        <w:tc>
          <w:tcPr>
            <w:tcW w:w="9140" w:type="dxa"/>
            <w:vAlign w:val="bottom"/>
            <w:gridSpan w:val="3"/>
          </w:tcPr>
          <w:p>
            <w:pPr>
              <w:ind w:left="660"/>
              <w:spacing w:after="0"/>
              <w:rPr>
                <w:sz w:val="20"/>
                <w:szCs w:val="20"/>
                <w:color w:val="auto"/>
              </w:rPr>
            </w:pPr>
            <w:r>
              <w:rPr>
                <w:rFonts w:ascii="Arial" w:cs="Arial" w:eastAsia="Arial" w:hAnsi="Arial"/>
                <w:sz w:val="18"/>
                <w:szCs w:val="18"/>
                <w:color w:val="auto"/>
                <w:w w:val="97"/>
              </w:rPr>
              <w:t>Certification of Chief Executive Officer Pursuant to Rule 13a-14(a) under the Securities Exchange Act of 1934</w:t>
            </w:r>
          </w:p>
        </w:tc>
        <w:tc>
          <w:tcPr>
            <w:tcW w:w="0" w:type="dxa"/>
            <w:vAlign w:val="bottom"/>
          </w:tcPr>
          <w:p>
            <w:pPr>
              <w:spacing w:after="0"/>
              <w:rPr>
                <w:sz w:val="1"/>
                <w:szCs w:val="1"/>
                <w:color w:val="auto"/>
              </w:rPr>
            </w:pPr>
          </w:p>
        </w:tc>
      </w:tr>
      <w:tr>
        <w:trPr>
          <w:trHeight w:val="324"/>
        </w:trPr>
        <w:tc>
          <w:tcPr>
            <w:tcW w:w="520" w:type="dxa"/>
            <w:vAlign w:val="bottom"/>
          </w:tcPr>
          <w:p>
            <w:pPr>
              <w:spacing w:after="0"/>
              <w:rPr>
                <w:sz w:val="20"/>
                <w:szCs w:val="20"/>
                <w:color w:val="auto"/>
              </w:rPr>
            </w:pPr>
            <w:r>
              <w:rPr>
                <w:rFonts w:ascii="Arial" w:cs="Arial" w:eastAsia="Arial" w:hAnsi="Arial"/>
                <w:sz w:val="18"/>
                <w:szCs w:val="18"/>
                <w:color w:val="auto"/>
              </w:rPr>
              <w:t>31.2*</w:t>
            </w:r>
          </w:p>
        </w:tc>
        <w:tc>
          <w:tcPr>
            <w:tcW w:w="9140" w:type="dxa"/>
            <w:vAlign w:val="bottom"/>
            <w:gridSpan w:val="3"/>
          </w:tcPr>
          <w:p>
            <w:pPr>
              <w:ind w:left="660"/>
              <w:spacing w:after="0"/>
              <w:rPr>
                <w:sz w:val="20"/>
                <w:szCs w:val="20"/>
                <w:color w:val="auto"/>
              </w:rPr>
            </w:pPr>
            <w:r>
              <w:rPr>
                <w:rFonts w:ascii="Arial" w:cs="Arial" w:eastAsia="Arial" w:hAnsi="Arial"/>
                <w:sz w:val="18"/>
                <w:szCs w:val="18"/>
                <w:color w:val="auto"/>
                <w:w w:val="97"/>
              </w:rPr>
              <w:t>Certification of Chief Financial Officer Pursuant to Rule 13a-14(a) under the Securities Exchange Act of 1934</w:t>
            </w:r>
          </w:p>
        </w:tc>
        <w:tc>
          <w:tcPr>
            <w:tcW w:w="0" w:type="dxa"/>
            <w:vAlign w:val="bottom"/>
          </w:tcPr>
          <w:p>
            <w:pPr>
              <w:spacing w:after="0"/>
              <w:rPr>
                <w:sz w:val="1"/>
                <w:szCs w:val="1"/>
                <w:color w:val="auto"/>
              </w:rPr>
            </w:pPr>
          </w:p>
        </w:tc>
      </w:tr>
      <w:tr>
        <w:trPr>
          <w:trHeight w:val="324"/>
        </w:trPr>
        <w:tc>
          <w:tcPr>
            <w:tcW w:w="520" w:type="dxa"/>
            <w:vAlign w:val="bottom"/>
          </w:tcPr>
          <w:p>
            <w:pPr>
              <w:spacing w:after="0"/>
              <w:rPr>
                <w:sz w:val="20"/>
                <w:szCs w:val="20"/>
                <w:color w:val="auto"/>
              </w:rPr>
            </w:pPr>
            <w:r>
              <w:rPr>
                <w:rFonts w:ascii="Arial" w:cs="Arial" w:eastAsia="Arial" w:hAnsi="Arial"/>
                <w:sz w:val="18"/>
                <w:szCs w:val="18"/>
                <w:color w:val="auto"/>
              </w:rPr>
              <w:t>32.1*</w:t>
            </w:r>
          </w:p>
        </w:tc>
        <w:tc>
          <w:tcPr>
            <w:tcW w:w="9140" w:type="dxa"/>
            <w:vAlign w:val="bottom"/>
            <w:gridSpan w:val="3"/>
          </w:tcPr>
          <w:p>
            <w:pPr>
              <w:ind w:left="660"/>
              <w:spacing w:after="0"/>
              <w:rPr>
                <w:sz w:val="20"/>
                <w:szCs w:val="20"/>
                <w:color w:val="auto"/>
              </w:rPr>
            </w:pPr>
            <w:r>
              <w:rPr>
                <w:rFonts w:ascii="Arial" w:cs="Arial" w:eastAsia="Arial" w:hAnsi="Arial"/>
                <w:sz w:val="18"/>
                <w:szCs w:val="18"/>
                <w:color w:val="auto"/>
                <w:w w:val="91"/>
              </w:rPr>
              <w:t>Certification of Chief Executive Officer Pursuant to Section 906 of the Sarbanes-Oxley Act of 2002 (18 U.S.C. 1350)</w:t>
            </w:r>
          </w:p>
        </w:tc>
        <w:tc>
          <w:tcPr>
            <w:tcW w:w="0" w:type="dxa"/>
            <w:vAlign w:val="bottom"/>
          </w:tcPr>
          <w:p>
            <w:pPr>
              <w:spacing w:after="0"/>
              <w:rPr>
                <w:sz w:val="1"/>
                <w:szCs w:val="1"/>
                <w:color w:val="auto"/>
              </w:rPr>
            </w:pPr>
          </w:p>
        </w:tc>
      </w:tr>
      <w:tr>
        <w:trPr>
          <w:trHeight w:val="324"/>
        </w:trPr>
        <w:tc>
          <w:tcPr>
            <w:tcW w:w="520" w:type="dxa"/>
            <w:vAlign w:val="bottom"/>
          </w:tcPr>
          <w:p>
            <w:pPr>
              <w:spacing w:after="0"/>
              <w:rPr>
                <w:sz w:val="20"/>
                <w:szCs w:val="20"/>
                <w:color w:val="auto"/>
              </w:rPr>
            </w:pPr>
            <w:r>
              <w:rPr>
                <w:rFonts w:ascii="Arial" w:cs="Arial" w:eastAsia="Arial" w:hAnsi="Arial"/>
                <w:sz w:val="18"/>
                <w:szCs w:val="18"/>
                <w:color w:val="auto"/>
              </w:rPr>
              <w:t>32.2*</w:t>
            </w:r>
          </w:p>
        </w:tc>
        <w:tc>
          <w:tcPr>
            <w:tcW w:w="9140" w:type="dxa"/>
            <w:vAlign w:val="bottom"/>
            <w:gridSpan w:val="3"/>
          </w:tcPr>
          <w:p>
            <w:pPr>
              <w:ind w:left="660"/>
              <w:spacing w:after="0"/>
              <w:rPr>
                <w:sz w:val="20"/>
                <w:szCs w:val="20"/>
                <w:color w:val="auto"/>
              </w:rPr>
            </w:pPr>
            <w:r>
              <w:rPr>
                <w:rFonts w:ascii="Arial" w:cs="Arial" w:eastAsia="Arial" w:hAnsi="Arial"/>
                <w:sz w:val="18"/>
                <w:szCs w:val="18"/>
                <w:color w:val="auto"/>
                <w:w w:val="92"/>
              </w:rPr>
              <w:t>Certification of Chief Financial Officer Pursuant to Section 906 of the Sarbanes-Oxley Act of 2002 (18 U.S.C. 1350)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  Submitted herewith.</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0620"/>
          </w:cols>
          <w:pgMar w:left="240" w:top="459" w:right="10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800" w:type="dxa"/>
            <w:vAlign w:val="bottom"/>
          </w:tcPr>
          <w:p>
            <w:pPr>
              <w:spacing w:after="0"/>
              <w:rPr>
                <w:sz w:val="20"/>
                <w:szCs w:val="20"/>
                <w:color w:val="auto"/>
              </w:rPr>
            </w:pPr>
          </w:p>
        </w:tc>
        <w:tc>
          <w:tcPr>
            <w:tcW w:w="7620" w:type="dxa"/>
            <w:vAlign w:val="bottom"/>
            <w:gridSpan w:val="2"/>
          </w:tcPr>
          <w:p>
            <w:pPr>
              <w:ind w:left="2100"/>
              <w:spacing w:after="0"/>
              <w:rPr>
                <w:sz w:val="20"/>
                <w:szCs w:val="20"/>
                <w:color w:val="auto"/>
              </w:rPr>
            </w:pPr>
            <w:r>
              <w:rPr>
                <w:rFonts w:ascii="Arial" w:cs="Arial" w:eastAsia="Arial" w:hAnsi="Arial"/>
                <w:sz w:val="18"/>
                <w:szCs w:val="18"/>
                <w:color w:val="auto"/>
              </w:rPr>
              <w:t>SARATOGA INVESTMENT CORP.</w:t>
            </w:r>
          </w:p>
        </w:tc>
      </w:tr>
      <w:tr>
        <w:trPr>
          <w:trHeight w:val="432"/>
        </w:trPr>
        <w:tc>
          <w:tcPr>
            <w:tcW w:w="3800" w:type="dxa"/>
            <w:vAlign w:val="bottom"/>
          </w:tcPr>
          <w:p>
            <w:pPr>
              <w:spacing w:after="0"/>
              <w:rPr>
                <w:sz w:val="20"/>
                <w:szCs w:val="20"/>
                <w:color w:val="auto"/>
              </w:rPr>
            </w:pPr>
            <w:r>
              <w:rPr>
                <w:rFonts w:ascii="Arial" w:cs="Arial" w:eastAsia="Arial" w:hAnsi="Arial"/>
                <w:sz w:val="18"/>
                <w:szCs w:val="18"/>
                <w:color w:val="auto"/>
              </w:rPr>
              <w:t>Date: January 13, 2016</w:t>
            </w:r>
          </w:p>
        </w:tc>
        <w:tc>
          <w:tcPr>
            <w:tcW w:w="2480" w:type="dxa"/>
            <w:vAlign w:val="bottom"/>
          </w:tcPr>
          <w:p>
            <w:pPr>
              <w:ind w:left="2100"/>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6"/>
              </w:rPr>
              <w:t>/s/ CHRISTIAN L. OBERBECK</w:t>
            </w:r>
          </w:p>
        </w:tc>
      </w:tr>
      <w:tr>
        <w:trPr>
          <w:trHeight w:val="209"/>
        </w:trPr>
        <w:tc>
          <w:tcPr>
            <w:tcW w:w="380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5140" w:type="dxa"/>
            <w:vAlign w:val="bottom"/>
          </w:tcPr>
          <w:p>
            <w:pPr>
              <w:jc w:val="center"/>
              <w:spacing w:after="0"/>
              <w:rPr>
                <w:sz w:val="20"/>
                <w:szCs w:val="20"/>
                <w:color w:val="auto"/>
              </w:rPr>
            </w:pPr>
            <w:r>
              <w:rPr>
                <w:rFonts w:ascii="Arial" w:cs="Arial" w:eastAsia="Arial" w:hAnsi="Arial"/>
                <w:sz w:val="18"/>
                <w:szCs w:val="18"/>
                <w:color w:val="auto"/>
                <w:w w:val="91"/>
              </w:rPr>
              <w:t>Christian L. Oberbeck</w:t>
            </w:r>
          </w:p>
        </w:tc>
      </w:tr>
      <w:tr>
        <w:trPr>
          <w:trHeight w:val="230"/>
        </w:trPr>
        <w:tc>
          <w:tcPr>
            <w:tcW w:w="380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5140" w:type="dxa"/>
            <w:vAlign w:val="bottom"/>
          </w:tcPr>
          <w:p>
            <w:pPr>
              <w:jc w:val="center"/>
              <w:spacing w:after="0"/>
              <w:rPr>
                <w:sz w:val="20"/>
                <w:szCs w:val="20"/>
                <w:color w:val="auto"/>
              </w:rPr>
            </w:pPr>
            <w:r>
              <w:rPr>
                <w:rFonts w:ascii="Arial" w:cs="Arial" w:eastAsia="Arial" w:hAnsi="Arial"/>
                <w:sz w:val="18"/>
                <w:szCs w:val="18"/>
                <w:i w:val="1"/>
                <w:iCs w:val="1"/>
                <w:color w:val="auto"/>
                <w:w w:val="92"/>
              </w:rPr>
              <w:t>Chief Executive Officer</w:t>
            </w:r>
          </w:p>
        </w:tc>
      </w:tr>
      <w:tr>
        <w:trPr>
          <w:trHeight w:val="432"/>
        </w:trPr>
        <w:tc>
          <w:tcPr>
            <w:tcW w:w="3800" w:type="dxa"/>
            <w:vAlign w:val="bottom"/>
          </w:tcPr>
          <w:p>
            <w:pPr>
              <w:spacing w:after="0"/>
              <w:rPr>
                <w:sz w:val="24"/>
                <w:szCs w:val="24"/>
                <w:color w:val="auto"/>
              </w:rPr>
            </w:pPr>
          </w:p>
        </w:tc>
        <w:tc>
          <w:tcPr>
            <w:tcW w:w="2480" w:type="dxa"/>
            <w:vAlign w:val="bottom"/>
          </w:tcPr>
          <w:p>
            <w:pPr>
              <w:ind w:left="2100"/>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/s/ HENRI J. STEENKAMP</w:t>
            </w:r>
          </w:p>
        </w:tc>
      </w:tr>
      <w:tr>
        <w:trPr>
          <w:trHeight w:val="224"/>
        </w:trPr>
        <w:tc>
          <w:tcPr>
            <w:tcW w:w="380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5140" w:type="dxa"/>
            <w:vAlign w:val="bottom"/>
          </w:tcPr>
          <w:p>
            <w:pPr>
              <w:jc w:val="center"/>
              <w:spacing w:after="0"/>
              <w:rPr>
                <w:sz w:val="20"/>
                <w:szCs w:val="20"/>
                <w:color w:val="auto"/>
              </w:rPr>
            </w:pPr>
            <w:r>
              <w:rPr>
                <w:rFonts w:ascii="Arial" w:cs="Arial" w:eastAsia="Arial" w:hAnsi="Arial"/>
                <w:sz w:val="18"/>
                <w:szCs w:val="18"/>
                <w:color w:val="auto"/>
                <w:w w:val="89"/>
              </w:rPr>
              <w:t>Henri J. Steenkamp</w:t>
            </w:r>
          </w:p>
        </w:tc>
      </w:tr>
    </w:tbl>
    <w:p>
      <w:pPr>
        <w:ind w:left="6900"/>
        <w:spacing w:after="0"/>
        <w:rPr>
          <w:sz w:val="20"/>
          <w:szCs w:val="20"/>
          <w:color w:val="auto"/>
        </w:rPr>
      </w:pPr>
      <w:r>
        <w:rPr>
          <w:rFonts w:ascii="Arial" w:cs="Arial" w:eastAsia="Arial" w:hAnsi="Arial"/>
          <w:sz w:val="18"/>
          <w:szCs w:val="18"/>
          <w:i w:val="1"/>
          <w:iCs w:val="1"/>
          <w:color w:val="auto"/>
        </w:rPr>
        <w:t>Chief Financial Officer and Chief Compliance Officer</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459" w:right="239" w:bottom="1440" w:gutter="0" w:footer="0" w:header="0"/>
        </w:sectPr>
      </w:pPr>
    </w:p>
    <w:bookmarkStart w:id="66" w:name="page67"/>
    <w:bookmarkEnd w:id="66"/>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and 15d-14(a) UNDER THE SECURITIES EXCHANGE ACT OF 1934, AS AMENDED</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 Christian L. Oberbeck, certify that:</w:t>
      </w:r>
    </w:p>
    <w:p>
      <w:pPr>
        <w:spacing w:after="0" w:line="225" w:lineRule="exact"/>
        <w:rPr>
          <w:sz w:val="20"/>
          <w:szCs w:val="20"/>
          <w:color w:val="auto"/>
        </w:rPr>
      </w:pPr>
    </w:p>
    <w:p>
      <w:pPr>
        <w:ind w:left="1100" w:hanging="179"/>
        <w:spacing w:after="0"/>
        <w:tabs>
          <w:tab w:leader="none" w:pos="11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Saratoga Investment Corp.;</w:t>
      </w:r>
    </w:p>
    <w:p>
      <w:pPr>
        <w:spacing w:after="0" w:line="225" w:lineRule="exact"/>
        <w:rPr>
          <w:rFonts w:ascii="Arial" w:cs="Arial" w:eastAsia="Arial" w:hAnsi="Arial"/>
          <w:sz w:val="18"/>
          <w:szCs w:val="18"/>
          <w:color w:val="auto"/>
        </w:rPr>
      </w:pPr>
    </w:p>
    <w:p>
      <w:pPr>
        <w:jc w:val="both"/>
        <w:ind w:right="120" w:firstLine="921"/>
        <w:spacing w:after="0" w:line="342" w:lineRule="auto"/>
        <w:tabs>
          <w:tab w:leader="none" w:pos="1093" w:val="left"/>
        </w:tabs>
        <w:numPr>
          <w:ilvl w:val="0"/>
          <w:numId w:val="3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80" w:firstLine="921"/>
        <w:spacing w:after="0" w:line="308" w:lineRule="auto"/>
        <w:tabs>
          <w:tab w:leader="none" w:pos="1093" w:val="left"/>
        </w:tabs>
        <w:numPr>
          <w:ilvl w:val="0"/>
          <w:numId w:val="3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46" w:lineRule="exact"/>
        <w:rPr>
          <w:rFonts w:ascii="Arial" w:cs="Arial" w:eastAsia="Arial" w:hAnsi="Arial"/>
          <w:sz w:val="17"/>
          <w:szCs w:val="17"/>
          <w:color w:val="auto"/>
        </w:rPr>
      </w:pPr>
    </w:p>
    <w:p>
      <w:pPr>
        <w:ind w:right="60" w:firstLine="921"/>
        <w:spacing w:after="0" w:line="277" w:lineRule="auto"/>
        <w:tabs>
          <w:tab w:leader="none" w:pos="1093"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company’s other certifying officer(s) and I are responsible for establishing and maintaining disclosure controls and procedures (as defined in Exchange Act Rules 13a-15(e) and 15d-15(e)) for the company and have:</w:t>
      </w:r>
    </w:p>
    <w:p>
      <w:pPr>
        <w:spacing w:after="0" w:line="62" w:lineRule="exact"/>
        <w:rPr>
          <w:rFonts w:ascii="Arial" w:cs="Arial" w:eastAsia="Arial" w:hAnsi="Arial"/>
          <w:sz w:val="18"/>
          <w:szCs w:val="18"/>
          <w:color w:val="auto"/>
        </w:rPr>
      </w:pPr>
    </w:p>
    <w:p>
      <w:pPr>
        <w:ind w:left="920" w:right="220" w:firstLine="421"/>
        <w:spacing w:after="0" w:line="264" w:lineRule="auto"/>
        <w:tabs>
          <w:tab w:leader="none" w:pos="1585" w:val="left"/>
        </w:tabs>
        <w:numPr>
          <w:ilvl w:val="1"/>
          <w:numId w:val="3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920" w:firstLine="421"/>
        <w:spacing w:after="0" w:line="264" w:lineRule="auto"/>
        <w:tabs>
          <w:tab w:leader="none" w:pos="1595" w:val="left"/>
        </w:tabs>
        <w:numPr>
          <w:ilvl w:val="1"/>
          <w:numId w:val="3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920" w:right="160" w:firstLine="421"/>
        <w:spacing w:after="0" w:line="342" w:lineRule="auto"/>
        <w:tabs>
          <w:tab w:leader="none" w:pos="1585" w:val="left"/>
        </w:tabs>
        <w:numPr>
          <w:ilvl w:val="1"/>
          <w:numId w:val="35"/>
        </w:numPr>
        <w:rPr>
          <w:rFonts w:ascii="Arial" w:cs="Arial" w:eastAsia="Arial" w:hAnsi="Arial"/>
          <w:sz w:val="16"/>
          <w:szCs w:val="16"/>
          <w:color w:val="auto"/>
        </w:rPr>
      </w:pPr>
      <w:r>
        <w:rPr>
          <w:rFonts w:ascii="Arial" w:cs="Arial" w:eastAsia="Arial" w:hAnsi="Arial"/>
          <w:sz w:val="16"/>
          <w:szCs w:val="16"/>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920" w:right="140" w:firstLine="421"/>
        <w:spacing w:after="0" w:line="264" w:lineRule="auto"/>
        <w:tabs>
          <w:tab w:leader="none" w:pos="1595" w:val="left"/>
        </w:tabs>
        <w:numPr>
          <w:ilvl w:val="1"/>
          <w:numId w:val="35"/>
        </w:numPr>
        <w:rPr>
          <w:rFonts w:ascii="Arial" w:cs="Arial" w:eastAsia="Arial" w:hAnsi="Arial"/>
          <w:sz w:val="18"/>
          <w:szCs w:val="18"/>
          <w:color w:val="auto"/>
        </w:rPr>
      </w:pPr>
      <w:r>
        <w:rPr>
          <w:rFonts w:ascii="Arial" w:cs="Arial" w:eastAsia="Arial" w:hAnsi="Arial"/>
          <w:sz w:val="18"/>
          <w:szCs w:val="18"/>
          <w:color w:val="auto"/>
        </w:rPr>
        <w:t>Disclosed in this report any change in the company’s internal control over financial reporting that occurred during the company’s most recent fiscal quarter (the registrant’s fourth fiscal quarter in the case of an annual report) that has materially affected, or is reasonably likely to materially affect, the company’s internal control over financial reporting; and</w:t>
      </w:r>
    </w:p>
    <w:p>
      <w:pPr>
        <w:spacing w:after="0" w:line="181" w:lineRule="exact"/>
        <w:rPr>
          <w:rFonts w:ascii="Arial" w:cs="Arial" w:eastAsia="Arial" w:hAnsi="Arial"/>
          <w:sz w:val="18"/>
          <w:szCs w:val="18"/>
          <w:color w:val="auto"/>
        </w:rPr>
      </w:pPr>
    </w:p>
    <w:p>
      <w:pPr>
        <w:ind w:right="20" w:firstLine="921"/>
        <w:spacing w:after="0" w:line="308" w:lineRule="auto"/>
        <w:tabs>
          <w:tab w:leader="none" w:pos="1093"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company’s other certifying officer(s) and I have disclosed, based on our most recent evaluation of internal control over financial reporting, to the company’s auditors and the audit committee of the company’s board of directors (or persons performing the equivalent functions):</w:t>
      </w:r>
    </w:p>
    <w:p>
      <w:pPr>
        <w:spacing w:after="0" w:line="38" w:lineRule="exact"/>
        <w:rPr>
          <w:rFonts w:ascii="Arial" w:cs="Arial" w:eastAsia="Arial" w:hAnsi="Arial"/>
          <w:sz w:val="17"/>
          <w:szCs w:val="17"/>
          <w:color w:val="auto"/>
        </w:rPr>
      </w:pPr>
    </w:p>
    <w:p>
      <w:pPr>
        <w:ind w:left="920" w:right="340" w:firstLine="421"/>
        <w:spacing w:after="0" w:line="308" w:lineRule="auto"/>
        <w:tabs>
          <w:tab w:leader="none" w:pos="1585" w:val="left"/>
        </w:tabs>
        <w:numPr>
          <w:ilvl w:val="1"/>
          <w:numId w:val="35"/>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38" w:lineRule="exact"/>
        <w:rPr>
          <w:rFonts w:ascii="Arial" w:cs="Arial" w:eastAsia="Arial" w:hAnsi="Arial"/>
          <w:sz w:val="17"/>
          <w:szCs w:val="17"/>
          <w:color w:val="auto"/>
        </w:rPr>
      </w:pPr>
    </w:p>
    <w:p>
      <w:pPr>
        <w:ind w:left="920" w:right="20" w:firstLine="421"/>
        <w:spacing w:after="0" w:line="277" w:lineRule="auto"/>
        <w:tabs>
          <w:tab w:leader="none" w:pos="1595" w:val="left"/>
        </w:tabs>
        <w:numPr>
          <w:ilvl w:val="1"/>
          <w:numId w:val="3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January 13, 2016</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CHRISTIAN L. OBERBECK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Christian L. Oberbeck</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i w:val="1"/>
          <w:iCs w:val="1"/>
          <w:color w:val="auto"/>
        </w:rPr>
        <w:t>Chief Executive Officer</w:t>
      </w:r>
    </w:p>
    <w:p>
      <w:pPr>
        <w:sectPr>
          <w:pgSz w:w="11900" w:h="16838" w:orient="portrait"/>
          <w:cols w:equalWidth="0" w:num="1">
            <w:col w:w="11420"/>
          </w:cols>
          <w:pgMar w:left="240" w:top="121" w:right="239" w:bottom="1440" w:gutter="0" w:footer="0" w:header="0"/>
        </w:sectPr>
      </w:pPr>
    </w:p>
    <w:bookmarkStart w:id="67" w:name="page68"/>
    <w:bookmarkEnd w:id="67"/>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and 15d-14(a) UNDER THE SECURITIES EXCHANGE ACT OF 1934, AS AMENDED</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 Henri J. Steenkamp, certify that:</w:t>
      </w:r>
    </w:p>
    <w:p>
      <w:pPr>
        <w:spacing w:after="0" w:line="225" w:lineRule="exact"/>
        <w:rPr>
          <w:sz w:val="20"/>
          <w:szCs w:val="20"/>
          <w:color w:val="auto"/>
        </w:rPr>
      </w:pPr>
    </w:p>
    <w:p>
      <w:pPr>
        <w:ind w:left="1100" w:hanging="179"/>
        <w:spacing w:after="0"/>
        <w:tabs>
          <w:tab w:leader="none" w:pos="11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Saratoga Investment Corp.;</w:t>
      </w:r>
    </w:p>
    <w:p>
      <w:pPr>
        <w:spacing w:after="0" w:line="225" w:lineRule="exact"/>
        <w:rPr>
          <w:rFonts w:ascii="Arial" w:cs="Arial" w:eastAsia="Arial" w:hAnsi="Arial"/>
          <w:sz w:val="18"/>
          <w:szCs w:val="18"/>
          <w:color w:val="auto"/>
        </w:rPr>
      </w:pPr>
    </w:p>
    <w:p>
      <w:pPr>
        <w:jc w:val="both"/>
        <w:ind w:right="120" w:firstLine="921"/>
        <w:spacing w:after="0" w:line="342" w:lineRule="auto"/>
        <w:tabs>
          <w:tab w:leader="none" w:pos="1093" w:val="left"/>
        </w:tabs>
        <w:numPr>
          <w:ilvl w:val="0"/>
          <w:numId w:val="3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80" w:firstLine="921"/>
        <w:spacing w:after="0" w:line="308" w:lineRule="auto"/>
        <w:tabs>
          <w:tab w:leader="none" w:pos="1093" w:val="left"/>
        </w:tabs>
        <w:numPr>
          <w:ilvl w:val="0"/>
          <w:numId w:val="3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46" w:lineRule="exact"/>
        <w:rPr>
          <w:rFonts w:ascii="Arial" w:cs="Arial" w:eastAsia="Arial" w:hAnsi="Arial"/>
          <w:sz w:val="17"/>
          <w:szCs w:val="17"/>
          <w:color w:val="auto"/>
        </w:rPr>
      </w:pPr>
    </w:p>
    <w:p>
      <w:pPr>
        <w:ind w:right="60" w:firstLine="921"/>
        <w:spacing w:after="0" w:line="277" w:lineRule="auto"/>
        <w:tabs>
          <w:tab w:leader="none" w:pos="1093"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company’s other certifying officer(s) and I are responsible for establishing and maintaining disclosure controls and procedures (as defined in Exchange Act Rules 13a-15(e) and 15d-15(e)) for the company and have:</w:t>
      </w:r>
    </w:p>
    <w:p>
      <w:pPr>
        <w:spacing w:after="0" w:line="62" w:lineRule="exact"/>
        <w:rPr>
          <w:rFonts w:ascii="Arial" w:cs="Arial" w:eastAsia="Arial" w:hAnsi="Arial"/>
          <w:sz w:val="18"/>
          <w:szCs w:val="18"/>
          <w:color w:val="auto"/>
        </w:rPr>
      </w:pPr>
    </w:p>
    <w:p>
      <w:pPr>
        <w:ind w:left="920" w:right="220" w:firstLine="421"/>
        <w:spacing w:after="0" w:line="264" w:lineRule="auto"/>
        <w:tabs>
          <w:tab w:leader="none" w:pos="1585" w:val="left"/>
        </w:tabs>
        <w:numPr>
          <w:ilvl w:val="1"/>
          <w:numId w:val="3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920" w:firstLine="421"/>
        <w:spacing w:after="0" w:line="264" w:lineRule="auto"/>
        <w:tabs>
          <w:tab w:leader="none" w:pos="1595" w:val="left"/>
        </w:tabs>
        <w:numPr>
          <w:ilvl w:val="1"/>
          <w:numId w:val="3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920" w:right="160" w:firstLine="421"/>
        <w:spacing w:after="0" w:line="342" w:lineRule="auto"/>
        <w:tabs>
          <w:tab w:leader="none" w:pos="1585" w:val="left"/>
        </w:tabs>
        <w:numPr>
          <w:ilvl w:val="1"/>
          <w:numId w:val="36"/>
        </w:numPr>
        <w:rPr>
          <w:rFonts w:ascii="Arial" w:cs="Arial" w:eastAsia="Arial" w:hAnsi="Arial"/>
          <w:sz w:val="16"/>
          <w:szCs w:val="16"/>
          <w:color w:val="auto"/>
        </w:rPr>
      </w:pPr>
      <w:r>
        <w:rPr>
          <w:rFonts w:ascii="Arial" w:cs="Arial" w:eastAsia="Arial" w:hAnsi="Arial"/>
          <w:sz w:val="16"/>
          <w:szCs w:val="16"/>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920" w:right="140" w:firstLine="421"/>
        <w:spacing w:after="0" w:line="264" w:lineRule="auto"/>
        <w:tabs>
          <w:tab w:leader="none" w:pos="1595" w:val="left"/>
        </w:tabs>
        <w:numPr>
          <w:ilvl w:val="1"/>
          <w:numId w:val="36"/>
        </w:numPr>
        <w:rPr>
          <w:rFonts w:ascii="Arial" w:cs="Arial" w:eastAsia="Arial" w:hAnsi="Arial"/>
          <w:sz w:val="18"/>
          <w:szCs w:val="18"/>
          <w:color w:val="auto"/>
        </w:rPr>
      </w:pPr>
      <w:r>
        <w:rPr>
          <w:rFonts w:ascii="Arial" w:cs="Arial" w:eastAsia="Arial" w:hAnsi="Arial"/>
          <w:sz w:val="18"/>
          <w:szCs w:val="18"/>
          <w:color w:val="auto"/>
        </w:rPr>
        <w:t>Disclosed in this report any change in the company’s internal control over financial reporting that occurred during the company’s most recent fiscal quarter (the registrant’s fourth fiscal quarter in the case of an annual report) that has materially affected, or is reasonably likely to materially affect, the company’s internal control over financial reporting; and</w:t>
      </w:r>
    </w:p>
    <w:p>
      <w:pPr>
        <w:spacing w:after="0" w:line="181" w:lineRule="exact"/>
        <w:rPr>
          <w:rFonts w:ascii="Arial" w:cs="Arial" w:eastAsia="Arial" w:hAnsi="Arial"/>
          <w:sz w:val="18"/>
          <w:szCs w:val="18"/>
          <w:color w:val="auto"/>
        </w:rPr>
      </w:pPr>
    </w:p>
    <w:p>
      <w:pPr>
        <w:ind w:right="20" w:firstLine="921"/>
        <w:spacing w:after="0" w:line="308" w:lineRule="auto"/>
        <w:tabs>
          <w:tab w:leader="none" w:pos="1093"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company’s other certifying officer(s) and I have disclosed, based on our most recent evaluation of internal control over financial reporting, to the company’s auditors and the audit committee of the company’s board of directors (or persons performing the equivalent functions):</w:t>
      </w:r>
    </w:p>
    <w:p>
      <w:pPr>
        <w:spacing w:after="0" w:line="38" w:lineRule="exact"/>
        <w:rPr>
          <w:rFonts w:ascii="Arial" w:cs="Arial" w:eastAsia="Arial" w:hAnsi="Arial"/>
          <w:sz w:val="17"/>
          <w:szCs w:val="17"/>
          <w:color w:val="auto"/>
        </w:rPr>
      </w:pPr>
    </w:p>
    <w:p>
      <w:pPr>
        <w:ind w:left="920" w:right="340" w:firstLine="421"/>
        <w:spacing w:after="0" w:line="308" w:lineRule="auto"/>
        <w:tabs>
          <w:tab w:leader="none" w:pos="1585" w:val="left"/>
        </w:tabs>
        <w:numPr>
          <w:ilvl w:val="1"/>
          <w:numId w:val="3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38" w:lineRule="exact"/>
        <w:rPr>
          <w:rFonts w:ascii="Arial" w:cs="Arial" w:eastAsia="Arial" w:hAnsi="Arial"/>
          <w:sz w:val="17"/>
          <w:szCs w:val="17"/>
          <w:color w:val="auto"/>
        </w:rPr>
      </w:pPr>
    </w:p>
    <w:p>
      <w:pPr>
        <w:ind w:left="920" w:right="20" w:firstLine="421"/>
        <w:spacing w:after="0" w:line="277" w:lineRule="auto"/>
        <w:tabs>
          <w:tab w:leader="none" w:pos="1595" w:val="left"/>
        </w:tabs>
        <w:numPr>
          <w:ilvl w:val="1"/>
          <w:numId w:val="3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January 13, 2016</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HENRI J. STEENKAMP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Henri J. Steenkamp</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i w:val="1"/>
          <w:iCs w:val="1"/>
          <w:color w:val="auto"/>
        </w:rPr>
        <w:t>Chief Financial Officer and Chief Compliance Officer</w:t>
      </w:r>
    </w:p>
    <w:p>
      <w:pPr>
        <w:sectPr>
          <w:pgSz w:w="11900" w:h="16838" w:orient="portrait"/>
          <w:cols w:equalWidth="0" w:num="1">
            <w:col w:w="11420"/>
          </w:cols>
          <w:pgMar w:left="240" w:top="121" w:right="239" w:bottom="1440" w:gutter="0" w:footer="0" w:header="0"/>
        </w:sectPr>
      </w:pPr>
    </w:p>
    <w:bookmarkStart w:id="68" w:name="page69"/>
    <w:bookmarkEnd w:id="68"/>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1350, CHAPTER 63 OF TITLE 18, UNITED STATES CODE,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The certification set forth below is being submitted in connection with the accompanying Quarterly Report of Saratoga Investment Corp. on Form 10-Q (the “Report”) for the purpose of complying with Rule 13a-14(b) or Rule 15d-14(b) of the Securities Exchange Act of 1934 (the “Exchange Act”) and Section 1350 of Chapter 63 of Title 18 of the United States Code.</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Christian L. Oberbeck, the Chief Executive Officer, certifies that, to the best of his knowledge:</w:t>
      </w:r>
    </w:p>
    <w:p>
      <w:pPr>
        <w:spacing w:after="0" w:line="131" w:lineRule="exact"/>
        <w:rPr>
          <w:sz w:val="20"/>
          <w:szCs w:val="20"/>
          <w:color w:val="auto"/>
        </w:rPr>
      </w:pPr>
    </w:p>
    <w:p>
      <w:pPr>
        <w:ind w:left="460" w:hanging="452"/>
        <w:spacing w:after="0"/>
        <w:tabs>
          <w:tab w:leader="none" w:pos="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Exchange Act; and</w:t>
      </w:r>
    </w:p>
    <w:p>
      <w:pPr>
        <w:spacing w:after="0" w:line="130" w:lineRule="exact"/>
        <w:rPr>
          <w:rFonts w:ascii="Arial" w:cs="Arial" w:eastAsia="Arial" w:hAnsi="Arial"/>
          <w:sz w:val="18"/>
          <w:szCs w:val="18"/>
          <w:color w:val="auto"/>
        </w:rPr>
      </w:pPr>
    </w:p>
    <w:p>
      <w:pPr>
        <w:ind w:left="460" w:right="100" w:hanging="452"/>
        <w:spacing w:after="0" w:line="277" w:lineRule="auto"/>
        <w:tabs>
          <w:tab w:leader="none" w:pos="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Saratoga Investment Corp.</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January 13, 2016</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CHRISTIAN L. OBERBECK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Christian L. Oberbeck</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i w:val="1"/>
          <w:iCs w:val="1"/>
          <w:color w:val="auto"/>
        </w:rPr>
        <w:t>Chief Executive Officer</w:t>
      </w:r>
    </w:p>
    <w:p>
      <w:pPr>
        <w:sectPr>
          <w:pgSz w:w="11900" w:h="16838" w:orient="portrait"/>
          <w:cols w:equalWidth="0" w:num="1">
            <w:col w:w="11420"/>
          </w:cols>
          <w:pgMar w:left="240" w:top="121" w:right="239" w:bottom="1440" w:gutter="0" w:footer="0" w:header="0"/>
        </w:sectPr>
      </w:pPr>
    </w:p>
    <w:bookmarkStart w:id="69" w:name="page70"/>
    <w:bookmarkEnd w:id="69"/>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1350, CHAPTER 63 OF TITLE 18, UNITED STATES CODE,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The certification set forth below is being submitted in connection with the accompanying Quarterly Report of Saratoga Investment Corp. on Form 10-Q (the “Report”) for the purpose of complying with Rule 13a-14(b) or Rule 15d-14(b) of the Securities Exchange Act of 1934 (the “Exchange Act”) and Section 1350 of Chapter 63 of Title 18 of the United States Code.</w:t>
      </w:r>
    </w:p>
    <w:p>
      <w:pPr>
        <w:spacing w:after="0" w:line="181"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Henri J. Steenkamp, the Chief Financial Officer, Chief Compliance Officer and Secretary of Saratoga Investment Corp., certifies that, to the best of his knowledge:</w:t>
      </w:r>
    </w:p>
    <w:p>
      <w:pPr>
        <w:spacing w:after="0" w:line="76" w:lineRule="exact"/>
        <w:rPr>
          <w:sz w:val="20"/>
          <w:szCs w:val="20"/>
          <w:color w:val="auto"/>
        </w:rPr>
      </w:pPr>
    </w:p>
    <w:p>
      <w:pPr>
        <w:ind w:left="460" w:hanging="452"/>
        <w:spacing w:after="0"/>
        <w:tabs>
          <w:tab w:leader="none" w:pos="4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Exchange Act; and</w:t>
      </w:r>
    </w:p>
    <w:p>
      <w:pPr>
        <w:spacing w:after="0" w:line="130" w:lineRule="exact"/>
        <w:rPr>
          <w:rFonts w:ascii="Arial" w:cs="Arial" w:eastAsia="Arial" w:hAnsi="Arial"/>
          <w:sz w:val="18"/>
          <w:szCs w:val="18"/>
          <w:color w:val="auto"/>
        </w:rPr>
      </w:pPr>
    </w:p>
    <w:p>
      <w:pPr>
        <w:ind w:left="460" w:right="100" w:hanging="452"/>
        <w:spacing w:after="0" w:line="277" w:lineRule="auto"/>
        <w:tabs>
          <w:tab w:leader="none" w:pos="4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Saratoga Investment Corp.</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January 13, 2016</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HENRI J. STEENKAMP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Henri J. Steenkamp</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i w:val="1"/>
          <w:iCs w:val="1"/>
          <w:color w:val="auto"/>
        </w:rPr>
        <w:t>Chief Financial Officer and Chief Compliance Officer</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7130A3"/>
    <w:multiLevelType w:val="hybridMultilevel"/>
    <w:lvl w:ilvl="0">
      <w:lvlJc w:val="left"/>
      <w:lvlText w:val="☒"/>
      <w:numFmt w:val="bullet"/>
      <w:start w:val="1"/>
    </w:lvl>
  </w:abstractNum>
  <w:abstractNum w:abstractNumId="1">
    <w:nsid w:val="62BBD95A"/>
    <w:multiLevelType w:val="hybridMultilevel"/>
    <w:lvl w:ilvl="0">
      <w:lvlJc w:val="left"/>
      <w:lvlText w:val="☐"/>
      <w:numFmt w:val="bullet"/>
      <w:start w:val="1"/>
    </w:lvl>
  </w:abstractNum>
  <w:abstractNum w:abstractNumId="2">
    <w:nsid w:val="436C6125"/>
    <w:multiLevelType w:val="hybridMultilevel"/>
    <w:lvl w:ilvl="0">
      <w:lvlJc w:val="left"/>
      <w:lvlText w:val="(%1)"/>
      <w:numFmt w:val="lowerLetter"/>
      <w:start w:val="1"/>
    </w:lvl>
  </w:abstractNum>
  <w:abstractNum w:abstractNumId="3">
    <w:nsid w:val="628C895D"/>
    <w:multiLevelType w:val="hybridMultilevel"/>
    <w:lvl w:ilvl="0">
      <w:lvlJc w:val="left"/>
      <w:lvlText w:val="(%1)"/>
      <w:numFmt w:val="lowerLetter"/>
      <w:start w:val="7"/>
    </w:lvl>
  </w:abstractNum>
  <w:abstractNum w:abstractNumId="4">
    <w:nsid w:val="333AB105"/>
    <w:multiLevelType w:val="hybridMultilevel"/>
    <w:lvl w:ilvl="0">
      <w:lvlJc w:val="left"/>
      <w:lvlText w:val="(%1)"/>
      <w:numFmt w:val="lowerLetter"/>
      <w:start w:val="1"/>
    </w:lvl>
  </w:abstractNum>
  <w:abstractNum w:abstractNumId="5">
    <w:nsid w:val="721DA317"/>
    <w:multiLevelType w:val="hybridMultilevel"/>
    <w:lvl w:ilvl="0">
      <w:lvlJc w:val="left"/>
      <w:lvlText w:val="(%1)"/>
      <w:numFmt w:val="lowerLetter"/>
      <w:start w:val="7"/>
    </w:lvl>
  </w:abstractNum>
  <w:abstractNum w:abstractNumId="6">
    <w:nsid w:val="2443A858"/>
    <w:multiLevelType w:val="hybridMultilevel"/>
    <w:lvl w:ilvl="0">
      <w:lvlJc w:val="left"/>
      <w:lvlText w:val="•"/>
      <w:numFmt w:val="bullet"/>
      <w:start w:val="1"/>
    </w:lvl>
  </w:abstractNum>
  <w:abstractNum w:abstractNumId="7">
    <w:nsid w:val="2D1D5AE9"/>
    <w:multiLevelType w:val="hybridMultilevel"/>
    <w:lvl w:ilvl="0">
      <w:lvlJc w:val="left"/>
      <w:lvlText w:val="•"/>
      <w:numFmt w:val="bullet"/>
      <w:start w:val="1"/>
    </w:lvl>
  </w:abstractNum>
  <w:abstractNum w:abstractNumId="8">
    <w:nsid w:val="6763845E"/>
    <w:multiLevelType w:val="hybridMultilevel"/>
    <w:lvl w:ilvl="0">
      <w:lvlJc w:val="left"/>
      <w:lvlText w:val="•"/>
      <w:numFmt w:val="bullet"/>
      <w:start w:val="1"/>
    </w:lvl>
  </w:abstractNum>
  <w:abstractNum w:abstractNumId="9">
    <w:nsid w:val="75A2A8D4"/>
    <w:multiLevelType w:val="hybridMultilevel"/>
    <w:lvl w:ilvl="0">
      <w:lvlJc w:val="left"/>
      <w:lvlText w:val="•"/>
      <w:numFmt w:val="bullet"/>
      <w:start w:val="1"/>
    </w:lvl>
  </w:abstractNum>
  <w:abstractNum w:abstractNumId="10">
    <w:nsid w:val="8EDBDAB"/>
    <w:multiLevelType w:val="hybridMultilevel"/>
    <w:lvl w:ilvl="0">
      <w:lvlJc w:val="left"/>
      <w:lvlText w:val="•"/>
      <w:numFmt w:val="bullet"/>
      <w:start w:val="1"/>
    </w:lvl>
  </w:abstractNum>
  <w:abstractNum w:abstractNumId="11">
    <w:nsid w:val="79838CB2"/>
    <w:multiLevelType w:val="hybridMultilevel"/>
    <w:lvl w:ilvl="0">
      <w:lvlJc w:val="left"/>
      <w:lvlText w:val="(%1)"/>
      <w:numFmt w:val="lowerLetter"/>
      <w:start w:val="1"/>
    </w:lvl>
  </w:abstractNum>
  <w:abstractNum w:abstractNumId="12">
    <w:nsid w:val="4353D0CD"/>
    <w:multiLevelType w:val="hybridMultilevel"/>
    <w:lvl w:ilvl="0">
      <w:lvlJc w:val="left"/>
      <w:lvlText w:val="(%1)"/>
      <w:numFmt w:val="lowerLetter"/>
      <w:start w:val="1"/>
    </w:lvl>
  </w:abstractNum>
  <w:abstractNum w:abstractNumId="13">
    <w:nsid w:val="B03E0C6"/>
    <w:multiLevelType w:val="hybridMultilevel"/>
    <w:lvl w:ilvl="0">
      <w:lvlJc w:val="left"/>
      <w:lvlText w:val="•"/>
      <w:numFmt w:val="bullet"/>
      <w:start w:val="1"/>
    </w:lvl>
  </w:abstractNum>
  <w:abstractNum w:abstractNumId="14">
    <w:nsid w:val="189A769B"/>
    <w:multiLevelType w:val="hybridMultilevel"/>
    <w:lvl w:ilvl="0">
      <w:lvlJc w:val="left"/>
      <w:lvlText w:val="•"/>
      <w:numFmt w:val="bullet"/>
      <w:start w:val="1"/>
    </w:lvl>
  </w:abstractNum>
  <w:abstractNum w:abstractNumId="15">
    <w:nsid w:val="54E49EB4"/>
    <w:multiLevelType w:val="hybridMultilevel"/>
    <w:lvl w:ilvl="0">
      <w:lvlJc w:val="left"/>
      <w:lvlText w:val="•"/>
      <w:numFmt w:val="bullet"/>
      <w:start w:val="1"/>
    </w:lvl>
  </w:abstractNum>
  <w:abstractNum w:abstractNumId="16">
    <w:nsid w:val="71F32454"/>
    <w:multiLevelType w:val="hybridMultilevel"/>
    <w:lvl w:ilvl="0">
      <w:lvlJc w:val="left"/>
      <w:lvlText w:val="(%1)"/>
      <w:numFmt w:val="decimal"/>
      <w:start w:val="1"/>
    </w:lvl>
  </w:abstractNum>
  <w:abstractNum w:abstractNumId="17">
    <w:nsid w:val="2CA88611"/>
    <w:multiLevelType w:val="hybridMultilevel"/>
    <w:lvl w:ilvl="0">
      <w:lvlJc w:val="left"/>
      <w:lvlText w:val="•"/>
      <w:numFmt w:val="bullet"/>
      <w:start w:val="1"/>
    </w:lvl>
  </w:abstractNum>
  <w:abstractNum w:abstractNumId="18">
    <w:nsid w:val="836C40E"/>
    <w:multiLevelType w:val="hybridMultilevel"/>
    <w:lvl w:ilvl="0">
      <w:lvlJc w:val="left"/>
      <w:lvlText w:val="•"/>
      <w:numFmt w:val="bullet"/>
      <w:start w:val="1"/>
    </w:lvl>
  </w:abstractNum>
  <w:abstractNum w:abstractNumId="19">
    <w:nsid w:val="2901D82"/>
    <w:multiLevelType w:val="hybridMultilevel"/>
    <w:lvl w:ilvl="0">
      <w:lvlJc w:val="left"/>
      <w:lvlText w:val="•"/>
      <w:numFmt w:val="bullet"/>
      <w:start w:val="1"/>
    </w:lvl>
  </w:abstractNum>
  <w:abstractNum w:abstractNumId="20">
    <w:nsid w:val="3A95F874"/>
    <w:multiLevelType w:val="hybridMultilevel"/>
    <w:lvl w:ilvl="0">
      <w:lvlJc w:val="left"/>
      <w:lvlText w:val="•"/>
      <w:numFmt w:val="bullet"/>
      <w:start w:val="1"/>
    </w:lvl>
  </w:abstractNum>
  <w:abstractNum w:abstractNumId="21">
    <w:nsid w:val="8138641"/>
    <w:multiLevelType w:val="hybridMultilevel"/>
    <w:lvl w:ilvl="0">
      <w:lvlJc w:val="left"/>
      <w:lvlText w:val="•"/>
      <w:numFmt w:val="bullet"/>
      <w:start w:val="1"/>
    </w:lvl>
  </w:abstractNum>
  <w:abstractNum w:abstractNumId="22">
    <w:nsid w:val="1E7FF521"/>
    <w:multiLevelType w:val="hybridMultilevel"/>
    <w:lvl w:ilvl="0">
      <w:lvlJc w:val="left"/>
      <w:lvlText w:val="•"/>
      <w:numFmt w:val="bullet"/>
      <w:start w:val="1"/>
    </w:lvl>
  </w:abstractNum>
  <w:abstractNum w:abstractNumId="23">
    <w:nsid w:val="7C3DBD3D"/>
    <w:multiLevelType w:val="hybridMultilevel"/>
    <w:lvl w:ilvl="0">
      <w:lvlJc w:val="left"/>
      <w:lvlText w:val="(%1)"/>
      <w:numFmt w:val="decimal"/>
      <w:start w:val="1"/>
    </w:lvl>
  </w:abstractNum>
  <w:abstractNum w:abstractNumId="24">
    <w:nsid w:val="737B8DDC"/>
    <w:multiLevelType w:val="hybridMultilevel"/>
    <w:lvl w:ilvl="0">
      <w:lvlJc w:val="left"/>
      <w:lvlText w:val="(%1)"/>
      <w:numFmt w:val="decimal"/>
      <w:start w:val="1"/>
    </w:lvl>
  </w:abstractNum>
  <w:abstractNum w:abstractNumId="25">
    <w:nsid w:val="6CEAF087"/>
    <w:multiLevelType w:val="hybridMultilevel"/>
    <w:lvl w:ilvl="0">
      <w:lvlJc w:val="left"/>
      <w:lvlText w:val="(%1)"/>
      <w:numFmt w:val="decimal"/>
      <w:start w:val="1"/>
    </w:lvl>
  </w:abstractNum>
  <w:abstractNum w:abstractNumId="26">
    <w:nsid w:val="22221A70"/>
    <w:multiLevelType w:val="hybridMultilevel"/>
    <w:lvl w:ilvl="0">
      <w:lvlJc w:val="left"/>
      <w:lvlText w:val="(%1)"/>
      <w:numFmt w:val="decimal"/>
      <w:start w:val="1"/>
    </w:lvl>
  </w:abstractNum>
  <w:abstractNum w:abstractNumId="27">
    <w:nsid w:val="4516DDE9"/>
    <w:multiLevelType w:val="hybridMultilevel"/>
    <w:lvl w:ilvl="0">
      <w:lvlJc w:val="left"/>
      <w:lvlText w:val="(%1)"/>
      <w:numFmt w:val="decimal"/>
      <w:start w:val="1"/>
    </w:lvl>
  </w:abstractNum>
  <w:abstractNum w:abstractNumId="28">
    <w:nsid w:val="3006C83E"/>
    <w:multiLevelType w:val="hybridMultilevel"/>
    <w:lvl w:ilvl="0">
      <w:lvlJc w:val="left"/>
      <w:lvlText w:val="•"/>
      <w:numFmt w:val="bullet"/>
      <w:start w:val="1"/>
    </w:lvl>
  </w:abstractNum>
  <w:abstractNum w:abstractNumId="29">
    <w:nsid w:val="614FD4A1"/>
    <w:multiLevelType w:val="hybridMultilevel"/>
    <w:lvl w:ilvl="0">
      <w:lvlJc w:val="left"/>
      <w:lvlText w:val="•"/>
      <w:numFmt w:val="bullet"/>
      <w:start w:val="1"/>
    </w:lvl>
    <w:lvl w:ilvl="1">
      <w:lvlJc w:val="left"/>
      <w:lvlText w:val="•"/>
      <w:numFmt w:val="bullet"/>
      <w:start w:val="1"/>
    </w:lvl>
  </w:abstractNum>
  <w:abstractNum w:abstractNumId="30">
    <w:nsid w:val="419AC241"/>
    <w:multiLevelType w:val="hybridMultilevel"/>
    <w:lvl w:ilvl="0">
      <w:lvlJc w:val="left"/>
      <w:lvlText w:val="•"/>
      <w:numFmt w:val="bullet"/>
      <w:start w:val="1"/>
    </w:lvl>
  </w:abstractNum>
  <w:abstractNum w:abstractNumId="31">
    <w:nsid w:val="5577F8E1"/>
    <w:multiLevelType w:val="hybridMultilevel"/>
    <w:lvl w:ilvl="0">
      <w:lvlJc w:val="left"/>
      <w:lvlText w:val="•"/>
      <w:numFmt w:val="bullet"/>
      <w:start w:val="1"/>
    </w:lvl>
  </w:abstractNum>
  <w:abstractNum w:abstractNumId="32">
    <w:nsid w:val="440BADFC"/>
    <w:multiLevelType w:val="hybridMultilevel"/>
    <w:lvl w:ilvl="0">
      <w:lvlJc w:val="left"/>
      <w:lvlText w:val="•"/>
      <w:numFmt w:val="bullet"/>
      <w:start w:val="1"/>
    </w:lvl>
  </w:abstractNum>
  <w:abstractNum w:abstractNumId="33">
    <w:nsid w:val="5072367"/>
    <w:multiLevelType w:val="hybridMultilevel"/>
    <w:lvl w:ilvl="0">
      <w:lvlJc w:val="left"/>
      <w:lvlText w:val="(%1)"/>
      <w:numFmt w:val="lowerLetter"/>
      <w:start w:val="1"/>
    </w:lvl>
  </w:abstractNum>
  <w:abstractNum w:abstractNumId="34">
    <w:nsid w:val="3804823E"/>
    <w:multiLevelType w:val="hybridMultilevel"/>
    <w:lvl w:ilvl="0">
      <w:lvlJc w:val="left"/>
      <w:lvlText w:val="%1."/>
      <w:numFmt w:val="decimal"/>
      <w:start w:val="1"/>
    </w:lvl>
    <w:lvl w:ilvl="1">
      <w:lvlJc w:val="left"/>
      <w:lvlText w:val="(%2)"/>
      <w:numFmt w:val="lowerLetter"/>
      <w:start w:val="1"/>
    </w:lvl>
  </w:abstractNum>
  <w:abstractNum w:abstractNumId="35">
    <w:nsid w:val="77465F01"/>
    <w:multiLevelType w:val="hybridMultilevel"/>
    <w:lvl w:ilvl="0">
      <w:lvlJc w:val="left"/>
      <w:lvlText w:val="%1."/>
      <w:numFmt w:val="decimal"/>
      <w:start w:val="1"/>
    </w:lvl>
    <w:lvl w:ilvl="1">
      <w:lvlJc w:val="left"/>
      <w:lvlText w:val="(%2)"/>
      <w:numFmt w:val="lowerLetter"/>
      <w:start w:val="1"/>
    </w:lvl>
  </w:abstractNum>
  <w:abstractNum w:abstractNumId="36">
    <w:nsid w:val="7724C67E"/>
    <w:multiLevelType w:val="hybridMultilevel"/>
    <w:lvl w:ilvl="0">
      <w:lvlJc w:val="left"/>
      <w:lvlText w:val="%1."/>
      <w:numFmt w:val="decimal"/>
      <w:start w:val="1"/>
    </w:lvl>
  </w:abstractNum>
  <w:abstractNum w:abstractNumId="37">
    <w:nsid w:val="5C482A9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2019-12-29T15:16:21Z</dcterms:created>
  <dcterms:modified xsi:type="dcterms:W3CDTF">2019-12-29T15:16:21Z</dcterms:modified>
</cp:coreProperties>
</file>